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F" w:rsidRPr="0002494F" w:rsidRDefault="00FA19FF" w:rsidP="00FA19FF">
      <w:pPr>
        <w:spacing w:after="0" w:line="240" w:lineRule="auto"/>
        <w:jc w:val="center"/>
        <w:rPr>
          <w:rFonts w:ascii="Times New Roman" w:eastAsia="Times New Roman" w:hAnsi="Times New Roman" w:cs="Times New Roman"/>
          <w:b/>
          <w:bCs/>
          <w:lang w:val="lv-LV" w:eastAsia="lv-LV"/>
        </w:rPr>
      </w:pPr>
      <w:r w:rsidRPr="0002494F">
        <w:rPr>
          <w:rFonts w:ascii="Times New Roman" w:eastAsia="Times New Roman" w:hAnsi="Times New Roman" w:cs="Times New Roman"/>
          <w:b/>
          <w:bCs/>
          <w:lang w:val="lv-LV" w:eastAsia="lv-LV"/>
        </w:rPr>
        <w:t xml:space="preserve">Izziņa par atzinumos sniegtajiem iebildumiem </w:t>
      </w:r>
    </w:p>
    <w:tbl>
      <w:tblPr>
        <w:tblW w:w="0" w:type="auto"/>
        <w:jc w:val="center"/>
        <w:tblLook w:val="00A0" w:firstRow="1" w:lastRow="0" w:firstColumn="1" w:lastColumn="0" w:noHBand="0" w:noVBand="0"/>
      </w:tblPr>
      <w:tblGrid>
        <w:gridCol w:w="10188"/>
      </w:tblGrid>
      <w:tr w:rsidR="00FA19FF" w:rsidRPr="0002494F" w:rsidTr="00AB3738">
        <w:trPr>
          <w:jc w:val="center"/>
        </w:trPr>
        <w:tc>
          <w:tcPr>
            <w:tcW w:w="10188" w:type="dxa"/>
          </w:tcPr>
          <w:p w:rsidR="00FA19FF" w:rsidRPr="0002494F" w:rsidRDefault="00FA19FF" w:rsidP="00C83EF9">
            <w:pPr>
              <w:spacing w:after="0" w:line="240" w:lineRule="auto"/>
              <w:jc w:val="center"/>
              <w:rPr>
                <w:rFonts w:ascii="Times New Roman" w:eastAsia="Times New Roman" w:hAnsi="Times New Roman" w:cs="Times New Roman"/>
                <w:b/>
                <w:bCs/>
                <w:lang w:val="lv-LV" w:eastAsia="lv-LV"/>
              </w:rPr>
            </w:pPr>
            <w:r w:rsidRPr="0002494F">
              <w:rPr>
                <w:rFonts w:ascii="Times New Roman" w:eastAsia="Times New Roman" w:hAnsi="Times New Roman" w:cs="Times New Roman"/>
                <w:b/>
                <w:bCs/>
                <w:lang w:val="lv-LV" w:eastAsia="lv-LV"/>
              </w:rPr>
              <w:t xml:space="preserve">par </w:t>
            </w:r>
            <w:bookmarkStart w:id="0" w:name="372832"/>
            <w:r w:rsidRPr="0002494F">
              <w:rPr>
                <w:rFonts w:ascii="Times New Roman" w:eastAsia="Times New Roman" w:hAnsi="Times New Roman" w:cs="Times New Roman"/>
                <w:b/>
                <w:bCs/>
                <w:lang w:val="lv-LV" w:eastAsia="lv-LV"/>
              </w:rPr>
              <w:t>Ministru kabineta noteikumu</w:t>
            </w:r>
            <w:bookmarkEnd w:id="0"/>
            <w:r w:rsidRPr="0002494F">
              <w:rPr>
                <w:rFonts w:ascii="Times New Roman" w:eastAsia="Times New Roman" w:hAnsi="Times New Roman" w:cs="Times New Roman"/>
                <w:b/>
                <w:bCs/>
                <w:lang w:val="lv-LV" w:eastAsia="lv-LV"/>
              </w:rPr>
              <w:t xml:space="preserve"> projektu "</w:t>
            </w:r>
            <w:r w:rsidR="00C83EF9" w:rsidRPr="0002494F">
              <w:rPr>
                <w:rFonts w:ascii="Times New Roman" w:hAnsi="Times New Roman"/>
                <w:b/>
                <w:lang w:val="lv-LV"/>
              </w:rPr>
              <w:t>Darbības programmas "Izaugsme un nodarbinātība" 14.1.1. specifiskā atbalsta mērķa "Atveseļošanas pasākumi izglītības nozarē (ESF)" 14.1.1.1.   pasākuma "Digitalizācijas iniciatīvas studiju kvalitātes pilnveidei" īstenošanas noteikumi""</w:t>
            </w:r>
          </w:p>
        </w:tc>
      </w:tr>
    </w:tbl>
    <w:p w:rsidR="00FA19FF" w:rsidRPr="0002494F"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02494F" w:rsidRDefault="00FA19FF" w:rsidP="00FA19FF">
      <w:pPr>
        <w:spacing w:after="0" w:line="240" w:lineRule="auto"/>
        <w:ind w:firstLine="375"/>
        <w:jc w:val="center"/>
        <w:rPr>
          <w:rFonts w:ascii="Times New Roman" w:eastAsia="Times New Roman" w:hAnsi="Times New Roman" w:cs="Times New Roman"/>
          <w:b/>
          <w:lang w:val="lv-LV" w:eastAsia="lv-LV"/>
        </w:rPr>
      </w:pPr>
      <w:r w:rsidRPr="0002494F">
        <w:rPr>
          <w:rFonts w:ascii="Times New Roman" w:eastAsia="Times New Roman" w:hAnsi="Times New Roman" w:cs="Times New Roman"/>
          <w:b/>
          <w:lang w:val="lv-LV" w:eastAsia="lv-LV"/>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110"/>
        <w:gridCol w:w="3382"/>
        <w:gridCol w:w="3010"/>
        <w:gridCol w:w="1608"/>
        <w:gridCol w:w="2548"/>
      </w:tblGrid>
      <w:tr w:rsidR="00FA19FF" w:rsidRPr="0002494F" w:rsidTr="00AB3738">
        <w:trPr>
          <w:trHeight w:val="1230"/>
        </w:trPr>
        <w:tc>
          <w:tcPr>
            <w:tcW w:w="340" w:type="pct"/>
            <w:vAlign w:val="center"/>
          </w:tcPr>
          <w:p w:rsidR="00FA19FF" w:rsidRPr="0002494F" w:rsidRDefault="00FA19FF" w:rsidP="00FA19FF">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Nr. p.k.</w:t>
            </w:r>
          </w:p>
        </w:tc>
        <w:tc>
          <w:tcPr>
            <w:tcW w:w="777" w:type="pct"/>
            <w:vAlign w:val="center"/>
          </w:tcPr>
          <w:p w:rsidR="00FA19FF" w:rsidRPr="0002494F" w:rsidRDefault="00FA19FF" w:rsidP="00FA19FF">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Saskaņošanai nosūtītā projekta redakcija (konkrēta vērtēšanas kritērija redakcija)</w:t>
            </w:r>
          </w:p>
        </w:tc>
        <w:tc>
          <w:tcPr>
            <w:tcW w:w="1245" w:type="pct"/>
            <w:vAlign w:val="center"/>
          </w:tcPr>
          <w:p w:rsidR="00FA19FF" w:rsidRPr="0002494F" w:rsidRDefault="00FA19FF" w:rsidP="00FA19FF">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1108" w:type="pct"/>
            <w:vAlign w:val="center"/>
          </w:tcPr>
          <w:p w:rsidR="00FA19FF" w:rsidRPr="0002494F" w:rsidRDefault="00FA19FF" w:rsidP="00FA19FF">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Atbildīgās ministrijas pamatojums iebilduma noraidījumam</w:t>
            </w:r>
          </w:p>
        </w:tc>
        <w:tc>
          <w:tcPr>
            <w:tcW w:w="592" w:type="pct"/>
          </w:tcPr>
          <w:p w:rsidR="00FA19FF" w:rsidRPr="0002494F" w:rsidRDefault="00FA19FF" w:rsidP="00FA19FF">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Atzinuma sniedzēja uzturētais iebildums, ja tas atšķiras no atzinumā norādītā iebilduma pamatojuma</w:t>
            </w:r>
          </w:p>
        </w:tc>
        <w:tc>
          <w:tcPr>
            <w:tcW w:w="938" w:type="pct"/>
            <w:vAlign w:val="center"/>
          </w:tcPr>
          <w:p w:rsidR="00FA19FF" w:rsidRPr="0002494F" w:rsidRDefault="00FA19FF" w:rsidP="00FA19FF">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Projekta attiecīgā punkta (panta) galīgā redakcija</w:t>
            </w:r>
          </w:p>
        </w:tc>
      </w:tr>
      <w:tr w:rsidR="00FA19FF" w:rsidRPr="0002494F" w:rsidTr="00AB3738">
        <w:trPr>
          <w:trHeight w:val="285"/>
        </w:trPr>
        <w:tc>
          <w:tcPr>
            <w:tcW w:w="340" w:type="pct"/>
            <w:shd w:val="clear" w:color="auto" w:fill="auto"/>
            <w:vAlign w:val="center"/>
          </w:tcPr>
          <w:p w:rsidR="00FA19FF" w:rsidRPr="0002494F" w:rsidRDefault="00FA19FF" w:rsidP="00FA19FF">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1.</w:t>
            </w:r>
          </w:p>
        </w:tc>
        <w:tc>
          <w:tcPr>
            <w:tcW w:w="777" w:type="pct"/>
            <w:shd w:val="clear" w:color="auto" w:fill="auto"/>
            <w:vAlign w:val="center"/>
          </w:tcPr>
          <w:p w:rsidR="00FA19FF" w:rsidRPr="0002494F" w:rsidRDefault="00FA19FF" w:rsidP="00FA19FF">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2.</w:t>
            </w:r>
          </w:p>
        </w:tc>
        <w:tc>
          <w:tcPr>
            <w:tcW w:w="1245" w:type="pct"/>
            <w:shd w:val="clear" w:color="auto" w:fill="auto"/>
            <w:vAlign w:val="center"/>
          </w:tcPr>
          <w:p w:rsidR="00FA19FF" w:rsidRPr="0002494F" w:rsidRDefault="00FA19FF" w:rsidP="00FA19FF">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3.</w:t>
            </w:r>
          </w:p>
        </w:tc>
        <w:tc>
          <w:tcPr>
            <w:tcW w:w="1108" w:type="pct"/>
            <w:shd w:val="clear" w:color="auto" w:fill="auto"/>
            <w:vAlign w:val="center"/>
          </w:tcPr>
          <w:p w:rsidR="00FA19FF" w:rsidRPr="0002494F" w:rsidRDefault="00FA19FF" w:rsidP="00FA19FF">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4.</w:t>
            </w:r>
          </w:p>
        </w:tc>
        <w:tc>
          <w:tcPr>
            <w:tcW w:w="592" w:type="pct"/>
            <w:shd w:val="clear" w:color="auto" w:fill="auto"/>
          </w:tcPr>
          <w:p w:rsidR="00FA19FF" w:rsidRPr="0002494F" w:rsidRDefault="00FA19FF" w:rsidP="00FA19FF">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5.</w:t>
            </w:r>
          </w:p>
        </w:tc>
        <w:tc>
          <w:tcPr>
            <w:tcW w:w="938" w:type="pct"/>
            <w:shd w:val="clear" w:color="auto" w:fill="auto"/>
            <w:vAlign w:val="center"/>
          </w:tcPr>
          <w:p w:rsidR="00FA19FF" w:rsidRPr="0002494F" w:rsidRDefault="00FA19FF" w:rsidP="00FA19FF">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6.</w:t>
            </w:r>
          </w:p>
        </w:tc>
      </w:tr>
    </w:tbl>
    <w:p w:rsidR="00FA19FF" w:rsidRPr="0002494F"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02494F" w:rsidRDefault="00FA19FF" w:rsidP="00FA19FF">
      <w:pPr>
        <w:spacing w:after="0" w:line="240" w:lineRule="auto"/>
        <w:ind w:firstLine="375"/>
        <w:jc w:val="both"/>
        <w:rPr>
          <w:rFonts w:ascii="Times New Roman" w:eastAsia="Times New Roman" w:hAnsi="Times New Roman" w:cs="Times New Roman"/>
          <w:b/>
          <w:u w:val="single"/>
          <w:lang w:val="lv-LV" w:eastAsia="lv-LV"/>
        </w:rPr>
      </w:pPr>
      <w:r w:rsidRPr="0002494F">
        <w:rPr>
          <w:rFonts w:ascii="Times New Roman" w:eastAsia="Times New Roman" w:hAnsi="Times New Roman" w:cs="Times New Roman"/>
          <w:b/>
          <w:lang w:val="lv-LV" w:eastAsia="lv-LV"/>
        </w:rPr>
        <w:t xml:space="preserve">Informācija par starpministriju (starpinstitūciju) sanāksmi vai </w:t>
      </w:r>
      <w:r w:rsidRPr="0002494F">
        <w:rPr>
          <w:rFonts w:ascii="Times New Roman" w:eastAsia="Times New Roman" w:hAnsi="Times New Roman" w:cs="Times New Roman"/>
          <w:b/>
          <w:u w:val="single"/>
          <w:lang w:val="lv-LV" w:eastAsia="lv-LV"/>
        </w:rPr>
        <w:t>elektronisko saskaņošanu</w:t>
      </w:r>
    </w:p>
    <w:tbl>
      <w:tblPr>
        <w:tblW w:w="13609" w:type="dxa"/>
        <w:tblInd w:w="-284" w:type="dxa"/>
        <w:tblLook w:val="00A0" w:firstRow="1" w:lastRow="0" w:firstColumn="1" w:lastColumn="0" w:noHBand="0" w:noVBand="0"/>
      </w:tblPr>
      <w:tblGrid>
        <w:gridCol w:w="6663"/>
        <w:gridCol w:w="990"/>
        <w:gridCol w:w="5956"/>
      </w:tblGrid>
      <w:tr w:rsidR="000A1F5A" w:rsidRPr="0002494F" w:rsidTr="000A1F5A">
        <w:trPr>
          <w:trHeight w:val="201"/>
        </w:trPr>
        <w:tc>
          <w:tcPr>
            <w:tcW w:w="6663" w:type="dxa"/>
          </w:tcPr>
          <w:p w:rsidR="000A1F5A" w:rsidRPr="0002494F" w:rsidRDefault="000A1F5A" w:rsidP="000A1F5A">
            <w:pPr>
              <w:spacing w:after="0" w:line="240" w:lineRule="auto"/>
              <w:ind w:left="67" w:hanging="67"/>
              <w:jc w:val="both"/>
              <w:rPr>
                <w:rFonts w:ascii="Times New Roman" w:eastAsia="Times New Roman" w:hAnsi="Times New Roman" w:cs="Times New Roman"/>
                <w:lang w:val="lv-LV" w:eastAsia="lv-LV"/>
              </w:rPr>
            </w:pPr>
          </w:p>
          <w:p w:rsidR="000A1F5A" w:rsidRPr="0002494F" w:rsidRDefault="000A1F5A" w:rsidP="000A1F5A">
            <w:pPr>
              <w:spacing w:after="0" w:line="240" w:lineRule="auto"/>
              <w:ind w:left="67" w:hanging="67"/>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Datums</w:t>
            </w:r>
          </w:p>
        </w:tc>
        <w:tc>
          <w:tcPr>
            <w:tcW w:w="6946" w:type="dxa"/>
            <w:gridSpan w:val="2"/>
            <w:tcBorders>
              <w:bottom w:val="single" w:sz="4" w:space="0" w:color="auto"/>
            </w:tcBorders>
          </w:tcPr>
          <w:p w:rsidR="000A1F5A" w:rsidRPr="00FE26D1" w:rsidRDefault="000A1F5A" w:rsidP="000A1F5A">
            <w:pPr>
              <w:spacing w:after="0" w:line="240" w:lineRule="auto"/>
              <w:jc w:val="both"/>
              <w:rPr>
                <w:rFonts w:ascii="Times New Roman" w:eastAsia="Times New Roman" w:hAnsi="Times New Roman" w:cs="Times New Roman"/>
                <w:lang w:val="lv-LV" w:eastAsia="lv-LV"/>
              </w:rPr>
            </w:pPr>
          </w:p>
          <w:p w:rsidR="000A1F5A" w:rsidRPr="00FE26D1" w:rsidRDefault="00ED6446" w:rsidP="00C856D4">
            <w:pPr>
              <w:spacing w:after="0" w:line="240" w:lineRule="auto"/>
              <w:jc w:val="both"/>
              <w:rPr>
                <w:rFonts w:ascii="Times New Roman" w:eastAsia="Times New Roman" w:hAnsi="Times New Roman" w:cs="Times New Roman"/>
                <w:lang w:val="lv-LV" w:eastAsia="lv-LV"/>
              </w:rPr>
            </w:pPr>
            <w:r w:rsidRPr="00FE26D1">
              <w:rPr>
                <w:rFonts w:ascii="Times New Roman" w:eastAsia="Times New Roman" w:hAnsi="Times New Roman" w:cs="Times New Roman"/>
                <w:lang w:val="lv-LV" w:eastAsia="lv-LV"/>
              </w:rPr>
              <w:t>1</w:t>
            </w:r>
            <w:r w:rsidR="00FE26D1" w:rsidRPr="00FE26D1">
              <w:rPr>
                <w:rFonts w:ascii="Times New Roman" w:eastAsia="Times New Roman" w:hAnsi="Times New Roman" w:cs="Times New Roman"/>
                <w:lang w:val="lv-LV" w:eastAsia="lv-LV"/>
              </w:rPr>
              <w:t>9</w:t>
            </w:r>
            <w:r w:rsidR="004E7951" w:rsidRPr="00FE26D1">
              <w:rPr>
                <w:rFonts w:ascii="Times New Roman" w:eastAsia="Times New Roman" w:hAnsi="Times New Roman" w:cs="Times New Roman"/>
                <w:lang w:val="lv-LV" w:eastAsia="lv-LV"/>
              </w:rPr>
              <w:t>.</w:t>
            </w:r>
            <w:r w:rsidR="003C46D7" w:rsidRPr="00FE26D1">
              <w:rPr>
                <w:rFonts w:ascii="Times New Roman" w:eastAsia="Times New Roman" w:hAnsi="Times New Roman" w:cs="Times New Roman"/>
                <w:lang w:val="lv-LV" w:eastAsia="lv-LV"/>
              </w:rPr>
              <w:t>10</w:t>
            </w:r>
            <w:r w:rsidR="000A1F5A" w:rsidRPr="00FE26D1">
              <w:rPr>
                <w:rFonts w:ascii="Times New Roman" w:eastAsia="Times New Roman" w:hAnsi="Times New Roman" w:cs="Times New Roman"/>
                <w:lang w:val="lv-LV" w:eastAsia="lv-LV"/>
              </w:rPr>
              <w:t>.20</w:t>
            </w:r>
            <w:r w:rsidR="002D4681" w:rsidRPr="00FE26D1">
              <w:rPr>
                <w:rFonts w:ascii="Times New Roman" w:eastAsia="Times New Roman" w:hAnsi="Times New Roman" w:cs="Times New Roman"/>
                <w:lang w:val="lv-LV" w:eastAsia="lv-LV"/>
              </w:rPr>
              <w:t>2</w:t>
            </w:r>
            <w:r w:rsidR="002F6AD8" w:rsidRPr="00FE26D1">
              <w:rPr>
                <w:rFonts w:ascii="Times New Roman" w:eastAsia="Times New Roman" w:hAnsi="Times New Roman" w:cs="Times New Roman"/>
                <w:lang w:val="lv-LV" w:eastAsia="lv-LV"/>
              </w:rPr>
              <w:t>1</w:t>
            </w:r>
            <w:r w:rsidR="000A1F5A" w:rsidRPr="00DD5F4A">
              <w:rPr>
                <w:rFonts w:ascii="Times New Roman" w:eastAsia="Times New Roman" w:hAnsi="Times New Roman" w:cs="Times New Roman"/>
                <w:lang w:val="lv-LV" w:eastAsia="lv-LV"/>
              </w:rPr>
              <w:t>.</w:t>
            </w:r>
            <w:r w:rsidR="0053099C" w:rsidRPr="00DD5F4A">
              <w:rPr>
                <w:rFonts w:ascii="Times New Roman" w:eastAsia="Times New Roman" w:hAnsi="Times New Roman" w:cs="Times New Roman"/>
                <w:lang w:val="lv-LV" w:eastAsia="lv-LV"/>
              </w:rPr>
              <w:t xml:space="preserve">, </w:t>
            </w:r>
            <w:r w:rsidR="00E11BB1" w:rsidRPr="00DD5F4A">
              <w:rPr>
                <w:rFonts w:ascii="Times New Roman" w:eastAsia="Times New Roman" w:hAnsi="Times New Roman" w:cs="Times New Roman"/>
                <w:lang w:val="lv-LV" w:eastAsia="lv-LV"/>
              </w:rPr>
              <w:t>11.11.2021.</w:t>
            </w:r>
            <w:r w:rsidR="00C66AEF">
              <w:rPr>
                <w:rFonts w:ascii="Times New Roman" w:eastAsia="Times New Roman" w:hAnsi="Times New Roman" w:cs="Times New Roman"/>
                <w:lang w:val="lv-LV" w:eastAsia="lv-LV"/>
              </w:rPr>
              <w:t>, 2</w:t>
            </w:r>
            <w:r w:rsidR="00C856D4">
              <w:rPr>
                <w:rFonts w:ascii="Times New Roman" w:eastAsia="Times New Roman" w:hAnsi="Times New Roman" w:cs="Times New Roman"/>
                <w:lang w:val="lv-LV" w:eastAsia="lv-LV"/>
              </w:rPr>
              <w:t>6</w:t>
            </w:r>
            <w:r w:rsidR="00C66AEF">
              <w:rPr>
                <w:rFonts w:ascii="Times New Roman" w:eastAsia="Times New Roman" w:hAnsi="Times New Roman" w:cs="Times New Roman"/>
                <w:lang w:val="lv-LV" w:eastAsia="lv-LV"/>
              </w:rPr>
              <w:t>.11.2021.</w:t>
            </w:r>
          </w:p>
        </w:tc>
      </w:tr>
      <w:tr w:rsidR="000A1F5A" w:rsidRPr="0002494F" w:rsidTr="000A1F5A">
        <w:trPr>
          <w:trHeight w:val="201"/>
        </w:trPr>
        <w:tc>
          <w:tcPr>
            <w:tcW w:w="6663" w:type="dxa"/>
          </w:tcPr>
          <w:p w:rsidR="000A1F5A" w:rsidRPr="0002494F" w:rsidRDefault="000A1F5A" w:rsidP="000A1F5A">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 xml:space="preserve">Saskaņošanas dalībnieki </w:t>
            </w:r>
          </w:p>
        </w:tc>
        <w:tc>
          <w:tcPr>
            <w:tcW w:w="6946" w:type="dxa"/>
            <w:gridSpan w:val="2"/>
            <w:tcBorders>
              <w:top w:val="single" w:sz="4" w:space="0" w:color="auto"/>
            </w:tcBorders>
          </w:tcPr>
          <w:p w:rsidR="000A1F5A" w:rsidRPr="0002494F" w:rsidRDefault="000A1F5A" w:rsidP="006346B3">
            <w:pPr>
              <w:spacing w:after="0" w:line="240" w:lineRule="auto"/>
              <w:jc w:val="both"/>
              <w:rPr>
                <w:rFonts w:ascii="Times New Roman" w:eastAsia="Times New Roman" w:hAnsi="Times New Roman" w:cs="Times New Roman"/>
                <w:shd w:val="clear" w:color="auto" w:fill="FFFFFF"/>
                <w:lang w:val="lv-LV" w:eastAsia="lv-LV"/>
              </w:rPr>
            </w:pPr>
            <w:r w:rsidRPr="0002494F">
              <w:rPr>
                <w:rFonts w:ascii="Times New Roman" w:eastAsia="Times New Roman" w:hAnsi="Times New Roman" w:cs="Times New Roman"/>
                <w:lang w:val="lv-LV" w:eastAsia="lv-LV"/>
              </w:rPr>
              <w:t>Finanšu ministrija</w:t>
            </w:r>
            <w:r w:rsidR="00380802" w:rsidRPr="0002494F">
              <w:rPr>
                <w:rFonts w:ascii="Times New Roman" w:eastAsia="Times New Roman" w:hAnsi="Times New Roman" w:cs="Times New Roman"/>
                <w:lang w:val="lv-LV" w:eastAsia="lv-LV"/>
              </w:rPr>
              <w:t>, Tieslietu ministrija</w:t>
            </w:r>
            <w:r w:rsidR="004E7951" w:rsidRPr="0002494F">
              <w:rPr>
                <w:rFonts w:ascii="Times New Roman" w:eastAsia="Times New Roman" w:hAnsi="Times New Roman" w:cs="Times New Roman"/>
                <w:lang w:val="lv-LV" w:eastAsia="lv-LV"/>
              </w:rPr>
              <w:t>, Aizsardzības ministrija, Labklājības ministrija, Kultūras ministrija, Zemkopības ministrija,</w:t>
            </w:r>
            <w:r w:rsidR="00445AFA" w:rsidRPr="0002494F">
              <w:rPr>
                <w:rFonts w:ascii="Times New Roman" w:eastAsia="Times New Roman" w:hAnsi="Times New Roman" w:cs="Times New Roman"/>
                <w:lang w:val="lv-LV" w:eastAsia="lv-LV"/>
              </w:rPr>
              <w:t xml:space="preserve"> Vides aizsardzības un reģionālās attīstības ministrija,</w:t>
            </w:r>
            <w:r w:rsidR="004E7951" w:rsidRPr="0002494F">
              <w:rPr>
                <w:rFonts w:ascii="Times New Roman" w:eastAsia="Times New Roman" w:hAnsi="Times New Roman" w:cs="Times New Roman"/>
                <w:lang w:val="lv-LV" w:eastAsia="lv-LV"/>
              </w:rPr>
              <w:t xml:space="preserve"> Pārresoru koordinācijas centrs, Latvijas Darba devēju konfederācija, Rektoru padome, Latvijas </w:t>
            </w:r>
            <w:r w:rsidR="006346B3">
              <w:rPr>
                <w:rFonts w:ascii="Times New Roman" w:eastAsia="Times New Roman" w:hAnsi="Times New Roman" w:cs="Times New Roman"/>
                <w:lang w:val="lv-LV" w:eastAsia="lv-LV"/>
              </w:rPr>
              <w:t>U</w:t>
            </w:r>
            <w:r w:rsidR="004E7951" w:rsidRPr="0002494F">
              <w:rPr>
                <w:rFonts w:ascii="Times New Roman" w:eastAsia="Times New Roman" w:hAnsi="Times New Roman" w:cs="Times New Roman"/>
                <w:lang w:val="lv-LV" w:eastAsia="lv-LV"/>
              </w:rPr>
              <w:t>niversitāšu asociācija</w:t>
            </w:r>
          </w:p>
        </w:tc>
      </w:tr>
      <w:tr w:rsidR="000A1F5A" w:rsidRPr="0002494F" w:rsidTr="000A1F5A">
        <w:trPr>
          <w:trHeight w:val="210"/>
        </w:trPr>
        <w:tc>
          <w:tcPr>
            <w:tcW w:w="6663" w:type="dxa"/>
          </w:tcPr>
          <w:p w:rsidR="000A1F5A" w:rsidRPr="0002494F" w:rsidRDefault="000A1F5A" w:rsidP="000A1F5A">
            <w:pPr>
              <w:spacing w:after="0" w:line="240" w:lineRule="auto"/>
              <w:jc w:val="both"/>
              <w:rPr>
                <w:rFonts w:ascii="Times New Roman" w:eastAsia="Times New Roman" w:hAnsi="Times New Roman" w:cs="Times New Roman"/>
                <w:lang w:val="lv-LV" w:eastAsia="lv-LV"/>
              </w:rPr>
            </w:pPr>
          </w:p>
        </w:tc>
        <w:tc>
          <w:tcPr>
            <w:tcW w:w="990" w:type="dxa"/>
            <w:tcBorders>
              <w:bottom w:val="single" w:sz="4" w:space="0" w:color="auto"/>
            </w:tcBorders>
          </w:tcPr>
          <w:p w:rsidR="000A1F5A" w:rsidRPr="0002494F" w:rsidRDefault="000A1F5A" w:rsidP="000A1F5A">
            <w:pPr>
              <w:spacing w:after="0" w:line="240" w:lineRule="auto"/>
              <w:ind w:firstLine="720"/>
              <w:jc w:val="both"/>
              <w:rPr>
                <w:rFonts w:ascii="Times New Roman" w:eastAsia="Times New Roman" w:hAnsi="Times New Roman" w:cs="Times New Roman"/>
                <w:lang w:val="lv-LV" w:eastAsia="lv-LV"/>
              </w:rPr>
            </w:pPr>
          </w:p>
        </w:tc>
        <w:tc>
          <w:tcPr>
            <w:tcW w:w="5956" w:type="dxa"/>
            <w:tcBorders>
              <w:bottom w:val="single" w:sz="4" w:space="0" w:color="auto"/>
            </w:tcBorders>
          </w:tcPr>
          <w:p w:rsidR="000A1F5A" w:rsidRPr="0002494F" w:rsidRDefault="000A1F5A" w:rsidP="000A1F5A">
            <w:pPr>
              <w:spacing w:after="0" w:line="240" w:lineRule="auto"/>
              <w:ind w:firstLine="12"/>
              <w:jc w:val="both"/>
              <w:rPr>
                <w:rFonts w:ascii="Times New Roman" w:eastAsia="Times New Roman" w:hAnsi="Times New Roman" w:cs="Times New Roman"/>
                <w:lang w:val="lv-LV" w:eastAsia="lv-LV"/>
              </w:rPr>
            </w:pPr>
          </w:p>
        </w:tc>
      </w:tr>
      <w:tr w:rsidR="000A1F5A" w:rsidRPr="0002494F" w:rsidTr="000A1F5A">
        <w:trPr>
          <w:trHeight w:val="210"/>
        </w:trPr>
        <w:tc>
          <w:tcPr>
            <w:tcW w:w="6663" w:type="dxa"/>
          </w:tcPr>
          <w:p w:rsidR="000A1F5A" w:rsidRPr="0002494F" w:rsidRDefault="000A1F5A" w:rsidP="000A1F5A">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br w:type="page"/>
              <w:t xml:space="preserve">Saskaņošanas dalībnieki izskatīja šādu ministriju (citu institūciju) iebildumus </w:t>
            </w:r>
          </w:p>
        </w:tc>
        <w:tc>
          <w:tcPr>
            <w:tcW w:w="6946" w:type="dxa"/>
            <w:gridSpan w:val="2"/>
            <w:tcBorders>
              <w:top w:val="single" w:sz="4" w:space="0" w:color="auto"/>
              <w:bottom w:val="single" w:sz="4" w:space="0" w:color="auto"/>
            </w:tcBorders>
          </w:tcPr>
          <w:p w:rsidR="000A1F5A" w:rsidRPr="0002494F" w:rsidRDefault="000A1F5A" w:rsidP="00F65F4B">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Finanšu ministrija</w:t>
            </w:r>
            <w:r w:rsidR="004E7951" w:rsidRPr="0002494F">
              <w:rPr>
                <w:rFonts w:ascii="Times New Roman" w:eastAsia="Times New Roman" w:hAnsi="Times New Roman" w:cs="Times New Roman"/>
                <w:lang w:val="lv-LV" w:eastAsia="lv-LV"/>
              </w:rPr>
              <w:t>, Labklājības ministrija</w:t>
            </w:r>
            <w:r w:rsidR="00F31CDD">
              <w:rPr>
                <w:rFonts w:ascii="Times New Roman" w:eastAsia="Times New Roman" w:hAnsi="Times New Roman" w:cs="Times New Roman"/>
                <w:lang w:val="lv-LV" w:eastAsia="lv-LV"/>
              </w:rPr>
              <w:t>,</w:t>
            </w:r>
            <w:r w:rsidR="006346B3">
              <w:rPr>
                <w:rFonts w:ascii="Times New Roman" w:eastAsia="Times New Roman" w:hAnsi="Times New Roman" w:cs="Times New Roman"/>
                <w:lang w:val="lv-LV" w:eastAsia="lv-LV"/>
              </w:rPr>
              <w:t xml:space="preserve"> Pārresoru koordinācijas centrs</w:t>
            </w:r>
            <w:r w:rsidR="00C51844">
              <w:rPr>
                <w:rFonts w:ascii="Times New Roman" w:eastAsia="Times New Roman" w:hAnsi="Times New Roman" w:cs="Times New Roman"/>
                <w:lang w:val="lv-LV" w:eastAsia="lv-LV"/>
              </w:rPr>
              <w:t>, Tieslietu ministrija</w:t>
            </w:r>
            <w:r w:rsidR="00C66AEF">
              <w:rPr>
                <w:rFonts w:ascii="Times New Roman" w:eastAsia="Times New Roman" w:hAnsi="Times New Roman" w:cs="Times New Roman"/>
                <w:lang w:val="lv-LV" w:eastAsia="lv-LV"/>
              </w:rPr>
              <w:t>, Latvijas Universitāšu asociācija</w:t>
            </w:r>
            <w:r w:rsidR="00F31CDD">
              <w:rPr>
                <w:rFonts w:ascii="Times New Roman" w:eastAsia="Times New Roman" w:hAnsi="Times New Roman" w:cs="Times New Roman"/>
                <w:lang w:val="lv-LV" w:eastAsia="lv-LV"/>
              </w:rPr>
              <w:t xml:space="preserve"> </w:t>
            </w:r>
          </w:p>
        </w:tc>
      </w:tr>
    </w:tbl>
    <w:p w:rsidR="00FA19FF" w:rsidRPr="0002494F" w:rsidRDefault="00FA19FF" w:rsidP="00FA19FF">
      <w:pPr>
        <w:spacing w:after="0" w:line="240" w:lineRule="auto"/>
        <w:ind w:firstLine="375"/>
        <w:jc w:val="both"/>
        <w:rPr>
          <w:rFonts w:ascii="Times New Roman" w:eastAsia="Times New Roman" w:hAnsi="Times New Roman" w:cs="Times New Roman"/>
          <w:b/>
          <w:lang w:val="lv-LV" w:eastAsia="lv-LV"/>
        </w:rPr>
      </w:pPr>
    </w:p>
    <w:tbl>
      <w:tblPr>
        <w:tblW w:w="13467" w:type="dxa"/>
        <w:tblInd w:w="-284" w:type="dxa"/>
        <w:tblLook w:val="00A0" w:firstRow="1" w:lastRow="0" w:firstColumn="1" w:lastColumn="0" w:noHBand="0" w:noVBand="0"/>
      </w:tblPr>
      <w:tblGrid>
        <w:gridCol w:w="7230"/>
        <w:gridCol w:w="6237"/>
      </w:tblGrid>
      <w:tr w:rsidR="000A1F5A" w:rsidRPr="0002494F" w:rsidTr="00AB3738">
        <w:trPr>
          <w:trHeight w:val="612"/>
        </w:trPr>
        <w:tc>
          <w:tcPr>
            <w:tcW w:w="7230" w:type="dxa"/>
          </w:tcPr>
          <w:p w:rsidR="000A1F5A" w:rsidRPr="0002494F" w:rsidRDefault="000A1F5A" w:rsidP="000A1F5A">
            <w:pPr>
              <w:spacing w:after="0" w:line="240" w:lineRule="auto"/>
              <w:jc w:val="both"/>
              <w:rPr>
                <w:rFonts w:ascii="Times New Roman" w:eastAsia="Times New Roman" w:hAnsi="Times New Roman" w:cs="Times New Roman"/>
                <w:lang w:val="lv-LV" w:eastAsia="lv-LV"/>
              </w:rPr>
            </w:pPr>
          </w:p>
          <w:p w:rsidR="000A1F5A" w:rsidRPr="0002494F" w:rsidRDefault="000A1F5A" w:rsidP="000A1F5A">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Ministrijas (citas institūcijas), kuras nav ieradušās uz sanāksmi vai kuras nav atbildējušas uz uzaicinājumu piedalīties elektroniskajā saskaņošanā</w:t>
            </w:r>
          </w:p>
          <w:p w:rsidR="000A1F5A" w:rsidRPr="0002494F" w:rsidRDefault="000A1F5A" w:rsidP="000A1F5A">
            <w:pPr>
              <w:spacing w:after="0" w:line="240" w:lineRule="auto"/>
              <w:jc w:val="both"/>
              <w:rPr>
                <w:rFonts w:ascii="Times New Roman" w:eastAsia="Times New Roman" w:hAnsi="Times New Roman" w:cs="Times New Roman"/>
                <w:lang w:val="lv-LV" w:eastAsia="lv-LV"/>
              </w:rPr>
            </w:pPr>
          </w:p>
        </w:tc>
        <w:tc>
          <w:tcPr>
            <w:tcW w:w="6237" w:type="dxa"/>
          </w:tcPr>
          <w:p w:rsidR="000A1F5A" w:rsidRPr="0002494F" w:rsidRDefault="000A1F5A" w:rsidP="000A1F5A">
            <w:pPr>
              <w:spacing w:after="0" w:line="240" w:lineRule="auto"/>
              <w:jc w:val="both"/>
              <w:rPr>
                <w:rFonts w:ascii="Times New Roman" w:eastAsia="Times New Roman" w:hAnsi="Times New Roman" w:cs="Times New Roman"/>
                <w:lang w:val="lv-LV" w:eastAsia="lv-LV"/>
              </w:rPr>
            </w:pPr>
          </w:p>
          <w:p w:rsidR="000A1F5A" w:rsidRPr="0002494F" w:rsidRDefault="000A1F5A" w:rsidP="000A1F5A">
            <w:pPr>
              <w:spacing w:after="0" w:line="240" w:lineRule="auto"/>
              <w:jc w:val="both"/>
              <w:rPr>
                <w:rFonts w:ascii="Times New Roman" w:eastAsia="Times New Roman" w:hAnsi="Times New Roman" w:cs="Times New Roman"/>
                <w:u w:val="single"/>
                <w:lang w:val="lv-LV" w:eastAsia="lv-LV"/>
              </w:rPr>
            </w:pPr>
          </w:p>
        </w:tc>
      </w:tr>
      <w:tr w:rsidR="000A1F5A" w:rsidRPr="0002494F" w:rsidTr="000A1F5A">
        <w:trPr>
          <w:trHeight w:val="210"/>
        </w:trPr>
        <w:tc>
          <w:tcPr>
            <w:tcW w:w="7230" w:type="dxa"/>
          </w:tcPr>
          <w:p w:rsidR="000A1F5A" w:rsidRPr="0002494F" w:rsidRDefault="000A1F5A" w:rsidP="000A1F5A">
            <w:pPr>
              <w:spacing w:after="0" w:line="240" w:lineRule="auto"/>
              <w:ind w:firstLine="720"/>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  </w:t>
            </w:r>
          </w:p>
          <w:p w:rsidR="002D4681" w:rsidRPr="0002494F"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02494F"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02494F"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02494F"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02494F" w:rsidRDefault="002D4681" w:rsidP="000A1F5A">
            <w:pPr>
              <w:spacing w:after="0" w:line="240" w:lineRule="auto"/>
              <w:ind w:firstLine="720"/>
              <w:jc w:val="both"/>
              <w:rPr>
                <w:rFonts w:ascii="Times New Roman" w:eastAsia="Times New Roman" w:hAnsi="Times New Roman" w:cs="Times New Roman"/>
                <w:lang w:val="lv-LV" w:eastAsia="lv-LV"/>
              </w:rPr>
            </w:pPr>
          </w:p>
        </w:tc>
        <w:tc>
          <w:tcPr>
            <w:tcW w:w="6237" w:type="dxa"/>
          </w:tcPr>
          <w:p w:rsidR="000A1F5A" w:rsidRPr="0002494F" w:rsidRDefault="000A1F5A" w:rsidP="000A1F5A">
            <w:pPr>
              <w:spacing w:after="0" w:line="240" w:lineRule="auto"/>
              <w:ind w:firstLine="720"/>
              <w:jc w:val="both"/>
              <w:rPr>
                <w:rFonts w:ascii="Times New Roman" w:eastAsia="Times New Roman" w:hAnsi="Times New Roman" w:cs="Times New Roman"/>
                <w:lang w:val="lv-LV" w:eastAsia="lv-LV"/>
              </w:rPr>
            </w:pPr>
          </w:p>
        </w:tc>
      </w:tr>
    </w:tbl>
    <w:p w:rsidR="00692FBF" w:rsidRPr="0002494F" w:rsidRDefault="00692FBF" w:rsidP="00FA19FF">
      <w:pPr>
        <w:spacing w:after="0" w:line="240" w:lineRule="auto"/>
        <w:jc w:val="center"/>
        <w:rPr>
          <w:rFonts w:ascii="Times New Roman" w:eastAsia="Times New Roman" w:hAnsi="Times New Roman" w:cs="Times New Roman"/>
          <w:b/>
          <w:lang w:val="lv-LV" w:eastAsia="lv-LV"/>
        </w:rPr>
      </w:pPr>
    </w:p>
    <w:p w:rsidR="00FA19FF" w:rsidRPr="0002494F" w:rsidRDefault="00FA19FF" w:rsidP="00FA19FF">
      <w:pPr>
        <w:spacing w:after="0" w:line="240" w:lineRule="auto"/>
        <w:jc w:val="center"/>
        <w:rPr>
          <w:rFonts w:ascii="Times New Roman" w:eastAsia="Times New Roman" w:hAnsi="Times New Roman" w:cs="Times New Roman"/>
          <w:b/>
          <w:lang w:val="lv-LV" w:eastAsia="lv-LV"/>
        </w:rPr>
      </w:pPr>
      <w:r w:rsidRPr="0002494F">
        <w:rPr>
          <w:rFonts w:ascii="Times New Roman" w:eastAsia="Times New Roman" w:hAnsi="Times New Roman" w:cs="Times New Roman"/>
          <w:b/>
          <w:lang w:val="lv-LV" w:eastAsia="lv-LV"/>
        </w:rPr>
        <w:lastRenderedPageBreak/>
        <w:t>II. Jautājumi, par kuriem saskaņošanā vienošanās ir panākta</w:t>
      </w:r>
    </w:p>
    <w:p w:rsidR="00FA19FF" w:rsidRPr="0002494F" w:rsidRDefault="00FA19FF" w:rsidP="00FA19FF">
      <w:pPr>
        <w:rPr>
          <w:lang w:val="lv-LV"/>
        </w:rPr>
      </w:pPr>
    </w:p>
    <w:tbl>
      <w:tblPr>
        <w:tblpPr w:leftFromText="180" w:rightFromText="180" w:vertAnchor="text" w:tblpX="-616"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575"/>
        <w:gridCol w:w="3969"/>
        <w:gridCol w:w="3119"/>
        <w:gridCol w:w="3260"/>
      </w:tblGrid>
      <w:tr w:rsidR="005A26C5" w:rsidRPr="0002494F" w:rsidTr="00F70E0C">
        <w:trPr>
          <w:trHeight w:val="148"/>
        </w:trPr>
        <w:tc>
          <w:tcPr>
            <w:tcW w:w="964" w:type="dxa"/>
            <w:vAlign w:val="center"/>
          </w:tcPr>
          <w:p w:rsidR="005A26C5" w:rsidRPr="0002494F" w:rsidRDefault="005A26C5" w:rsidP="009B56F3">
            <w:pPr>
              <w:spacing w:after="0" w:line="240" w:lineRule="auto"/>
              <w:ind w:right="-108"/>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Nr. p.k.</w:t>
            </w:r>
          </w:p>
        </w:tc>
        <w:tc>
          <w:tcPr>
            <w:tcW w:w="2575" w:type="dxa"/>
            <w:vAlign w:val="center"/>
          </w:tcPr>
          <w:p w:rsidR="005A26C5" w:rsidRPr="0002494F" w:rsidRDefault="005A26C5" w:rsidP="009B56F3">
            <w:pPr>
              <w:spacing w:after="0" w:line="240" w:lineRule="auto"/>
              <w:ind w:firstLine="12"/>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Saskaņošanai nosūtītā projekta redakcija (konkrēta punkta (panta) redakcija)</w:t>
            </w:r>
          </w:p>
        </w:tc>
        <w:tc>
          <w:tcPr>
            <w:tcW w:w="3969" w:type="dxa"/>
            <w:vAlign w:val="center"/>
          </w:tcPr>
          <w:p w:rsidR="005A26C5" w:rsidRPr="0002494F" w:rsidRDefault="005A26C5" w:rsidP="009B56F3">
            <w:pPr>
              <w:spacing w:after="0" w:line="240" w:lineRule="auto"/>
              <w:ind w:right="3"/>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3119" w:type="dxa"/>
            <w:vAlign w:val="center"/>
          </w:tcPr>
          <w:p w:rsidR="005A26C5" w:rsidRPr="0002494F" w:rsidRDefault="005A26C5" w:rsidP="009B56F3">
            <w:pPr>
              <w:spacing w:after="0" w:line="240" w:lineRule="auto"/>
              <w:ind w:firstLine="21"/>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Atbildīgās ministrijas norāde par to, ka iebildums ir ņemts vērā, vai informācija par saskaņošanā panākto alternatīvo risinājumu</w:t>
            </w:r>
          </w:p>
        </w:tc>
        <w:tc>
          <w:tcPr>
            <w:tcW w:w="3260" w:type="dxa"/>
            <w:vAlign w:val="center"/>
          </w:tcPr>
          <w:p w:rsidR="005A26C5" w:rsidRPr="0002494F" w:rsidRDefault="00E11BB1" w:rsidP="009B56F3">
            <w:pPr>
              <w:spacing w:after="0" w:line="240" w:lineRule="auto"/>
              <w:ind w:firstLine="21"/>
              <w:jc w:val="center"/>
              <w:rPr>
                <w:rFonts w:ascii="Times New Roman" w:eastAsia="Times New Roman" w:hAnsi="Times New Roman" w:cs="Times New Roman"/>
                <w:lang w:val="lv-LV" w:eastAsia="lv-LV"/>
              </w:rPr>
            </w:pPr>
            <w:r w:rsidRPr="002835A1">
              <w:rPr>
                <w:rFonts w:ascii="Times New Roman" w:eastAsia="Times New Roman" w:hAnsi="Times New Roman" w:cs="Times New Roman"/>
                <w:lang w:val="lv-LV" w:eastAsia="lv-LV"/>
              </w:rPr>
              <w:t>Projekta attiecīgā punkta (panta) galīgā redakcija</w:t>
            </w:r>
          </w:p>
        </w:tc>
      </w:tr>
      <w:tr w:rsidR="005A26C5" w:rsidRPr="0002494F" w:rsidTr="00F70E0C">
        <w:trPr>
          <w:trHeight w:val="283"/>
        </w:trPr>
        <w:tc>
          <w:tcPr>
            <w:tcW w:w="964" w:type="dxa"/>
          </w:tcPr>
          <w:p w:rsidR="005A26C5" w:rsidRPr="0002494F" w:rsidRDefault="005A26C5" w:rsidP="009B56F3">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1</w:t>
            </w:r>
          </w:p>
        </w:tc>
        <w:tc>
          <w:tcPr>
            <w:tcW w:w="2575" w:type="dxa"/>
          </w:tcPr>
          <w:p w:rsidR="005A26C5" w:rsidRPr="0002494F" w:rsidRDefault="005A26C5" w:rsidP="009B56F3">
            <w:pPr>
              <w:spacing w:after="0" w:line="240" w:lineRule="auto"/>
              <w:ind w:firstLine="720"/>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2</w:t>
            </w:r>
          </w:p>
        </w:tc>
        <w:tc>
          <w:tcPr>
            <w:tcW w:w="3969" w:type="dxa"/>
          </w:tcPr>
          <w:p w:rsidR="005A26C5" w:rsidRPr="0002494F" w:rsidRDefault="005A26C5" w:rsidP="009B56F3">
            <w:pPr>
              <w:spacing w:after="0" w:line="240" w:lineRule="auto"/>
              <w:ind w:firstLine="720"/>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3</w:t>
            </w:r>
          </w:p>
        </w:tc>
        <w:tc>
          <w:tcPr>
            <w:tcW w:w="3119" w:type="dxa"/>
          </w:tcPr>
          <w:p w:rsidR="005A26C5" w:rsidRPr="0002494F" w:rsidRDefault="005A26C5" w:rsidP="009B56F3">
            <w:pPr>
              <w:spacing w:after="0" w:line="240" w:lineRule="auto"/>
              <w:jc w:val="center"/>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4</w:t>
            </w:r>
          </w:p>
        </w:tc>
        <w:tc>
          <w:tcPr>
            <w:tcW w:w="3260" w:type="dxa"/>
          </w:tcPr>
          <w:p w:rsidR="005A26C5" w:rsidRPr="0002494F" w:rsidRDefault="00E11BB1"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5</w:t>
            </w:r>
          </w:p>
        </w:tc>
      </w:tr>
      <w:tr w:rsidR="00304A18" w:rsidRPr="0002494F" w:rsidTr="00F70E0C">
        <w:trPr>
          <w:trHeight w:val="274"/>
        </w:trPr>
        <w:tc>
          <w:tcPr>
            <w:tcW w:w="964" w:type="dxa"/>
            <w:shd w:val="clear" w:color="auto" w:fill="auto"/>
          </w:tcPr>
          <w:p w:rsidR="00304A18" w:rsidRPr="0002494F" w:rsidRDefault="000A6480" w:rsidP="000A6480">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1.</w:t>
            </w:r>
          </w:p>
        </w:tc>
        <w:tc>
          <w:tcPr>
            <w:tcW w:w="2575" w:type="dxa"/>
            <w:shd w:val="clear" w:color="auto" w:fill="auto"/>
          </w:tcPr>
          <w:p w:rsidR="00304A18" w:rsidRPr="0002494F" w:rsidRDefault="00B81E5C" w:rsidP="00CD76E6">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Vispārīgs</w:t>
            </w:r>
          </w:p>
        </w:tc>
        <w:tc>
          <w:tcPr>
            <w:tcW w:w="3969" w:type="dxa"/>
            <w:shd w:val="clear" w:color="auto" w:fill="auto"/>
          </w:tcPr>
          <w:p w:rsidR="00304A18" w:rsidRPr="0002494F" w:rsidRDefault="00304A18" w:rsidP="00E018FF">
            <w:pPr>
              <w:widowControl w:val="0"/>
              <w:spacing w:after="0" w:line="240" w:lineRule="auto"/>
              <w:jc w:val="both"/>
              <w:rPr>
                <w:rFonts w:ascii="Times New Roman" w:hAnsi="Times New Roman"/>
                <w:b/>
                <w:lang w:val="lv-LV"/>
              </w:rPr>
            </w:pPr>
            <w:r w:rsidRPr="0002494F">
              <w:rPr>
                <w:rFonts w:ascii="Times New Roman" w:hAnsi="Times New Roman"/>
                <w:b/>
                <w:lang w:val="lv-LV"/>
              </w:rPr>
              <w:t>Finanšu ministrija (1.iebildums)</w:t>
            </w:r>
          </w:p>
          <w:p w:rsidR="00304A18" w:rsidRPr="0002494F" w:rsidRDefault="00304A18" w:rsidP="00E018FF">
            <w:pPr>
              <w:widowControl w:val="0"/>
              <w:spacing w:after="0" w:line="240" w:lineRule="auto"/>
              <w:jc w:val="both"/>
              <w:rPr>
                <w:rFonts w:ascii="Times New Roman" w:hAnsi="Times New Roman"/>
                <w:lang w:val="lv-LV"/>
              </w:rPr>
            </w:pPr>
            <w:r w:rsidRPr="0002494F">
              <w:rPr>
                <w:rFonts w:ascii="Times New Roman" w:hAnsi="Times New Roman"/>
                <w:lang w:val="lv-LV"/>
              </w:rPr>
              <w:t>Lūdzam nodrošināt termina “digitālie tehnoloģiskie risinājumi” konsekventu lietošanu noteikumu projekta tekstā un anotācijā.</w:t>
            </w:r>
          </w:p>
        </w:tc>
        <w:tc>
          <w:tcPr>
            <w:tcW w:w="3119" w:type="dxa"/>
            <w:shd w:val="clear" w:color="auto" w:fill="auto"/>
          </w:tcPr>
          <w:p w:rsidR="00304A18" w:rsidRPr="0002494F" w:rsidRDefault="00824FFD"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304A18" w:rsidRPr="0002494F" w:rsidRDefault="00304A18" w:rsidP="008936C1">
            <w:pPr>
              <w:pStyle w:val="tv2132"/>
              <w:spacing w:line="240" w:lineRule="auto"/>
              <w:ind w:firstLine="0"/>
              <w:contextualSpacing/>
              <w:jc w:val="both"/>
              <w:rPr>
                <w:rFonts w:cstheme="minorBidi"/>
                <w:color w:val="auto"/>
                <w:sz w:val="22"/>
                <w:szCs w:val="22"/>
                <w:lang w:val="lv-LV"/>
              </w:rPr>
            </w:pPr>
          </w:p>
        </w:tc>
      </w:tr>
      <w:tr w:rsidR="00304A18" w:rsidRPr="0002494F" w:rsidTr="00F70E0C">
        <w:trPr>
          <w:trHeight w:val="274"/>
        </w:trPr>
        <w:tc>
          <w:tcPr>
            <w:tcW w:w="964" w:type="dxa"/>
            <w:shd w:val="clear" w:color="auto" w:fill="auto"/>
          </w:tcPr>
          <w:p w:rsidR="00304A18" w:rsidRPr="0002494F" w:rsidRDefault="000A64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2.</w:t>
            </w:r>
          </w:p>
        </w:tc>
        <w:tc>
          <w:tcPr>
            <w:tcW w:w="2575" w:type="dxa"/>
            <w:shd w:val="clear" w:color="auto" w:fill="auto"/>
          </w:tcPr>
          <w:p w:rsidR="00304A18" w:rsidRPr="0002494F" w:rsidRDefault="00304A18"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304A18" w:rsidRPr="0002494F" w:rsidRDefault="00304A18" w:rsidP="00E018FF">
            <w:pPr>
              <w:widowControl w:val="0"/>
              <w:spacing w:after="0" w:line="240" w:lineRule="auto"/>
              <w:jc w:val="both"/>
              <w:rPr>
                <w:rFonts w:ascii="Times New Roman" w:eastAsia="Times New Roman" w:hAnsi="Times New Roman" w:cs="Times New Roman"/>
                <w:b/>
                <w:lang w:val="lv-LV"/>
              </w:rPr>
            </w:pPr>
            <w:r w:rsidRPr="0002494F">
              <w:rPr>
                <w:rFonts w:ascii="Times New Roman" w:eastAsia="Times New Roman" w:hAnsi="Times New Roman" w:cs="Times New Roman"/>
                <w:b/>
                <w:lang w:val="lv-LV"/>
              </w:rPr>
              <w:t>Finanšu ministrija (2.iebildums)</w:t>
            </w:r>
          </w:p>
          <w:p w:rsidR="00304A18" w:rsidRPr="0002494F" w:rsidRDefault="00304A18" w:rsidP="00E018FF">
            <w:pPr>
              <w:widowControl w:val="0"/>
              <w:spacing w:after="0" w:line="240" w:lineRule="auto"/>
              <w:jc w:val="both"/>
              <w:rPr>
                <w:rFonts w:ascii="Times New Roman" w:hAnsi="Times New Roman"/>
                <w:b/>
                <w:lang w:val="lv-LV"/>
              </w:rPr>
            </w:pPr>
            <w:r w:rsidRPr="0002494F">
              <w:rPr>
                <w:rFonts w:ascii="Times New Roman" w:eastAsia="Times New Roman" w:hAnsi="Times New Roman" w:cs="Times New Roman"/>
                <w:lang w:val="lv-LV"/>
              </w:rPr>
              <w:t xml:space="preserve">Ņemot vērā, ka pasākumā ir plānots izstrādāt digitālus tehnoloģiskos risinājumus, lūdzam noteikumu projektā paredzēt nosacījumu, ka tie tiks paredzēti tikai valsts izglītības sistēmas ietvaros. Ja pasākuma </w:t>
            </w:r>
            <w:r w:rsidRPr="00C64A37">
              <w:rPr>
                <w:rFonts w:ascii="Times New Roman" w:eastAsia="Times New Roman" w:hAnsi="Times New Roman" w:cs="Times New Roman"/>
                <w:lang w:val="lv-LV"/>
              </w:rPr>
              <w:t xml:space="preserve">ietvaros izstrādāto digitālo tehnoloģisko risinājumu ir plānots izmantot arī papildinošas saimnieciskās darbības veikšanai, piemēram, tālākizglītības vai mūžizglītības kursu īstenošanai, vēršam uzmanību, ka noteikumu projektā jau šobrīd ir jāiekļauj atbilstoši komercdarbības atbalsta regulējuma nosacījumi, piemēram,  projektos, kur atbalsts tiek pamatā sniegts nesaimnieciskai darbībai, būtu iespējams piemērot Komisijas paziņojuma 207.punktā paredzēto pieeju, savukārt gadījumā, ja atbalsts pamatā ir paredzēts saimnieciskas darbības veikšanai, bet projektam neizpildās Komercdarbības atbalsta kontroles likuma 5.pantā minētā ceturtā komercdarbības atbalstu raksturojošā pazīme, tad </w:t>
            </w:r>
            <w:r w:rsidRPr="00C64A37">
              <w:rPr>
                <w:rFonts w:ascii="Times New Roman" w:eastAsia="Times New Roman" w:hAnsi="Times New Roman" w:cs="Times New Roman"/>
                <w:lang w:val="lv-LV"/>
              </w:rPr>
              <w:lastRenderedPageBreak/>
              <w:t>Komisijas paziņojuma 207.punktā minēto pieeju piemērot nevar un ir jārod cits risinājums.</w:t>
            </w:r>
          </w:p>
        </w:tc>
        <w:tc>
          <w:tcPr>
            <w:tcW w:w="3119" w:type="dxa"/>
            <w:shd w:val="clear" w:color="auto" w:fill="auto"/>
          </w:tcPr>
          <w:p w:rsidR="001234E7" w:rsidRPr="001234E7" w:rsidRDefault="00A569CB" w:rsidP="00E018FF">
            <w:pPr>
              <w:spacing w:after="0" w:line="240" w:lineRule="auto"/>
              <w:jc w:val="both"/>
              <w:rPr>
                <w:rFonts w:ascii="Times New Roman" w:eastAsia="Times New Roman" w:hAnsi="Times New Roman" w:cs="Times New Roman"/>
                <w:b/>
                <w:lang w:val="lv-LV" w:eastAsia="lv-LV"/>
              </w:rPr>
            </w:pPr>
            <w:r w:rsidRPr="00C66AEF">
              <w:rPr>
                <w:rFonts w:ascii="Times New Roman" w:eastAsia="Times New Roman" w:hAnsi="Times New Roman" w:cs="Times New Roman"/>
                <w:b/>
                <w:lang w:val="lv-LV" w:eastAsia="lv-LV"/>
              </w:rPr>
              <w:lastRenderedPageBreak/>
              <w:t>Precizēts skaidrojums elektroniskās saskaņošanas laikā</w:t>
            </w:r>
          </w:p>
          <w:p w:rsidR="00D022A4" w:rsidRPr="00D022A4" w:rsidRDefault="00A536BA" w:rsidP="00E018FF">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Skaidrojam, ka u</w:t>
            </w:r>
            <w:r w:rsidR="001234E7" w:rsidRPr="001234E7">
              <w:rPr>
                <w:rFonts w:ascii="Times New Roman" w:eastAsia="Times New Roman" w:hAnsi="Times New Roman" w:cs="Times New Roman"/>
                <w:lang w:val="lv-LV" w:eastAsia="lv-LV"/>
              </w:rPr>
              <w:t xml:space="preserve">z 14.1.1.1. pasākumu neattiecas papildinošas saimnieciskas darbības nosacījumi, tā kā šajā pasākumā nav paredzēta infrastruktūras iegāde un ekspluatācija Eiropas Komisijas paziņojuma par Līguma par Eiropas Savienības darbību 107. panta 1. punktā minēto valsts atbalsta jēdzienu ((2016/C 262/01) (turpmāk – EK paziņojums) 207. punkta izpratnē. Ņemot vērā to  ka 14.1.1.1. pasākuma finansējuma avots ir Eiropas Sociālais fonds, kas pēc būtības nav vērts uz infrastruktūras attīstību, kā arī to, ka akcents šajā pasākumā ir likts uz digitālo prasmju satura kvalitāti, tehniskā aprīkojuma iegāde ir atbalstāma ierobežotā </w:t>
            </w:r>
            <w:r w:rsidR="001234E7" w:rsidRPr="001234E7">
              <w:rPr>
                <w:rFonts w:ascii="Times New Roman" w:eastAsia="Times New Roman" w:hAnsi="Times New Roman" w:cs="Times New Roman"/>
                <w:lang w:val="lv-LV" w:eastAsia="lv-LV"/>
              </w:rPr>
              <w:lastRenderedPageBreak/>
              <w:t xml:space="preserve">apmērā tikai tādā gadījumā, ja tā ir nepieciešama jaunā digitālā satura ieviešanai un apgūšanai. </w:t>
            </w:r>
            <w:r w:rsidR="00D022A4">
              <w:rPr>
                <w:rFonts w:ascii="Times New Roman" w:eastAsia="Times New Roman" w:hAnsi="Times New Roman" w:cs="Times New Roman"/>
                <w:lang w:val="lv-LV" w:eastAsia="lv-LV"/>
              </w:rPr>
              <w:t xml:space="preserve">14.1.1.1. pasākuma atbalstāmās darbības ir līdzīgas  </w:t>
            </w:r>
            <w:r w:rsidR="001234E7" w:rsidRPr="00D022A4">
              <w:rPr>
                <w:rFonts w:ascii="Times New Roman" w:eastAsia="Times New Roman" w:hAnsi="Times New Roman" w:cs="Times New Roman"/>
                <w:lang w:val="lv-LV" w:eastAsia="lv-LV"/>
              </w:rPr>
              <w:t xml:space="preserve">8.2.3. </w:t>
            </w:r>
            <w:r w:rsidR="00D022A4" w:rsidRPr="00D022A4">
              <w:rPr>
                <w:rFonts w:ascii="Times New Roman" w:eastAsia="Times New Roman" w:hAnsi="Times New Roman" w:cs="Times New Roman"/>
                <w:lang w:val="lv-LV" w:eastAsia="lv-LV"/>
              </w:rPr>
              <w:t>SAM pirmās kārtas projekt</w:t>
            </w:r>
            <w:r w:rsidR="00C32EBC">
              <w:rPr>
                <w:rFonts w:ascii="Times New Roman" w:eastAsia="Times New Roman" w:hAnsi="Times New Roman" w:cs="Times New Roman"/>
                <w:lang w:val="lv-LV" w:eastAsia="lv-LV"/>
              </w:rPr>
              <w:t>os</w:t>
            </w:r>
            <w:r w:rsidR="00D022A4" w:rsidRPr="00D022A4">
              <w:rPr>
                <w:rFonts w:ascii="Times New Roman" w:eastAsia="Times New Roman" w:hAnsi="Times New Roman" w:cs="Times New Roman"/>
                <w:lang w:val="lv-LV" w:eastAsia="lv-LV"/>
              </w:rPr>
              <w:t xml:space="preserve"> atsevišķām atbalstām</w:t>
            </w:r>
            <w:r w:rsidR="00C32EBC">
              <w:rPr>
                <w:rFonts w:ascii="Times New Roman" w:eastAsia="Times New Roman" w:hAnsi="Times New Roman" w:cs="Times New Roman"/>
                <w:lang w:val="lv-LV" w:eastAsia="lv-LV"/>
              </w:rPr>
              <w:t>aj</w:t>
            </w:r>
            <w:r w:rsidR="00D022A4" w:rsidRPr="00D022A4">
              <w:rPr>
                <w:rFonts w:ascii="Times New Roman" w:eastAsia="Times New Roman" w:hAnsi="Times New Roman" w:cs="Times New Roman"/>
                <w:lang w:val="lv-LV" w:eastAsia="lv-LV"/>
              </w:rPr>
              <w:t>ām darbībām (t.sk.</w:t>
            </w:r>
            <w:r w:rsidR="001234E7" w:rsidRPr="00D022A4">
              <w:rPr>
                <w:rFonts w:ascii="Times New Roman" w:eastAsia="Times New Roman" w:hAnsi="Times New Roman" w:cs="Times New Roman"/>
                <w:lang w:val="lv-LV" w:eastAsia="lv-LV"/>
              </w:rPr>
              <w:t xml:space="preserve"> tehniskā aprīkojuma iegād</w:t>
            </w:r>
            <w:r w:rsidR="00D022A4" w:rsidRPr="00D022A4">
              <w:rPr>
                <w:rFonts w:ascii="Times New Roman" w:eastAsia="Times New Roman" w:hAnsi="Times New Roman" w:cs="Times New Roman"/>
                <w:lang w:val="lv-LV" w:eastAsia="lv-LV"/>
              </w:rPr>
              <w:t>e</w:t>
            </w:r>
            <w:r w:rsidR="001234E7" w:rsidRPr="00D022A4">
              <w:rPr>
                <w:rFonts w:ascii="Times New Roman" w:eastAsia="Times New Roman" w:hAnsi="Times New Roman" w:cs="Times New Roman"/>
                <w:lang w:val="lv-LV" w:eastAsia="lv-LV"/>
              </w:rPr>
              <w:t xml:space="preserve"> attālināta studiju procesa nodrošināšanai</w:t>
            </w:r>
            <w:r w:rsidR="00D022A4" w:rsidRPr="00D022A4">
              <w:rPr>
                <w:rFonts w:ascii="Times New Roman" w:eastAsia="Times New Roman" w:hAnsi="Times New Roman" w:cs="Times New Roman"/>
                <w:lang w:val="lv-LV" w:eastAsia="lv-LV"/>
              </w:rPr>
              <w:t>)</w:t>
            </w:r>
            <w:r w:rsidR="001234E7" w:rsidRPr="00D022A4">
              <w:rPr>
                <w:rFonts w:ascii="Times New Roman" w:eastAsia="Times New Roman" w:hAnsi="Times New Roman" w:cs="Times New Roman"/>
                <w:lang w:val="lv-LV" w:eastAsia="lv-LV"/>
              </w:rPr>
              <w:t xml:space="preserve">, </w:t>
            </w:r>
            <w:r w:rsidR="00D022A4" w:rsidRPr="00D022A4">
              <w:rPr>
                <w:rFonts w:ascii="Times New Roman" w:eastAsia="Times New Roman" w:hAnsi="Times New Roman" w:cs="Times New Roman"/>
                <w:lang w:val="lv-LV" w:eastAsia="lv-LV"/>
              </w:rPr>
              <w:t xml:space="preserve">līdz ar to </w:t>
            </w:r>
            <w:r w:rsidR="00C32EBC">
              <w:rPr>
                <w:rFonts w:ascii="Times New Roman" w:eastAsia="Times New Roman" w:hAnsi="Times New Roman" w:cs="Times New Roman"/>
                <w:lang w:val="lv-LV" w:eastAsia="lv-LV"/>
              </w:rPr>
              <w:t xml:space="preserve">14.1.1.1. pasākumam </w:t>
            </w:r>
            <w:r w:rsidR="00D022A4" w:rsidRPr="00D022A4">
              <w:rPr>
                <w:rFonts w:ascii="Times New Roman" w:eastAsia="Times New Roman" w:hAnsi="Times New Roman" w:cs="Times New Roman"/>
                <w:lang w:val="lv-LV" w:eastAsia="lv-LV"/>
              </w:rPr>
              <w:t>tiek piemērots līdzīgs regulējums, tostarp nepiemērojot</w:t>
            </w:r>
          </w:p>
          <w:p w:rsidR="001234E7" w:rsidRPr="00D022A4" w:rsidRDefault="001234E7" w:rsidP="00E018FF">
            <w:pPr>
              <w:spacing w:after="0" w:line="240" w:lineRule="auto"/>
              <w:jc w:val="both"/>
              <w:rPr>
                <w:rFonts w:ascii="Times New Roman" w:eastAsia="Times New Roman" w:hAnsi="Times New Roman" w:cs="Times New Roman"/>
                <w:lang w:val="lv-LV" w:eastAsia="lv-LV"/>
              </w:rPr>
            </w:pPr>
            <w:r w:rsidRPr="00D022A4">
              <w:rPr>
                <w:rFonts w:ascii="Times New Roman" w:eastAsia="Times New Roman" w:hAnsi="Times New Roman" w:cs="Times New Roman"/>
                <w:lang w:val="lv-LV" w:eastAsia="lv-LV"/>
              </w:rPr>
              <w:t>prasību par papildinošas saimnieciskas darbības nosacījumiem.</w:t>
            </w:r>
          </w:p>
          <w:p w:rsidR="00C64A37" w:rsidRPr="00C64A37" w:rsidRDefault="005451C6" w:rsidP="005451C6">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No noteikumu projekta svītroti tie punkti un apakšpunkti, kas ietvēra papildinošas saimnieciskās darbības nosacījumus</w:t>
            </w:r>
            <w:r w:rsidR="00C32EBC">
              <w:rPr>
                <w:rFonts w:ascii="Times New Roman" w:eastAsia="Times New Roman" w:hAnsi="Times New Roman" w:cs="Times New Roman"/>
                <w:lang w:val="lv-LV" w:eastAsia="lv-LV"/>
              </w:rPr>
              <w:t>, kā arī precizēts termina „tehniskais aprīkojums” lietojums</w:t>
            </w:r>
            <w:r>
              <w:rPr>
                <w:rFonts w:ascii="Times New Roman" w:eastAsia="Times New Roman" w:hAnsi="Times New Roman" w:cs="Times New Roman"/>
                <w:lang w:val="lv-LV" w:eastAsia="lv-LV"/>
              </w:rPr>
              <w:t>.</w:t>
            </w:r>
            <w:r w:rsidR="008C5150">
              <w:rPr>
                <w:rFonts w:ascii="Times New Roman" w:eastAsia="Times New Roman" w:hAnsi="Times New Roman" w:cs="Times New Roman"/>
                <w:lang w:val="lv-LV" w:eastAsia="lv-LV"/>
              </w:rPr>
              <w:t xml:space="preserve"> Attiecīgi precizēta anotācija.</w:t>
            </w:r>
          </w:p>
        </w:tc>
        <w:tc>
          <w:tcPr>
            <w:tcW w:w="3260" w:type="dxa"/>
          </w:tcPr>
          <w:p w:rsidR="00304A18" w:rsidRPr="0002494F" w:rsidRDefault="00304A18" w:rsidP="003C46D7">
            <w:pPr>
              <w:pStyle w:val="tv2132"/>
              <w:spacing w:line="240" w:lineRule="auto"/>
              <w:ind w:firstLine="0"/>
              <w:contextualSpacing/>
              <w:jc w:val="both"/>
              <w:rPr>
                <w:rFonts w:cstheme="minorBidi"/>
                <w:color w:val="auto"/>
                <w:sz w:val="22"/>
                <w:szCs w:val="22"/>
                <w:lang w:val="lv-LV"/>
              </w:rPr>
            </w:pPr>
          </w:p>
        </w:tc>
      </w:tr>
      <w:tr w:rsidR="00304A18" w:rsidRPr="0002494F" w:rsidTr="00F70E0C">
        <w:trPr>
          <w:trHeight w:val="274"/>
        </w:trPr>
        <w:tc>
          <w:tcPr>
            <w:tcW w:w="964" w:type="dxa"/>
            <w:shd w:val="clear" w:color="auto" w:fill="auto"/>
          </w:tcPr>
          <w:p w:rsidR="00304A18" w:rsidRPr="000A6480" w:rsidRDefault="000A6480" w:rsidP="000A6480">
            <w:pPr>
              <w:pStyle w:val="ListParagraph"/>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w:t>
            </w:r>
          </w:p>
        </w:tc>
        <w:tc>
          <w:tcPr>
            <w:tcW w:w="2575" w:type="dxa"/>
            <w:shd w:val="clear" w:color="auto" w:fill="auto"/>
          </w:tcPr>
          <w:p w:rsidR="00304A18" w:rsidRDefault="00736346" w:rsidP="00736346">
            <w:pPr>
              <w:pStyle w:val="tv2132"/>
              <w:spacing w:line="240" w:lineRule="auto"/>
              <w:ind w:firstLine="0"/>
              <w:contextualSpacing/>
              <w:jc w:val="both"/>
              <w:rPr>
                <w:rFonts w:cstheme="minorBidi"/>
                <w:color w:val="auto"/>
                <w:sz w:val="22"/>
                <w:szCs w:val="22"/>
                <w:lang w:val="lv-LV"/>
              </w:rPr>
            </w:pPr>
            <w:r w:rsidRPr="00736346">
              <w:rPr>
                <w:rFonts w:cstheme="minorBidi"/>
                <w:color w:val="auto"/>
                <w:sz w:val="22"/>
                <w:szCs w:val="22"/>
                <w:lang w:val="lv-LV"/>
              </w:rPr>
              <w:t>2.2. darbība, kurai nav saimnieciska rakstura, – augstskolas darbība, kura neietilpst Līguma par Eiropas Savienības darbību (Eiropas Savienības Oficiālais Vēstnesis, 2010. gada 30. marts, Nr. C 83/47) 107. panta 1. p</w:t>
            </w:r>
            <w:r>
              <w:rPr>
                <w:rFonts w:cstheme="minorBidi"/>
                <w:color w:val="auto"/>
                <w:sz w:val="22"/>
                <w:szCs w:val="22"/>
                <w:lang w:val="lv-LV"/>
              </w:rPr>
              <w:t>unktā noteiktajā darbības jomā</w:t>
            </w:r>
            <w:r w:rsidR="00A51EA7">
              <w:rPr>
                <w:rFonts w:cstheme="minorBidi"/>
                <w:color w:val="auto"/>
                <w:sz w:val="22"/>
                <w:szCs w:val="22"/>
                <w:lang w:val="lv-LV"/>
              </w:rPr>
              <w:t>.</w:t>
            </w:r>
          </w:p>
          <w:p w:rsidR="00A51EA7" w:rsidRPr="0002494F" w:rsidRDefault="00A51EA7" w:rsidP="00736346">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23. </w:t>
            </w:r>
            <w:r w:rsidR="00A87731" w:rsidRPr="00472A03">
              <w:rPr>
                <w:color w:val="auto"/>
                <w:sz w:val="28"/>
                <w:szCs w:val="28"/>
                <w:lang w:val="lv-LV"/>
              </w:rPr>
              <w:t xml:space="preserve"> </w:t>
            </w:r>
            <w:r w:rsidR="00A87731" w:rsidRPr="00A87731">
              <w:rPr>
                <w:color w:val="auto"/>
                <w:sz w:val="22"/>
                <w:szCs w:val="22"/>
                <w:lang w:val="lv-LV"/>
              </w:rPr>
              <w:t xml:space="preserve">Finansējuma saņēmējs pasākuma ietvaros īsteno projektus, kas nav saistīti </w:t>
            </w:r>
            <w:r w:rsidR="00A87731" w:rsidRPr="00A87731">
              <w:rPr>
                <w:color w:val="auto"/>
                <w:sz w:val="22"/>
                <w:szCs w:val="22"/>
                <w:lang w:val="lv-LV"/>
              </w:rPr>
              <w:lastRenderedPageBreak/>
              <w:t>ar saimnieciskās darbības veikšanu vai nekvalificējas kā komercdarbības atbalsts.</w:t>
            </w:r>
          </w:p>
        </w:tc>
        <w:tc>
          <w:tcPr>
            <w:tcW w:w="3969" w:type="dxa"/>
            <w:shd w:val="clear" w:color="auto" w:fill="auto"/>
          </w:tcPr>
          <w:p w:rsidR="00CD11FC" w:rsidRPr="0002494F" w:rsidRDefault="00CD11FC" w:rsidP="00E018FF">
            <w:pPr>
              <w:widowControl w:val="0"/>
              <w:spacing w:after="0" w:line="240" w:lineRule="auto"/>
              <w:jc w:val="both"/>
              <w:rPr>
                <w:rFonts w:ascii="Times New Roman" w:eastAsia="Times New Roman" w:hAnsi="Times New Roman" w:cs="Times New Roman"/>
                <w:b/>
                <w:lang w:val="lv-LV"/>
              </w:rPr>
            </w:pPr>
            <w:r w:rsidRPr="0002494F">
              <w:rPr>
                <w:rFonts w:ascii="Times New Roman" w:eastAsia="Times New Roman" w:hAnsi="Times New Roman" w:cs="Times New Roman"/>
                <w:b/>
                <w:lang w:val="lv-LV"/>
              </w:rPr>
              <w:lastRenderedPageBreak/>
              <w:t>Finanšu ministrija (3.iebildums)</w:t>
            </w:r>
          </w:p>
          <w:p w:rsidR="00304A18" w:rsidRPr="0002494F" w:rsidRDefault="00304A18" w:rsidP="00E018FF">
            <w:pPr>
              <w:widowControl w:val="0"/>
              <w:spacing w:after="0" w:line="240" w:lineRule="auto"/>
              <w:jc w:val="both"/>
              <w:rPr>
                <w:rFonts w:ascii="Times New Roman" w:hAnsi="Times New Roman" w:cs="Times New Roman"/>
                <w:b/>
                <w:lang w:val="lv-LV"/>
              </w:rPr>
            </w:pPr>
            <w:r w:rsidRPr="0002494F">
              <w:rPr>
                <w:rFonts w:ascii="Times New Roman" w:eastAsia="Times New Roman" w:hAnsi="Times New Roman" w:cs="Times New Roman"/>
                <w:lang w:val="lv-LV"/>
              </w:rPr>
              <w:t xml:space="preserve">Ņemot vērā to, ka izglītības jomā var būt arī tādas augstskolas, kas īsteno saimniecisko darbību, un ka tādā gadījumā atbalsta piešķiršana augstskolu personāla izmaksu segšanai būtu uzskatāma par ekonomiskās priekšrocības </w:t>
            </w:r>
            <w:r w:rsidRPr="00CC2D6B">
              <w:rPr>
                <w:rFonts w:ascii="Times New Roman" w:eastAsia="Times New Roman" w:hAnsi="Times New Roman" w:cs="Times New Roman"/>
                <w:lang w:val="lv-LV"/>
              </w:rPr>
              <w:t xml:space="preserve">sniegšanu arī noteikumu projekta ietvaros, lūdzam precizēt anotācijā ietverto informāciju (7. un 8.lp), skaidri atspoguļojot to, ka, lai nodrošinātu noteikumu projekta 23.punktā noteikto, tiks vērtēts augstskolu nesaimnieciskais raksturs (ieņēmumi nepārsniedz 50 % no izdevumiem) vai </w:t>
            </w:r>
            <w:r w:rsidRPr="00CC2D6B">
              <w:rPr>
                <w:rFonts w:ascii="Times New Roman" w:eastAsia="Times New Roman" w:hAnsi="Times New Roman" w:cs="Times New Roman"/>
                <w:lang w:val="lv-LV"/>
              </w:rPr>
              <w:lastRenderedPageBreak/>
              <w:t>Komercdarbības atbalsta kontroles likuma 5.pantā noteiktā 4. komer</w:t>
            </w:r>
            <w:r w:rsidRPr="0002494F">
              <w:rPr>
                <w:rFonts w:ascii="Times New Roman" w:eastAsia="Times New Roman" w:hAnsi="Times New Roman" w:cs="Times New Roman"/>
                <w:lang w:val="lv-LV"/>
              </w:rPr>
              <w:t>cdarbības atbalstu raksturojoša pazīme. Vienlaikus ievērojot noteikumu projekta 2.2.apakšpunktā iekļauto terminu “darbība, kurai nav saimnieciska rakstura, – augstskolas darbība, kura neietilpst Līguma par Eiropas Savienības darbību (Eiropas Savienības Oficiālais Vēstnesis, 2010.gada 30.marts, Nr.C 83/47) 107.panta 1.punktā noteiktajā darbības jomā”, vēršam uzmanību, ka atbilstoši Komisijas paziņojuma par Līguma par Eiropas Savienības darbību 107.panta 1.punktā minēto valsts atbalsta jēdzienu (C/2016/2946) (turpmāk – Komisijas paziņojums)  29.punktā noteiktajam un Eiropas Komisijas sniegtajiem skaidrojumiem valsts izglītības sistēmas ietvaros sniegti pakalpojumi nav uzskatāmi par saimniecisku darbību, ja ieņēmumi no šīs darbības nepārsniedz 50% no darbības izdevumiem. Lūdzam atbilstoši precizēt noteikumu projekta 2.2.apakšpunktu. Vēršam uzmanību, ka noteikumu projekta 2.2.apakšpunktā minēta atsauce uz Līguma par Eiropas Savienības darbību 107.panta 1.punktā noteikto darbības jomu ir plašs definējums, tāpēc lūdzam precizēt noteikumu projektu un/vai anotāciju tā, lai noteikumu piemērotājiem būtu skaidrs, kādiem kritērijiem ir jāizpildās un kā to pārbaudīt</w:t>
            </w:r>
          </w:p>
        </w:tc>
        <w:tc>
          <w:tcPr>
            <w:tcW w:w="3119" w:type="dxa"/>
            <w:shd w:val="clear" w:color="auto" w:fill="auto"/>
          </w:tcPr>
          <w:p w:rsidR="00A569CB" w:rsidRPr="001234E7" w:rsidRDefault="00A569CB" w:rsidP="00A569CB">
            <w:pPr>
              <w:spacing w:after="0" w:line="240" w:lineRule="auto"/>
              <w:jc w:val="both"/>
              <w:rPr>
                <w:rFonts w:ascii="Times New Roman" w:eastAsia="Times New Roman" w:hAnsi="Times New Roman" w:cs="Times New Roman"/>
                <w:b/>
                <w:lang w:val="lv-LV" w:eastAsia="lv-LV"/>
              </w:rPr>
            </w:pPr>
            <w:r w:rsidRPr="00C66AEF">
              <w:rPr>
                <w:rFonts w:ascii="Times New Roman" w:eastAsia="Times New Roman" w:hAnsi="Times New Roman" w:cs="Times New Roman"/>
                <w:b/>
                <w:lang w:val="lv-LV" w:eastAsia="lv-LV"/>
              </w:rPr>
              <w:lastRenderedPageBreak/>
              <w:t>Precizēts skaidrojums elektroniskās saskaņošanas laikā</w:t>
            </w:r>
          </w:p>
          <w:p w:rsidR="000C71D1" w:rsidRDefault="000C71D1" w:rsidP="00E018FF">
            <w:pPr>
              <w:spacing w:after="0" w:line="240" w:lineRule="auto"/>
              <w:jc w:val="both"/>
              <w:rPr>
                <w:rFonts w:ascii="Times New Roman" w:eastAsia="Times New Roman" w:hAnsi="Times New Roman" w:cs="Times New Roman"/>
                <w:lang w:val="lv-LV" w:eastAsia="lv-LV"/>
              </w:rPr>
            </w:pPr>
            <w:r w:rsidRPr="000C71D1">
              <w:rPr>
                <w:rFonts w:ascii="Times New Roman" w:eastAsia="Times New Roman" w:hAnsi="Times New Roman" w:cs="Times New Roman"/>
                <w:lang w:val="lv-LV" w:eastAsia="lv-LV"/>
              </w:rPr>
              <w:t xml:space="preserve">Noteikumu projekta </w:t>
            </w:r>
            <w:r w:rsidR="006E0CC9" w:rsidRPr="0030605A">
              <w:rPr>
                <w:rFonts w:ascii="Times New Roman" w:eastAsia="Times New Roman" w:hAnsi="Times New Roman" w:cs="Times New Roman"/>
                <w:lang w:val="lv-LV" w:eastAsia="lv-LV"/>
              </w:rPr>
              <w:t xml:space="preserve"> </w:t>
            </w:r>
            <w:r w:rsidRPr="000C71D1">
              <w:rPr>
                <w:rFonts w:ascii="Times New Roman" w:eastAsia="Times New Roman" w:hAnsi="Times New Roman" w:cs="Times New Roman"/>
                <w:lang w:val="lv-LV" w:eastAsia="lv-LV"/>
              </w:rPr>
              <w:t>2.2.</w:t>
            </w:r>
            <w:r w:rsidR="003233A8">
              <w:rPr>
                <w:rFonts w:ascii="Times New Roman" w:eastAsia="Times New Roman" w:hAnsi="Times New Roman" w:cs="Times New Roman"/>
                <w:lang w:val="lv-LV" w:eastAsia="lv-LV"/>
              </w:rPr>
              <w:t xml:space="preserve"> </w:t>
            </w:r>
            <w:r w:rsidRPr="000C71D1">
              <w:rPr>
                <w:rFonts w:ascii="Times New Roman" w:eastAsia="Times New Roman" w:hAnsi="Times New Roman" w:cs="Times New Roman"/>
                <w:lang w:val="lv-LV" w:eastAsia="lv-LV"/>
              </w:rPr>
              <w:t>apakšpunkts</w:t>
            </w:r>
            <w:r w:rsidR="00520BE1">
              <w:rPr>
                <w:rFonts w:ascii="Times New Roman" w:eastAsia="Times New Roman" w:hAnsi="Times New Roman" w:cs="Times New Roman"/>
                <w:lang w:val="lv-LV" w:eastAsia="lv-LV"/>
              </w:rPr>
              <w:t xml:space="preserve"> un 23.</w:t>
            </w:r>
            <w:r w:rsidR="003233A8">
              <w:rPr>
                <w:rFonts w:ascii="Times New Roman" w:eastAsia="Times New Roman" w:hAnsi="Times New Roman" w:cs="Times New Roman"/>
                <w:lang w:val="lv-LV" w:eastAsia="lv-LV"/>
              </w:rPr>
              <w:t xml:space="preserve"> </w:t>
            </w:r>
            <w:r w:rsidR="00520BE1">
              <w:rPr>
                <w:rFonts w:ascii="Times New Roman" w:eastAsia="Times New Roman" w:hAnsi="Times New Roman" w:cs="Times New Roman"/>
                <w:lang w:val="lv-LV" w:eastAsia="lv-LV"/>
              </w:rPr>
              <w:t xml:space="preserve">punkts </w:t>
            </w:r>
            <w:r w:rsidRPr="000C71D1">
              <w:rPr>
                <w:rFonts w:ascii="Times New Roman" w:eastAsia="Times New Roman" w:hAnsi="Times New Roman" w:cs="Times New Roman"/>
                <w:lang w:val="lv-LV" w:eastAsia="lv-LV"/>
              </w:rPr>
              <w:t>svītrots.</w:t>
            </w:r>
            <w:r>
              <w:rPr>
                <w:rFonts w:ascii="Times New Roman" w:eastAsia="Times New Roman" w:hAnsi="Times New Roman" w:cs="Times New Roman"/>
                <w:lang w:val="lv-LV" w:eastAsia="lv-LV"/>
              </w:rPr>
              <w:t xml:space="preserve"> </w:t>
            </w:r>
            <w:r w:rsidRPr="000C71D1">
              <w:rPr>
                <w:rFonts w:ascii="Times New Roman" w:eastAsia="Times New Roman" w:hAnsi="Times New Roman" w:cs="Times New Roman"/>
                <w:lang w:val="lv-LV" w:eastAsia="lv-LV"/>
              </w:rPr>
              <w:t>No noteikumu projekta un anotācijas svītrots saimnieciskas un ne-saimnieciskas darbības nosacījums</w:t>
            </w:r>
            <w:r>
              <w:rPr>
                <w:rFonts w:ascii="Times New Roman" w:eastAsia="Times New Roman" w:hAnsi="Times New Roman" w:cs="Times New Roman"/>
                <w:lang w:val="lv-LV" w:eastAsia="lv-LV"/>
              </w:rPr>
              <w:t>.</w:t>
            </w:r>
          </w:p>
          <w:p w:rsidR="00CC2D6B" w:rsidRDefault="00CC2D6B" w:rsidP="00E018FF">
            <w:pPr>
              <w:spacing w:after="0" w:line="240" w:lineRule="auto"/>
              <w:jc w:val="both"/>
              <w:rPr>
                <w:rFonts w:ascii="Times New Roman" w:eastAsia="Times New Roman" w:hAnsi="Times New Roman" w:cs="Times New Roman"/>
                <w:lang w:val="lv-LV" w:eastAsia="lv-LV"/>
              </w:rPr>
            </w:pPr>
            <w:r w:rsidRPr="00CC2D6B">
              <w:rPr>
                <w:rFonts w:ascii="Times New Roman" w:eastAsia="Times New Roman" w:hAnsi="Times New Roman" w:cs="Times New Roman"/>
                <w:lang w:val="lv-LV" w:eastAsia="lv-LV"/>
              </w:rPr>
              <w:t>Ano</w:t>
            </w:r>
            <w:r>
              <w:rPr>
                <w:rFonts w:ascii="Times New Roman" w:eastAsia="Times New Roman" w:hAnsi="Times New Roman" w:cs="Times New Roman"/>
                <w:lang w:val="lv-LV" w:eastAsia="lv-LV"/>
              </w:rPr>
              <w:t>tācija papildināta ar atbilstošu skaidrojumu</w:t>
            </w:r>
            <w:r w:rsidR="008F5A80">
              <w:rPr>
                <w:rFonts w:ascii="Times New Roman" w:eastAsia="Times New Roman" w:hAnsi="Times New Roman" w:cs="Times New Roman"/>
                <w:lang w:val="lv-LV" w:eastAsia="lv-LV"/>
              </w:rPr>
              <w:t xml:space="preserve">, ka </w:t>
            </w:r>
            <w:r w:rsidR="008F5A80" w:rsidRPr="008F5A80">
              <w:rPr>
                <w:rFonts w:ascii="Times New Roman" w:eastAsia="Times New Roman" w:hAnsi="Times New Roman" w:cs="Times New Roman"/>
                <w:lang w:val="lv-LV" w:eastAsia="lv-LV"/>
              </w:rPr>
              <w:t xml:space="preserve">14.1.1.1. pasākumā komercdarbības atbalsta </w:t>
            </w:r>
            <w:r w:rsidR="008F5A80" w:rsidRPr="008F5A80">
              <w:rPr>
                <w:rFonts w:ascii="Times New Roman" w:eastAsia="Times New Roman" w:hAnsi="Times New Roman" w:cs="Times New Roman"/>
                <w:lang w:val="lv-LV" w:eastAsia="lv-LV"/>
              </w:rPr>
              <w:lastRenderedPageBreak/>
              <w:t>sniegšana tiek izslēgta, pamatojoties uz Komercdarbības atbalsta kontroles likuma 5.pantā noteikto 4. komercdarbības atbalstu raksturojošo pazīmi, vērtējot visu augstākās izglītības sistēmu kopumā</w:t>
            </w:r>
            <w:r>
              <w:rPr>
                <w:rFonts w:ascii="Times New Roman" w:eastAsia="Times New Roman" w:hAnsi="Times New Roman" w:cs="Times New Roman"/>
                <w:lang w:val="lv-LV" w:eastAsia="lv-LV"/>
              </w:rPr>
              <w:t>.</w:t>
            </w:r>
            <w:r w:rsidR="008F5A80">
              <w:rPr>
                <w:rFonts w:ascii="Times New Roman" w:eastAsia="Times New Roman" w:hAnsi="Times New Roman" w:cs="Times New Roman"/>
                <w:lang w:val="lv-LV" w:eastAsia="lv-LV"/>
              </w:rPr>
              <w:t xml:space="preserve"> </w:t>
            </w:r>
          </w:p>
          <w:p w:rsidR="002916B0" w:rsidRPr="00CC2D6B" w:rsidRDefault="002916B0" w:rsidP="00E018FF">
            <w:pPr>
              <w:spacing w:after="0" w:line="240" w:lineRule="auto"/>
              <w:jc w:val="both"/>
              <w:rPr>
                <w:rFonts w:ascii="Times New Roman" w:eastAsia="Times New Roman" w:hAnsi="Times New Roman" w:cs="Times New Roman"/>
                <w:lang w:val="lv-LV" w:eastAsia="lv-LV"/>
              </w:rPr>
            </w:pPr>
          </w:p>
        </w:tc>
        <w:tc>
          <w:tcPr>
            <w:tcW w:w="3260" w:type="dxa"/>
          </w:tcPr>
          <w:p w:rsidR="003B704C" w:rsidRPr="0002494F" w:rsidRDefault="003B704C" w:rsidP="003B704C">
            <w:pPr>
              <w:pStyle w:val="tv2132"/>
              <w:spacing w:line="240" w:lineRule="auto"/>
              <w:ind w:firstLine="0"/>
              <w:contextualSpacing/>
              <w:jc w:val="both"/>
              <w:rPr>
                <w:rFonts w:cstheme="minorBidi"/>
                <w:color w:val="auto"/>
                <w:sz w:val="22"/>
                <w:szCs w:val="22"/>
                <w:lang w:val="lv-LV"/>
              </w:rPr>
            </w:pPr>
          </w:p>
        </w:tc>
      </w:tr>
      <w:tr w:rsidR="00AE0819" w:rsidRPr="0002494F" w:rsidTr="00F70E0C">
        <w:trPr>
          <w:trHeight w:val="274"/>
        </w:trPr>
        <w:tc>
          <w:tcPr>
            <w:tcW w:w="964" w:type="dxa"/>
            <w:shd w:val="clear" w:color="auto" w:fill="auto"/>
          </w:tcPr>
          <w:p w:rsidR="00AE0819" w:rsidRDefault="00AE0819"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w:t>
            </w:r>
          </w:p>
        </w:tc>
        <w:tc>
          <w:tcPr>
            <w:tcW w:w="2575" w:type="dxa"/>
            <w:shd w:val="clear" w:color="auto" w:fill="auto"/>
          </w:tcPr>
          <w:p w:rsidR="00AE0819" w:rsidRPr="00B7643F" w:rsidRDefault="00AE0819"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AE0819" w:rsidRPr="00C66AEF" w:rsidRDefault="00AE0819" w:rsidP="00AE0819">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AE0819" w:rsidRDefault="00AE0819" w:rsidP="00AE0819">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AE0819" w:rsidRPr="00AE0819" w:rsidRDefault="00AE0819" w:rsidP="00AE0819">
            <w:pPr>
              <w:spacing w:after="0" w:line="240" w:lineRule="auto"/>
              <w:contextualSpacing/>
              <w:jc w:val="both"/>
              <w:rPr>
                <w:rFonts w:ascii="Times New Roman" w:eastAsia="Times New Roman" w:hAnsi="Times New Roman" w:cs="Times New Roman"/>
                <w:lang w:val="lv-LV"/>
              </w:rPr>
            </w:pPr>
            <w:r w:rsidRPr="00AE0819">
              <w:rPr>
                <w:rFonts w:ascii="Times New Roman" w:eastAsia="Times New Roman" w:hAnsi="Times New Roman" w:cs="Times New Roman"/>
                <w:lang w:val="lv-LV"/>
              </w:rPr>
              <w:t xml:space="preserve">Konceptuāli nav saprotams, vai IZM 14.1.1.1.pasākumā komercdarbības </w:t>
            </w:r>
            <w:r w:rsidRPr="00AE0819">
              <w:rPr>
                <w:rFonts w:ascii="Times New Roman" w:eastAsia="Times New Roman" w:hAnsi="Times New Roman" w:cs="Times New Roman"/>
                <w:lang w:val="lv-LV"/>
              </w:rPr>
              <w:lastRenderedPageBreak/>
              <w:t xml:space="preserve">atbalsta sniegšanu ir izslēgusi, pamatojoties uz Komercdarbības atbalsta kontroles likuma (turpmāk – KAKL) 5.panta 4.punktā minēto komercdarbības atbalstu raksturojošo pazīmi (pasākumam ir vietēja ietekme) vai pamatojot augstskolu nesaimniecisko darbību raksturu. </w:t>
            </w:r>
          </w:p>
          <w:p w:rsidR="00AE0819" w:rsidRPr="0002494F" w:rsidRDefault="00AE0819" w:rsidP="00AE0819">
            <w:pPr>
              <w:pStyle w:val="ListParagraph"/>
              <w:spacing w:after="0" w:line="240" w:lineRule="auto"/>
              <w:ind w:left="0"/>
              <w:jc w:val="both"/>
              <w:rPr>
                <w:rFonts w:ascii="Times New Roman" w:hAnsi="Times New Roman" w:cs="Times New Roman"/>
                <w:b/>
              </w:rPr>
            </w:pPr>
            <w:r w:rsidRPr="00AE0819">
              <w:rPr>
                <w:rFonts w:ascii="Times New Roman" w:eastAsia="Times New Roman" w:hAnsi="Times New Roman" w:cs="Times New Roman"/>
                <w:lang w:val="lv-LV"/>
              </w:rPr>
              <w:t>Vēršam uzmanību, ka no tā ir atkarīgi tālākā infrastruktūras izmantojuma nosacījumi. Piemēram, ja atbalsts tiek pamatā sniegts nesaimnieciskai darbībai, būtu iespējams piemērot Komisijas paziņojuma par Līguma par Eiropas Savienības darbību 107.panta 1.punktā minēto valsts atbalsta jēdzienu (C/2016/2946)</w:t>
            </w:r>
            <w:r w:rsidRPr="00AE0819">
              <w:rPr>
                <w:rFonts w:ascii="Times New Roman" w:eastAsia="Times New Roman" w:hAnsi="Times New Roman" w:cs="Times New Roman"/>
                <w:i/>
                <w:iCs/>
                <w:lang w:val="lv-LV"/>
              </w:rPr>
              <w:t xml:space="preserve"> </w:t>
            </w:r>
            <w:r w:rsidRPr="00AE0819">
              <w:rPr>
                <w:rFonts w:ascii="Times New Roman" w:eastAsia="Times New Roman" w:hAnsi="Times New Roman" w:cs="Times New Roman"/>
                <w:lang w:val="lv-LV"/>
              </w:rPr>
              <w:t xml:space="preserve">(turpmāk – Komisijas paziņojuma) 207.punktā paredzēto pieeju (papildinošu saimniecisko darbību), savukārt gadījumā, ja atbalsts pamatā ir paredzēts saimnieciskas darbības veikšanai, bet projektam neizpildās KAKL 5.pantā minētā ceturtā komercdarbības atbalstu raksturojošā pazīme, tad Komisijas paziņojuma 207.punktā minēto pieeju piemērot nevar. Vienlaikus, ņemot vērā augstāk minēto, nav skaidrs, vai pasākuma ietvaros katru augstākās izglītības iestādi ir plānots vērtēt atsevišķi vai arī augstākās izglītības sistēmu Latvijā kopumā. Lūdzam atbilstoši precizēt informāciju anotācijā, lai tā būtu izsekojama gan attiecībā uz iepriekš minēto, gan attiecībā uz to, kā tiks vērtētas valsts un privātās augstākās izglītības </w:t>
            </w:r>
            <w:r w:rsidRPr="00AE0819">
              <w:rPr>
                <w:rFonts w:ascii="Times New Roman" w:eastAsia="Times New Roman" w:hAnsi="Times New Roman" w:cs="Times New Roman"/>
                <w:lang w:val="lv-LV"/>
              </w:rPr>
              <w:lastRenderedPageBreak/>
              <w:t>iestādes, kā arī to skaidri atspoguļot noteikumu projektā</w:t>
            </w:r>
            <w:r>
              <w:rPr>
                <w:rFonts w:ascii="Times New Roman" w:eastAsia="Times New Roman" w:hAnsi="Times New Roman" w:cs="Times New Roman"/>
                <w:lang w:val="lv-LV"/>
              </w:rPr>
              <w:t>.</w:t>
            </w:r>
          </w:p>
        </w:tc>
        <w:tc>
          <w:tcPr>
            <w:tcW w:w="3119" w:type="dxa"/>
            <w:shd w:val="clear" w:color="auto" w:fill="auto"/>
          </w:tcPr>
          <w:p w:rsidR="00AE0819" w:rsidRDefault="00AE0819" w:rsidP="00E65636">
            <w:pPr>
              <w:spacing w:after="0" w:line="240" w:lineRule="auto"/>
              <w:jc w:val="both"/>
              <w:rPr>
                <w:rFonts w:ascii="Times New Roman" w:eastAsia="Times New Roman" w:hAnsi="Times New Roman" w:cs="Times New Roman"/>
                <w:b/>
                <w:lang w:val="lv-LV" w:eastAsia="lv-LV"/>
              </w:rPr>
            </w:pPr>
            <w:r w:rsidRPr="00AE0819">
              <w:rPr>
                <w:rFonts w:ascii="Times New Roman" w:eastAsia="Times New Roman" w:hAnsi="Times New Roman" w:cs="Times New Roman"/>
                <w:b/>
                <w:lang w:val="lv-LV" w:eastAsia="lv-LV"/>
              </w:rPr>
              <w:lastRenderedPageBreak/>
              <w:t>Ņemts vērā</w:t>
            </w:r>
          </w:p>
          <w:p w:rsidR="002916B0" w:rsidRDefault="002916B0" w:rsidP="002916B0">
            <w:pPr>
              <w:spacing w:after="0" w:line="240" w:lineRule="auto"/>
              <w:jc w:val="both"/>
              <w:rPr>
                <w:rFonts w:ascii="Times New Roman" w:eastAsia="Times New Roman" w:hAnsi="Times New Roman" w:cs="Times New Roman"/>
                <w:lang w:val="lv-LV" w:eastAsia="lv-LV"/>
              </w:rPr>
            </w:pPr>
            <w:r w:rsidRPr="002916B0">
              <w:rPr>
                <w:rFonts w:ascii="Times New Roman" w:eastAsia="Times New Roman" w:hAnsi="Times New Roman" w:cs="Times New Roman"/>
                <w:lang w:val="lv-LV" w:eastAsia="lv-LV"/>
              </w:rPr>
              <w:t xml:space="preserve">14.1.1.1. pasākumā komercdarbības atbalsta sniegšana tiek izslēgta, pamatojoties uz Komercdarbības </w:t>
            </w:r>
            <w:r w:rsidRPr="002916B0">
              <w:rPr>
                <w:rFonts w:ascii="Times New Roman" w:eastAsia="Times New Roman" w:hAnsi="Times New Roman" w:cs="Times New Roman"/>
                <w:lang w:val="lv-LV" w:eastAsia="lv-LV"/>
              </w:rPr>
              <w:lastRenderedPageBreak/>
              <w:t>atbalsta kontroles likuma 5.</w:t>
            </w:r>
            <w:r w:rsidR="003233A8">
              <w:rPr>
                <w:rFonts w:ascii="Times New Roman" w:eastAsia="Times New Roman" w:hAnsi="Times New Roman" w:cs="Times New Roman"/>
                <w:lang w:val="lv-LV" w:eastAsia="lv-LV"/>
              </w:rPr>
              <w:t xml:space="preserve"> </w:t>
            </w:r>
            <w:r w:rsidRPr="002916B0">
              <w:rPr>
                <w:rFonts w:ascii="Times New Roman" w:eastAsia="Times New Roman" w:hAnsi="Times New Roman" w:cs="Times New Roman"/>
                <w:lang w:val="lv-LV" w:eastAsia="lv-LV"/>
              </w:rPr>
              <w:t>pantā noteikto 4. komercdarbības atbalstu raksturojošo pazīmi, vērtējot visu augstākās izglītības sistēmu kopumā (šāda pieeja tika izmantota arī 8.2.1.</w:t>
            </w:r>
            <w:r w:rsidR="003233A8">
              <w:rPr>
                <w:rFonts w:ascii="Times New Roman" w:eastAsia="Times New Roman" w:hAnsi="Times New Roman" w:cs="Times New Roman"/>
                <w:lang w:val="lv-LV" w:eastAsia="lv-LV"/>
              </w:rPr>
              <w:t xml:space="preserve"> </w:t>
            </w:r>
            <w:r w:rsidRPr="002916B0">
              <w:rPr>
                <w:rFonts w:ascii="Times New Roman" w:eastAsia="Times New Roman" w:hAnsi="Times New Roman" w:cs="Times New Roman"/>
                <w:lang w:val="lv-LV" w:eastAsia="lv-LV"/>
              </w:rPr>
              <w:t>SAM, 8.2.2.</w:t>
            </w:r>
            <w:r w:rsidR="003233A8">
              <w:rPr>
                <w:rFonts w:ascii="Times New Roman" w:eastAsia="Times New Roman" w:hAnsi="Times New Roman" w:cs="Times New Roman"/>
                <w:lang w:val="lv-LV" w:eastAsia="lv-LV"/>
              </w:rPr>
              <w:t xml:space="preserve"> </w:t>
            </w:r>
            <w:r w:rsidRPr="002916B0">
              <w:rPr>
                <w:rFonts w:ascii="Times New Roman" w:eastAsia="Times New Roman" w:hAnsi="Times New Roman" w:cs="Times New Roman"/>
                <w:lang w:val="lv-LV" w:eastAsia="lv-LV"/>
              </w:rPr>
              <w:t xml:space="preserve">SAM </w:t>
            </w:r>
            <w:r w:rsidR="000C71D1">
              <w:rPr>
                <w:rFonts w:ascii="Times New Roman" w:eastAsia="Times New Roman" w:hAnsi="Times New Roman" w:cs="Times New Roman"/>
                <w:lang w:val="lv-LV" w:eastAsia="lv-LV"/>
              </w:rPr>
              <w:t>pirmajai</w:t>
            </w:r>
            <w:r w:rsidRPr="002916B0">
              <w:rPr>
                <w:rFonts w:ascii="Times New Roman" w:eastAsia="Times New Roman" w:hAnsi="Times New Roman" w:cs="Times New Roman"/>
                <w:lang w:val="lv-LV" w:eastAsia="lv-LV"/>
              </w:rPr>
              <w:t xml:space="preserve"> un </w:t>
            </w:r>
            <w:r w:rsidR="000C71D1">
              <w:rPr>
                <w:rFonts w:ascii="Times New Roman" w:eastAsia="Times New Roman" w:hAnsi="Times New Roman" w:cs="Times New Roman"/>
                <w:lang w:val="lv-LV" w:eastAsia="lv-LV"/>
              </w:rPr>
              <w:t xml:space="preserve">otrajai </w:t>
            </w:r>
            <w:r w:rsidRPr="002916B0">
              <w:rPr>
                <w:rFonts w:ascii="Times New Roman" w:eastAsia="Times New Roman" w:hAnsi="Times New Roman" w:cs="Times New Roman"/>
                <w:lang w:val="lv-LV" w:eastAsia="lv-LV"/>
              </w:rPr>
              <w:t>kārtai, 8.2.3.</w:t>
            </w:r>
            <w:r w:rsidR="003233A8">
              <w:rPr>
                <w:rFonts w:ascii="Times New Roman" w:eastAsia="Times New Roman" w:hAnsi="Times New Roman" w:cs="Times New Roman"/>
                <w:lang w:val="lv-LV" w:eastAsia="lv-LV"/>
              </w:rPr>
              <w:t xml:space="preserve"> </w:t>
            </w:r>
            <w:r w:rsidRPr="002916B0">
              <w:rPr>
                <w:rFonts w:ascii="Times New Roman" w:eastAsia="Times New Roman" w:hAnsi="Times New Roman" w:cs="Times New Roman"/>
                <w:lang w:val="lv-LV" w:eastAsia="lv-LV"/>
              </w:rPr>
              <w:t>SAM).</w:t>
            </w:r>
          </w:p>
          <w:p w:rsidR="002916B0" w:rsidRDefault="002916B0" w:rsidP="002916B0">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N</w:t>
            </w:r>
            <w:r w:rsidRPr="002916B0">
              <w:rPr>
                <w:rFonts w:ascii="Times New Roman" w:eastAsia="Times New Roman" w:hAnsi="Times New Roman" w:cs="Times New Roman"/>
                <w:lang w:val="lv-LV" w:eastAsia="lv-LV"/>
              </w:rPr>
              <w:t xml:space="preserve">o noteikumu projekta </w:t>
            </w:r>
            <w:r>
              <w:rPr>
                <w:rFonts w:ascii="Times New Roman" w:eastAsia="Times New Roman" w:hAnsi="Times New Roman" w:cs="Times New Roman"/>
                <w:lang w:val="lv-LV" w:eastAsia="lv-LV"/>
              </w:rPr>
              <w:t xml:space="preserve">un anotācijas </w:t>
            </w:r>
            <w:r w:rsidRPr="002916B0">
              <w:rPr>
                <w:rFonts w:ascii="Times New Roman" w:eastAsia="Times New Roman" w:hAnsi="Times New Roman" w:cs="Times New Roman"/>
                <w:lang w:val="lv-LV" w:eastAsia="lv-LV"/>
              </w:rPr>
              <w:t>svītrots saimnieciskas un ne-saimnieciskas darbības nosacījums.</w:t>
            </w:r>
          </w:p>
          <w:p w:rsidR="002916B0" w:rsidRDefault="002916B0" w:rsidP="002916B0">
            <w:pPr>
              <w:spacing w:after="0" w:line="240" w:lineRule="auto"/>
              <w:jc w:val="both"/>
              <w:rPr>
                <w:rFonts w:ascii="Times New Roman" w:eastAsia="Times New Roman" w:hAnsi="Times New Roman" w:cs="Times New Roman"/>
                <w:lang w:val="lv-LV" w:eastAsia="lv-LV"/>
              </w:rPr>
            </w:pPr>
          </w:p>
          <w:p w:rsidR="00AE0819" w:rsidRPr="00AE0819" w:rsidRDefault="002916B0" w:rsidP="002916B0">
            <w:pPr>
              <w:spacing w:after="0" w:line="240" w:lineRule="auto"/>
              <w:jc w:val="both"/>
              <w:rPr>
                <w:rFonts w:ascii="Times New Roman" w:eastAsia="Times New Roman" w:hAnsi="Times New Roman" w:cs="Times New Roman"/>
                <w:lang w:val="lv-LV" w:eastAsia="lv-LV"/>
              </w:rPr>
            </w:pPr>
            <w:r w:rsidRPr="002916B0">
              <w:rPr>
                <w:rFonts w:ascii="Times New Roman" w:eastAsia="Times New Roman" w:hAnsi="Times New Roman" w:cs="Times New Roman"/>
                <w:lang w:val="lv-LV" w:eastAsia="lv-LV"/>
              </w:rPr>
              <w:t xml:space="preserve">Sk. precizēto anotāciju. </w:t>
            </w:r>
          </w:p>
        </w:tc>
        <w:tc>
          <w:tcPr>
            <w:tcW w:w="3260" w:type="dxa"/>
          </w:tcPr>
          <w:p w:rsidR="003D1771" w:rsidRPr="003D1771" w:rsidRDefault="003D1771" w:rsidP="003D1771">
            <w:pPr>
              <w:autoSpaceDE w:val="0"/>
              <w:autoSpaceDN w:val="0"/>
              <w:adjustRightInd w:val="0"/>
              <w:spacing w:after="120" w:line="240" w:lineRule="auto"/>
              <w:ind w:right="144"/>
              <w:jc w:val="both"/>
              <w:rPr>
                <w:rFonts w:ascii="Times New Roman" w:eastAsia="Calibri" w:hAnsi="Times New Roman" w:cs="EUAlbertina"/>
                <w:b/>
                <w:lang w:val="lv-LV"/>
              </w:rPr>
            </w:pPr>
            <w:r w:rsidRPr="003D1771">
              <w:rPr>
                <w:rFonts w:ascii="Times New Roman" w:eastAsia="Calibri" w:hAnsi="Times New Roman" w:cs="EUAlbertina"/>
                <w:b/>
                <w:lang w:val="lv-LV"/>
              </w:rPr>
              <w:lastRenderedPageBreak/>
              <w:t>Anotācija</w:t>
            </w:r>
          </w:p>
          <w:p w:rsidR="003D1771" w:rsidRDefault="003D1771" w:rsidP="003D1771">
            <w:pPr>
              <w:autoSpaceDE w:val="0"/>
              <w:autoSpaceDN w:val="0"/>
              <w:adjustRightInd w:val="0"/>
              <w:spacing w:after="120" w:line="240" w:lineRule="auto"/>
              <w:ind w:right="144"/>
              <w:jc w:val="both"/>
              <w:rPr>
                <w:rFonts w:ascii="Times New Roman" w:eastAsia="Calibri" w:hAnsi="Times New Roman" w:cs="EUAlbertina"/>
                <w:lang w:val="lv-LV"/>
              </w:rPr>
            </w:pPr>
            <w:r w:rsidRPr="003D1771">
              <w:rPr>
                <w:rFonts w:ascii="Times New Roman" w:eastAsia="Calibri" w:hAnsi="Times New Roman" w:cs="EUAlbertina"/>
                <w:lang w:val="lv-LV"/>
              </w:rPr>
              <w:t xml:space="preserve">Izglītības un zinātnes ministrija (turpmāk – IZM) ir izvērtējusi Latvijas augstākās izglītības sistēmas ietekmi uz konkurenci </w:t>
            </w:r>
            <w:r w:rsidRPr="003D1771">
              <w:rPr>
                <w:rFonts w:ascii="Times New Roman" w:eastAsia="Calibri" w:hAnsi="Times New Roman" w:cs="EUAlbertina"/>
                <w:lang w:val="lv-LV"/>
              </w:rPr>
              <w:lastRenderedPageBreak/>
              <w:t>ES iekšējā tirgū, kā rezultātā ir secinājusi, ka Latvijas augstākās izglītības institūciju sniegtajiem izglītības pakalpojumiem ir vietējs raksturs. To pamato vietējo izglītojamo īpatsvars no kopējā izglītojamo skaita, augstākās izglītības institūciju vieta pasaules universitāšu reitingos un valoda, kurā sniedz izglītības pakalpojumu, līdz ar to augstākās izglītības institūciju sniegtie izglītības pakalpojumi neietekmē tirdzniecību un neizkropļo konkurenci ES iekšējā tirgū, kā rezultātā atbalsts 14.1.1.1. pasākuma ietvaros nav kvalificējams kā komercdarbības atbalsts</w:t>
            </w:r>
            <w:r>
              <w:rPr>
                <w:rFonts w:ascii="Times New Roman" w:eastAsia="Calibri" w:hAnsi="Times New Roman" w:cs="EUAlbertina"/>
                <w:lang w:val="lv-LV"/>
              </w:rPr>
              <w:t>.</w:t>
            </w:r>
          </w:p>
          <w:p w:rsidR="003D1771" w:rsidRPr="003D1771" w:rsidRDefault="003D1771" w:rsidP="003D1771">
            <w:pPr>
              <w:autoSpaceDE w:val="0"/>
              <w:autoSpaceDN w:val="0"/>
              <w:adjustRightInd w:val="0"/>
              <w:spacing w:after="120" w:line="240" w:lineRule="auto"/>
              <w:ind w:right="144"/>
              <w:jc w:val="both"/>
              <w:rPr>
                <w:rFonts w:ascii="Times New Roman" w:eastAsia="Calibri" w:hAnsi="Times New Roman" w:cs="EUAlbertina"/>
                <w:lang w:val="lv-LV"/>
              </w:rPr>
            </w:pPr>
            <w:r>
              <w:rPr>
                <w:rFonts w:ascii="Times New Roman" w:eastAsia="Calibri" w:hAnsi="Times New Roman" w:cs="EUAlbertina"/>
                <w:lang w:val="lv-LV"/>
              </w:rPr>
              <w:t>A</w:t>
            </w:r>
            <w:r w:rsidRPr="003D1771">
              <w:rPr>
                <w:rFonts w:ascii="Times New Roman" w:eastAsia="Calibri" w:hAnsi="Times New Roman" w:cs="EUAlbertina"/>
                <w:lang w:val="lv-LV"/>
              </w:rPr>
              <w:t>nalizējot statistikas datus par augstākās izglītības institūcijām,</w:t>
            </w:r>
            <w:r w:rsidRPr="003D1771">
              <w:rPr>
                <w:rFonts w:ascii="Times New Roman" w:eastAsia="Calibri" w:hAnsi="Times New Roman" w:cs="EUAlbertina"/>
                <w:vertAlign w:val="superscript"/>
                <w:lang w:val="lv-LV"/>
              </w:rPr>
              <w:footnoteReference w:id="1"/>
            </w:r>
            <w:r w:rsidRPr="003D1771">
              <w:rPr>
                <w:rFonts w:ascii="Times New Roman" w:eastAsia="Calibri" w:hAnsi="Times New Roman" w:cs="EUAlbertina"/>
                <w:lang w:val="lv-LV"/>
              </w:rPr>
              <w:t xml:space="preserve"> IZM ir secinājusi, ka tajās ārvalsts studējošo skaits pēdējos trīs pārskata gados vidēji ir 12,7% (2018. gadā – 12 %, 2019. gadā – 14 %, 2020 gadā – 12%), kas nepārsniedz 15 % robežu un tādējādi uzskatāms, ka kopumā atbalstam augstākajai izglītībai ir vienīgi vietēja mēroga ietekme saskaņā ar Eiropas Komisijas dokumenta “Komisijas paziņojums par Līguma par Eiropas Savienības darbību 107. panta 1. punktā </w:t>
            </w:r>
            <w:r w:rsidRPr="003D1771">
              <w:rPr>
                <w:rFonts w:ascii="Times New Roman" w:eastAsia="Calibri" w:hAnsi="Times New Roman" w:cs="EUAlbertina"/>
                <w:lang w:val="lv-LV"/>
              </w:rPr>
              <w:lastRenderedPageBreak/>
              <w:t>minēto valsts atbalsta jēdzienu”</w:t>
            </w:r>
            <w:r w:rsidRPr="003D1771">
              <w:rPr>
                <w:rFonts w:ascii="Times New Roman" w:eastAsia="Calibri" w:hAnsi="Times New Roman" w:cs="EUAlbertina"/>
                <w:vertAlign w:val="superscript"/>
                <w:lang w:val="lv-LV"/>
              </w:rPr>
              <w:footnoteReference w:id="2"/>
            </w:r>
            <w:r w:rsidRPr="003D1771">
              <w:rPr>
                <w:rFonts w:ascii="Times New Roman" w:eastAsia="Calibri" w:hAnsi="Times New Roman" w:cs="EUAlbertina"/>
                <w:lang w:val="lv-LV"/>
              </w:rPr>
              <w:t xml:space="preserve"> 196. un 197. punktu.</w:t>
            </w:r>
          </w:p>
          <w:p w:rsidR="003D1771" w:rsidRDefault="003D1771" w:rsidP="003D1771">
            <w:pPr>
              <w:pStyle w:val="tv2132"/>
              <w:spacing w:line="240" w:lineRule="auto"/>
              <w:ind w:firstLine="0"/>
              <w:contextualSpacing/>
              <w:jc w:val="both"/>
              <w:rPr>
                <w:rFonts w:eastAsia="Calibri"/>
                <w:color w:val="auto"/>
                <w:sz w:val="22"/>
                <w:szCs w:val="22"/>
                <w:lang w:val="lv-LV"/>
              </w:rPr>
            </w:pPr>
            <w:r w:rsidRPr="003D1771">
              <w:rPr>
                <w:rFonts w:eastAsia="Calibri"/>
                <w:color w:val="auto"/>
                <w:sz w:val="22"/>
                <w:szCs w:val="22"/>
                <w:lang w:val="lv-LV"/>
              </w:rPr>
              <w:t>Turklāt Latvijas augstākās izglītības tirgus daļu kopējā ES augstākās izglītības sistēmā nesasniedz pat 0,5%. Saskaņā ar EUROSTAT datiem 2019. gadā Latvijas augstākās izglītības institūcijās studēja tikai 0,41% no kopējā ES augstskolās studējošo skaita (ES-28 tie bija 19 481 650 studenti, bet Latvijā 80 355 studenti)</w:t>
            </w:r>
            <w:r w:rsidRPr="003D1771">
              <w:rPr>
                <w:rFonts w:eastAsia="Calibri"/>
                <w:color w:val="auto"/>
                <w:sz w:val="22"/>
                <w:szCs w:val="22"/>
                <w:vertAlign w:val="superscript"/>
                <w:lang w:val="lv-LV"/>
              </w:rPr>
              <w:footnoteReference w:id="3"/>
            </w:r>
            <w:r w:rsidRPr="003D1771">
              <w:rPr>
                <w:rFonts w:eastAsia="Calibri"/>
                <w:color w:val="auto"/>
                <w:sz w:val="22"/>
                <w:szCs w:val="22"/>
                <w:lang w:val="lv-LV"/>
              </w:rPr>
              <w:t>. Tāpat arī Latvijas augstākās izglītības institūciju ārvalstu studentu skaita īpatsvars pret kopējo ES valstu augstskolu ārvalstu studentu</w:t>
            </w:r>
            <w:r w:rsidRPr="003D1771">
              <w:rPr>
                <w:rFonts w:eastAsia="Calibri"/>
                <w:color w:val="auto"/>
                <w:sz w:val="22"/>
                <w:szCs w:val="22"/>
                <w:vertAlign w:val="superscript"/>
                <w:lang w:val="lv-LV"/>
              </w:rPr>
              <w:footnoteReference w:id="4"/>
            </w:r>
            <w:r w:rsidRPr="003D1771">
              <w:rPr>
                <w:rFonts w:eastAsia="Calibri"/>
                <w:color w:val="auto"/>
                <w:sz w:val="22"/>
                <w:szCs w:val="22"/>
                <w:lang w:val="lv-LV"/>
              </w:rPr>
              <w:t xml:space="preserve"> skaitu 2019. gadā veidoja tikai 0,48% (ES-28 tie bija 1 745 685 studenti, bet Latvijā 8 389 studenti)</w:t>
            </w:r>
            <w:r w:rsidRPr="003D1771">
              <w:rPr>
                <w:rFonts w:eastAsia="Calibri"/>
                <w:color w:val="auto"/>
                <w:sz w:val="22"/>
                <w:szCs w:val="22"/>
                <w:vertAlign w:val="superscript"/>
                <w:lang w:val="lv-LV"/>
              </w:rPr>
              <w:footnoteReference w:id="5"/>
            </w:r>
            <w:r>
              <w:rPr>
                <w:rFonts w:eastAsia="Calibri"/>
                <w:color w:val="auto"/>
                <w:sz w:val="22"/>
                <w:szCs w:val="22"/>
                <w:lang w:val="lv-LV"/>
              </w:rPr>
              <w:t>.</w:t>
            </w:r>
          </w:p>
          <w:p w:rsidR="003D1771" w:rsidRPr="00100684" w:rsidRDefault="003D1771" w:rsidP="00F1686F">
            <w:pPr>
              <w:pStyle w:val="tv2132"/>
              <w:spacing w:line="240" w:lineRule="auto"/>
              <w:ind w:firstLine="0"/>
              <w:contextualSpacing/>
              <w:jc w:val="both"/>
              <w:rPr>
                <w:rFonts w:cstheme="minorBidi"/>
                <w:color w:val="auto"/>
                <w:sz w:val="22"/>
                <w:szCs w:val="22"/>
                <w:lang w:val="lv-LV"/>
              </w:rPr>
            </w:pPr>
            <w:r>
              <w:rPr>
                <w:rFonts w:eastAsia="Calibri"/>
                <w:color w:val="auto"/>
                <w:sz w:val="22"/>
                <w:szCs w:val="22"/>
                <w:lang w:val="lv-LV"/>
              </w:rPr>
              <w:t xml:space="preserve">[..] </w:t>
            </w:r>
            <w:r>
              <w:rPr>
                <w:color w:val="auto"/>
              </w:rPr>
              <w:t xml:space="preserve"> </w:t>
            </w:r>
            <w:r w:rsidRPr="00F1686F">
              <w:rPr>
                <w:color w:val="auto"/>
                <w:sz w:val="22"/>
                <w:szCs w:val="22"/>
                <w:lang w:val="lv-LV"/>
              </w:rPr>
              <w:t>Ņemot vērā visu iepriekš minēto, secināms, ka Latvijas augstākās izglītības sistēmai kopumā ir vietēja ietekme, līdz ar to 14.1.1.1. pasākuma ietvaros komercdarbības atbalsta sniegšana nav paredzēta</w:t>
            </w:r>
            <w:r w:rsidRPr="00F1686F">
              <w:rPr>
                <w:color w:val="FF0000"/>
                <w:sz w:val="22"/>
                <w:szCs w:val="22"/>
                <w:lang w:val="lv-LV"/>
              </w:rPr>
              <w:t>.</w:t>
            </w:r>
          </w:p>
        </w:tc>
      </w:tr>
      <w:tr w:rsidR="00AE0819" w:rsidRPr="0002494F" w:rsidTr="00F70E0C">
        <w:trPr>
          <w:trHeight w:val="274"/>
        </w:trPr>
        <w:tc>
          <w:tcPr>
            <w:tcW w:w="964" w:type="dxa"/>
            <w:shd w:val="clear" w:color="auto" w:fill="auto"/>
          </w:tcPr>
          <w:p w:rsidR="00AE0819" w:rsidRDefault="00AE0819"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5.</w:t>
            </w:r>
          </w:p>
        </w:tc>
        <w:tc>
          <w:tcPr>
            <w:tcW w:w="2575" w:type="dxa"/>
            <w:shd w:val="clear" w:color="auto" w:fill="auto"/>
          </w:tcPr>
          <w:p w:rsidR="00AE0819" w:rsidRPr="00B7643F" w:rsidRDefault="00AE0819"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2916B0" w:rsidRPr="00C66AEF" w:rsidRDefault="002916B0" w:rsidP="002916B0">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AE0819" w:rsidRPr="002916B0" w:rsidRDefault="002916B0" w:rsidP="002916B0">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2916B0" w:rsidRPr="002916B0" w:rsidRDefault="002916B0" w:rsidP="002916B0">
            <w:pPr>
              <w:spacing w:after="0" w:line="240" w:lineRule="auto"/>
              <w:contextualSpacing/>
              <w:jc w:val="both"/>
              <w:rPr>
                <w:rFonts w:ascii="Times New Roman" w:eastAsia="Times New Roman" w:hAnsi="Times New Roman" w:cs="Times New Roman"/>
                <w:lang w:val="lv-LV"/>
              </w:rPr>
            </w:pPr>
            <w:r w:rsidRPr="002916B0">
              <w:rPr>
                <w:rFonts w:ascii="Times New Roman" w:eastAsia="Times New Roman" w:hAnsi="Times New Roman" w:cs="Times New Roman"/>
                <w:lang w:val="lv-LV"/>
              </w:rPr>
              <w:t xml:space="preserve">Papildus 2.iebildumam </w:t>
            </w:r>
            <w:r w:rsidR="007F4B15">
              <w:rPr>
                <w:rFonts w:ascii="Times New Roman" w:eastAsia="Times New Roman" w:hAnsi="Times New Roman" w:cs="Times New Roman"/>
                <w:lang w:val="lv-LV"/>
              </w:rPr>
              <w:t>(</w:t>
            </w:r>
            <w:r w:rsidR="007F4B15" w:rsidRPr="007F4B15">
              <w:rPr>
                <w:rFonts w:ascii="Times New Roman" w:eastAsia="Times New Roman" w:hAnsi="Times New Roman" w:cs="Times New Roman"/>
                <w:i/>
                <w:lang w:val="lv-LV"/>
              </w:rPr>
              <w:t>izziņas 4.punktā iekļautais iebildums</w:t>
            </w:r>
            <w:r w:rsidR="007F4B15">
              <w:rPr>
                <w:rFonts w:ascii="Times New Roman" w:eastAsia="Times New Roman" w:hAnsi="Times New Roman" w:cs="Times New Roman"/>
                <w:lang w:val="lv-LV"/>
              </w:rPr>
              <w:t xml:space="preserve">) </w:t>
            </w:r>
            <w:r w:rsidRPr="002916B0">
              <w:rPr>
                <w:rFonts w:ascii="Times New Roman" w:eastAsia="Times New Roman" w:hAnsi="Times New Roman" w:cs="Times New Roman"/>
                <w:lang w:val="lv-LV"/>
              </w:rPr>
              <w:t xml:space="preserve">vēršam uzmanību uz atsevišķiem IZM sniegtajiem </w:t>
            </w:r>
            <w:r w:rsidRPr="002916B0">
              <w:rPr>
                <w:rFonts w:ascii="Times New Roman" w:eastAsia="Times New Roman" w:hAnsi="Times New Roman" w:cs="Times New Roman"/>
                <w:lang w:val="lv-LV"/>
              </w:rPr>
              <w:lastRenderedPageBreak/>
              <w:t>skaidrojumiem anotācijā, kas ir pretrunā ar Komisijas paziņojumā ietverto vai rada pretrunas ar noteikumu projektā paredzētajiem nosacījumiem (piemēram, attiecībā uz projekta iesniedzēju vērtēšanu, pamatojoties uz to pamatdarbību raksturu (saimnieciska vai nesaimnieciska pamatdarbība) vai tā vietējo ietekmi, papildinošu saimniecisku darbību iespējas paredzēšanu):</w:t>
            </w:r>
          </w:p>
          <w:p w:rsidR="002916B0" w:rsidRPr="002916B0" w:rsidRDefault="002916B0" w:rsidP="002916B0">
            <w:pPr>
              <w:pStyle w:val="ListParagraph"/>
              <w:numPr>
                <w:ilvl w:val="0"/>
                <w:numId w:val="23"/>
              </w:numPr>
              <w:spacing w:after="0" w:line="240" w:lineRule="auto"/>
              <w:jc w:val="both"/>
              <w:rPr>
                <w:rFonts w:ascii="Times New Roman" w:eastAsia="Times New Roman" w:hAnsi="Times New Roman" w:cs="Times New Roman"/>
                <w:lang w:val="lv-LV"/>
              </w:rPr>
            </w:pPr>
            <w:r w:rsidRPr="002916B0">
              <w:rPr>
                <w:rFonts w:ascii="Times New Roman" w:eastAsia="Times New Roman" w:hAnsi="Times New Roman" w:cs="Times New Roman"/>
                <w:lang w:val="lv-LV"/>
              </w:rPr>
              <w:t>IZM anotācijā norāda, ka</w:t>
            </w:r>
            <w:r w:rsidRPr="002916B0">
              <w:rPr>
                <w:rFonts w:ascii="Times New Roman" w:eastAsia="Times New Roman" w:hAnsi="Times New Roman" w:cs="Times New Roman"/>
                <w:i/>
                <w:iCs/>
                <w:lang w:val="lv-LV"/>
              </w:rPr>
              <w:t xml:space="preserve"> </w:t>
            </w:r>
            <w:r w:rsidRPr="002916B0">
              <w:rPr>
                <w:rFonts w:ascii="Times New Roman" w:eastAsia="Times New Roman" w:hAnsi="Times New Roman" w:cs="Times New Roman"/>
                <w:lang w:val="lv-LV"/>
              </w:rPr>
              <w:t xml:space="preserve">“Izglītības un zinātnes ministrijas (turpmāk – IZM) ieskatā Latvijas augstākās izglītības sistēmas gadījumā nevar piemērot nosacījumu, ka valsts augstskolas  pamatdarbībai ir saimniecisks raksturs, ja  valsts finansējums izglītības pakalpojumiem ir mazāks nekā privātais finansējums (studiju maksa). Ņemot vērā zemo valsts budžeta finansējumu augstākajai izglītībai (Latvijā ir zemākais publiskais finansējums uz vienu studējošo gadā starp ES valstīm), kas pilnībā nesedz studiju vietas izmaksas, var secināt, ka studiju maksa faktiski sedz tikai daļu no studiju izdevumiem, ko valsts nespēj nodrošināt. Tāpēc valsts dibinātu augstskolu izglītības pakalpojumu sniegšanu nevar uzskatīt par saimniecisku darbību pat tādā gadījumā, ja to pārsvarā finansē students.  Līdz ar to valsts augstskolas nav kvalificējamas kā saimnieciskās darbības veicējas un 14.1.1.1.pasākumā īsteno projektu, kas nav saistīts ar saimnieciskās darbības veikšanu.”  </w:t>
            </w:r>
          </w:p>
          <w:p w:rsidR="002916B0" w:rsidRPr="002916B0" w:rsidRDefault="002916B0" w:rsidP="002916B0">
            <w:pPr>
              <w:spacing w:after="0" w:line="240" w:lineRule="auto"/>
              <w:jc w:val="both"/>
              <w:rPr>
                <w:rFonts w:ascii="Times New Roman" w:eastAsia="Times New Roman" w:hAnsi="Times New Roman" w:cs="Times New Roman"/>
                <w:lang w:val="lv-LV"/>
              </w:rPr>
            </w:pPr>
            <w:r w:rsidRPr="002916B0">
              <w:rPr>
                <w:rFonts w:ascii="Times New Roman" w:eastAsia="Times New Roman" w:hAnsi="Times New Roman" w:cs="Times New Roman"/>
                <w:lang w:val="lv-LV"/>
              </w:rPr>
              <w:lastRenderedPageBreak/>
              <w:t xml:space="preserve">Skaidrojam, ka atbilstoši Komisijas paziņojuma 29.punktā noteiktajam un Eiropas Komisijas (turpmāk – Komisijas) sniegtajiem skaidrojumiem,  valsts izglītības sistēmas ietvaros sniegtie pakalpojumi nav uzskatāmi par saimniecisku darbību, </w:t>
            </w:r>
            <w:r w:rsidRPr="002916B0">
              <w:rPr>
                <w:rFonts w:ascii="Times New Roman" w:eastAsia="Times New Roman" w:hAnsi="Times New Roman" w:cs="Times New Roman"/>
                <w:u w:val="single"/>
                <w:lang w:val="lv-LV"/>
              </w:rPr>
              <w:t>ja ieņēmumi no šīs darbības nepārsniedz 50% no darbības izdevumiem</w:t>
            </w:r>
            <w:r w:rsidRPr="002916B0">
              <w:rPr>
                <w:rFonts w:ascii="Times New Roman" w:eastAsia="Times New Roman" w:hAnsi="Times New Roman" w:cs="Times New Roman"/>
                <w:lang w:val="lv-LV"/>
              </w:rPr>
              <w:t xml:space="preserve">. Attiecīgi nav skaidrs, ar ko ir pamatots šis IZM secinājums, kas ir pretrunā iepriekš minēto Komisijas paziņojumā. </w:t>
            </w:r>
          </w:p>
          <w:p w:rsidR="002916B0" w:rsidRPr="002916B0" w:rsidRDefault="002916B0" w:rsidP="002916B0">
            <w:pPr>
              <w:pStyle w:val="ListParagraph"/>
              <w:numPr>
                <w:ilvl w:val="0"/>
                <w:numId w:val="23"/>
              </w:numPr>
              <w:spacing w:after="0" w:line="240" w:lineRule="auto"/>
              <w:jc w:val="both"/>
              <w:rPr>
                <w:rFonts w:ascii="Times New Roman" w:eastAsia="Times New Roman" w:hAnsi="Times New Roman" w:cs="Times New Roman"/>
                <w:i/>
                <w:iCs/>
                <w:lang w:val="lv-LV"/>
              </w:rPr>
            </w:pPr>
            <w:r w:rsidRPr="002916B0">
              <w:rPr>
                <w:rFonts w:ascii="Times New Roman" w:eastAsia="Times New Roman" w:hAnsi="Times New Roman" w:cs="Times New Roman"/>
                <w:lang w:val="lv-LV"/>
              </w:rPr>
              <w:t>IZM anotācijā norāda, ka “Tā kā šobrīd nevienai Latvijas augstskolai neizpildās 2. un 3.pazīme [par to, ka augstskolas vieta ietekmīgākajos pasaules universitāšu reitingos ir TOP 300 un dominējošā studiju valoda ir ES oficiālā valoda, kas nav latviešu valoda (pārsniedz 50%)], ir secināms, ka visu augstskolu darbībai ir vietēja ietekme. Līdz ar to 14.1.1.1.pasākuma ietvaros komercdarbības atbalsta sniegšana nav paredzēta.”</w:t>
            </w:r>
            <w:r w:rsidRPr="002916B0">
              <w:rPr>
                <w:rFonts w:ascii="Times New Roman" w:eastAsia="Times New Roman" w:hAnsi="Times New Roman" w:cs="Times New Roman"/>
                <w:i/>
                <w:iCs/>
                <w:lang w:val="lv-LV"/>
              </w:rPr>
              <w:t xml:space="preserve"> </w:t>
            </w:r>
          </w:p>
          <w:p w:rsidR="002916B0" w:rsidRPr="002916B0" w:rsidRDefault="002916B0" w:rsidP="002916B0">
            <w:pPr>
              <w:spacing w:after="0" w:line="240" w:lineRule="auto"/>
              <w:jc w:val="both"/>
              <w:rPr>
                <w:rFonts w:ascii="Times New Roman" w:eastAsia="Times New Roman" w:hAnsi="Times New Roman" w:cs="Times New Roman"/>
                <w:lang w:val="lv-LV"/>
              </w:rPr>
            </w:pPr>
            <w:r w:rsidRPr="002916B0">
              <w:rPr>
                <w:rFonts w:ascii="Times New Roman" w:eastAsia="Times New Roman" w:hAnsi="Times New Roman" w:cs="Times New Roman"/>
                <w:lang w:val="lv-LV"/>
              </w:rPr>
              <w:t xml:space="preserve">Attiecīgi šajā IZM anotācijas sniegtajā skaidrojumā, IZM secina, ka </w:t>
            </w:r>
            <w:r w:rsidRPr="002916B0">
              <w:rPr>
                <w:rFonts w:ascii="Times New Roman" w:eastAsia="Times New Roman" w:hAnsi="Times New Roman" w:cs="Times New Roman"/>
                <w:u w:val="single"/>
                <w:lang w:val="lv-LV"/>
              </w:rPr>
              <w:t>visas Latvijas augstskolas</w:t>
            </w:r>
            <w:r w:rsidRPr="002916B0">
              <w:rPr>
                <w:rFonts w:ascii="Times New Roman" w:eastAsia="Times New Roman" w:hAnsi="Times New Roman" w:cs="Times New Roman"/>
                <w:lang w:val="lv-LV"/>
              </w:rPr>
              <w:t xml:space="preserve"> ir ar vietēju ietekmi, kas ir pretrunā noteikumu projektam, jo no tā izriet, ka tiks vērtēts tas, vai augstskolu pamatdarbība ir nesaimnieciska. Skaidrojam, ka no noteikumu projekta var secināt, ka atbalsts tiks sniegts tikai tām augstskolām, kuru darbība ir nesaimnieciska (skat., piemēram, noteikumu projekta 39.punktu), nevis kuru darbība ir kvalificējama kā tāda, kurai piemīt vietēja ietekme.</w:t>
            </w:r>
          </w:p>
          <w:p w:rsidR="002916B0" w:rsidRPr="002916B0" w:rsidRDefault="002916B0" w:rsidP="002916B0">
            <w:pPr>
              <w:spacing w:after="0" w:line="240" w:lineRule="auto"/>
              <w:jc w:val="both"/>
              <w:rPr>
                <w:rFonts w:ascii="Times New Roman" w:eastAsia="Times New Roman" w:hAnsi="Times New Roman" w:cs="Times New Roman"/>
                <w:i/>
                <w:iCs/>
                <w:lang w:val="lv-LV"/>
              </w:rPr>
            </w:pPr>
            <w:r w:rsidRPr="002916B0">
              <w:rPr>
                <w:rFonts w:ascii="Times New Roman" w:eastAsia="Times New Roman" w:hAnsi="Times New Roman" w:cs="Times New Roman"/>
                <w:lang w:val="lv-LV"/>
              </w:rPr>
              <w:t xml:space="preserve"> </w:t>
            </w:r>
          </w:p>
          <w:p w:rsidR="002916B0" w:rsidRPr="002916B0" w:rsidRDefault="002916B0" w:rsidP="002916B0">
            <w:pPr>
              <w:pStyle w:val="ListParagraph"/>
              <w:spacing w:after="0" w:line="240" w:lineRule="auto"/>
              <w:ind w:left="0"/>
              <w:jc w:val="both"/>
              <w:rPr>
                <w:rFonts w:ascii="Times New Roman" w:hAnsi="Times New Roman" w:cs="Times New Roman"/>
                <w:b/>
              </w:rPr>
            </w:pPr>
            <w:r>
              <w:rPr>
                <w:rFonts w:ascii="Times New Roman" w:eastAsia="Times New Roman" w:hAnsi="Times New Roman" w:cs="Times New Roman"/>
                <w:lang w:val="lv-LV"/>
              </w:rPr>
              <w:lastRenderedPageBreak/>
              <w:t xml:space="preserve">3) </w:t>
            </w:r>
            <w:r w:rsidRPr="002916B0">
              <w:rPr>
                <w:rFonts w:ascii="Times New Roman" w:eastAsia="Times New Roman" w:hAnsi="Times New Roman" w:cs="Times New Roman"/>
                <w:lang w:val="lv-LV"/>
              </w:rPr>
              <w:t xml:space="preserve">IZM anotācija ir skaidrojusi, ka </w:t>
            </w:r>
            <w:r w:rsidRPr="002916B0">
              <w:rPr>
                <w:rFonts w:ascii="Times New Roman" w:eastAsia="Times New Roman" w:hAnsi="Times New Roman" w:cs="Times New Roman"/>
                <w:u w:val="single"/>
                <w:lang w:val="lv-LV"/>
              </w:rPr>
              <w:t>kopumā visas Latvijas augstskolas ir uzskatāmas par tādām, kurām ir vietēja ietekme</w:t>
            </w:r>
            <w:r w:rsidRPr="002916B0">
              <w:rPr>
                <w:rFonts w:ascii="Times New Roman" w:eastAsia="Times New Roman" w:hAnsi="Times New Roman" w:cs="Times New Roman"/>
                <w:lang w:val="lv-LV"/>
              </w:rPr>
              <w:t>. Attiecīgi ir konstatējama pretruna ar anotācijā ietverto skaidrojumu, ka “</w:t>
            </w:r>
            <w:r w:rsidRPr="002916B0">
              <w:rPr>
                <w:rFonts w:ascii="Times New Roman" w:eastAsia="Times New Roman" w:hAnsi="Times New Roman" w:cs="Times New Roman"/>
                <w:u w:val="single"/>
                <w:lang w:val="lv-LV"/>
              </w:rPr>
              <w:t>Ņemot vērā to, ka atbalsts tiks sniegts augstskolām, kuras īsteno ar saimniecisku darbību nesaistītu pamatdarbību</w:t>
            </w:r>
            <w:r w:rsidRPr="002916B0">
              <w:rPr>
                <w:rFonts w:ascii="Times New Roman" w:eastAsia="Times New Roman" w:hAnsi="Times New Roman" w:cs="Times New Roman"/>
                <w:lang w:val="lv-LV"/>
              </w:rPr>
              <w:t>, vienlaikus projektos radītie rezultāti, tai skaitā iegādātā infrastruktūra, var tikt izmantoti arī privāti finansētas pieaugušo izglītības nodrošināšanai (tālākizglītības, profesionālās pilnveides, neformālās izglītības programmas), kas ir kvalificējama kā papildinoša saimnieciska darbība, noteikumu projekts ietver nosacījumus papildinošas saimnieciskas darbības apjoma ierobežošanai 20 % apmērā, kā arī sadarbības iestādes pienākumus šo nosacījumu izpildes pārbaudē.” Lūdzam anotācijā skaidri atspoguļot, vai projektu iesniedzēji tiks vērtēti, pamatojoties uz to veikto pamatdarbību raksturu (saimniecisku vai nesaimniecisku pamatdarbību) vai arī pamatojoties uz to vietējo ietekmi, vai arī atbalsta pasākuma ietvaros ir plānota vērtēšana, balstoties uz abiem iepriekš minētajiem kritērijiem</w:t>
            </w:r>
            <w:r>
              <w:rPr>
                <w:rFonts w:ascii="Times New Roman" w:eastAsia="Times New Roman" w:hAnsi="Times New Roman" w:cs="Times New Roman"/>
                <w:lang w:val="lv-LV"/>
              </w:rPr>
              <w:t>.</w:t>
            </w:r>
          </w:p>
        </w:tc>
        <w:tc>
          <w:tcPr>
            <w:tcW w:w="3119" w:type="dxa"/>
            <w:shd w:val="clear" w:color="auto" w:fill="auto"/>
          </w:tcPr>
          <w:p w:rsidR="002916B0" w:rsidRDefault="002916B0" w:rsidP="00E6563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AE0819" w:rsidRDefault="002916B0" w:rsidP="00E65636">
            <w:pPr>
              <w:spacing w:after="0" w:line="240" w:lineRule="auto"/>
              <w:jc w:val="both"/>
              <w:rPr>
                <w:rFonts w:ascii="Times New Roman" w:eastAsia="Times New Roman" w:hAnsi="Times New Roman" w:cs="Times New Roman"/>
                <w:lang w:val="lv-LV" w:eastAsia="lv-LV"/>
              </w:rPr>
            </w:pPr>
            <w:r w:rsidRPr="002916B0">
              <w:rPr>
                <w:rFonts w:ascii="Times New Roman" w:eastAsia="Times New Roman" w:hAnsi="Times New Roman" w:cs="Times New Roman"/>
                <w:lang w:val="lv-LV" w:eastAsia="lv-LV"/>
              </w:rPr>
              <w:t>Sk. skaidrojumu izziņas 4.</w:t>
            </w:r>
            <w:r w:rsidR="003233A8">
              <w:rPr>
                <w:rFonts w:ascii="Times New Roman" w:eastAsia="Times New Roman" w:hAnsi="Times New Roman" w:cs="Times New Roman"/>
                <w:lang w:val="lv-LV" w:eastAsia="lv-LV"/>
              </w:rPr>
              <w:t xml:space="preserve"> </w:t>
            </w:r>
            <w:r w:rsidRPr="002916B0">
              <w:rPr>
                <w:rFonts w:ascii="Times New Roman" w:eastAsia="Times New Roman" w:hAnsi="Times New Roman" w:cs="Times New Roman"/>
                <w:lang w:val="lv-LV" w:eastAsia="lv-LV"/>
              </w:rPr>
              <w:t>punktā.</w:t>
            </w:r>
          </w:p>
          <w:p w:rsidR="002916B0" w:rsidRPr="002916B0" w:rsidRDefault="002916B0" w:rsidP="00E65636">
            <w:pPr>
              <w:spacing w:after="0" w:line="240" w:lineRule="auto"/>
              <w:jc w:val="both"/>
              <w:rPr>
                <w:rFonts w:ascii="Times New Roman" w:eastAsia="Times New Roman" w:hAnsi="Times New Roman" w:cs="Times New Roman"/>
                <w:highlight w:val="red"/>
                <w:lang w:val="lv-LV" w:eastAsia="lv-LV"/>
              </w:rPr>
            </w:pPr>
          </w:p>
        </w:tc>
        <w:tc>
          <w:tcPr>
            <w:tcW w:w="3260" w:type="dxa"/>
          </w:tcPr>
          <w:p w:rsidR="00AE0819" w:rsidRPr="00100684" w:rsidRDefault="00AE0819" w:rsidP="00100684">
            <w:pPr>
              <w:pStyle w:val="tv2132"/>
              <w:spacing w:line="240" w:lineRule="auto"/>
              <w:contextualSpacing/>
              <w:jc w:val="both"/>
              <w:rPr>
                <w:rFonts w:cstheme="minorBidi"/>
                <w:color w:val="auto"/>
                <w:sz w:val="22"/>
                <w:szCs w:val="22"/>
                <w:lang w:val="lv-LV"/>
              </w:rPr>
            </w:pPr>
          </w:p>
        </w:tc>
      </w:tr>
      <w:tr w:rsidR="00AE0819" w:rsidRPr="0002494F" w:rsidTr="00F70E0C">
        <w:trPr>
          <w:trHeight w:val="274"/>
        </w:trPr>
        <w:tc>
          <w:tcPr>
            <w:tcW w:w="964" w:type="dxa"/>
            <w:shd w:val="clear" w:color="auto" w:fill="auto"/>
          </w:tcPr>
          <w:p w:rsidR="00AE0819" w:rsidRDefault="00AE0819"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6.</w:t>
            </w:r>
          </w:p>
        </w:tc>
        <w:tc>
          <w:tcPr>
            <w:tcW w:w="2575" w:type="dxa"/>
            <w:shd w:val="clear" w:color="auto" w:fill="auto"/>
          </w:tcPr>
          <w:p w:rsidR="00AE0819" w:rsidRPr="00B7643F" w:rsidRDefault="00AE0819"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2916B0" w:rsidRPr="00C66AEF" w:rsidRDefault="002916B0" w:rsidP="002916B0">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AE0819" w:rsidRDefault="002916B0" w:rsidP="002916B0">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2916B0" w:rsidRPr="0002494F" w:rsidRDefault="00BA4361" w:rsidP="00BA4361">
            <w:pPr>
              <w:pStyle w:val="ListParagraph"/>
              <w:spacing w:after="0" w:line="240" w:lineRule="auto"/>
              <w:ind w:left="0"/>
              <w:jc w:val="both"/>
              <w:rPr>
                <w:rFonts w:ascii="Times New Roman" w:hAnsi="Times New Roman" w:cs="Times New Roman"/>
                <w:b/>
              </w:rPr>
            </w:pPr>
            <w:r w:rsidRPr="00BA4361">
              <w:rPr>
                <w:rFonts w:ascii="Times New Roman" w:eastAsia="Times New Roman" w:hAnsi="Times New Roman" w:cs="Times New Roman"/>
                <w:lang w:val="lv-LV"/>
              </w:rPr>
              <w:t xml:space="preserve">Ievērojot anotācijā minēto “Attiecībā uz Komercdarbības atbalsta kontroles likuma 5.pantā </w:t>
            </w:r>
            <w:bookmarkStart w:id="1" w:name="_Hlk85806686"/>
            <w:r w:rsidRPr="00BA4361">
              <w:rPr>
                <w:rFonts w:ascii="Times New Roman" w:eastAsia="Times New Roman" w:hAnsi="Times New Roman" w:cs="Times New Roman"/>
                <w:lang w:val="lv-LV"/>
              </w:rPr>
              <w:t xml:space="preserve">minēto 4.pazīmi (finansiālā palīdzība ietekmē tirdzniecību un izkropļo konkurenci Eiropas Savienības iekšējā tirgū), </w:t>
            </w:r>
            <w:r w:rsidRPr="00BA4361">
              <w:rPr>
                <w:rFonts w:ascii="Times New Roman" w:eastAsia="Times New Roman" w:hAnsi="Times New Roman" w:cs="Times New Roman"/>
                <w:u w:val="single"/>
                <w:lang w:val="lv-LV"/>
              </w:rPr>
              <w:t xml:space="preserve">IZM ir noteikusi, ka augstskolai ir </w:t>
            </w:r>
            <w:r w:rsidRPr="00BA4361">
              <w:rPr>
                <w:rFonts w:ascii="Times New Roman" w:eastAsia="Times New Roman" w:hAnsi="Times New Roman" w:cs="Times New Roman"/>
                <w:u w:val="single"/>
                <w:lang w:val="lv-LV"/>
              </w:rPr>
              <w:lastRenderedPageBreak/>
              <w:t xml:space="preserve">ietekme uz Eiropas Savienības iekšējo tirgu, ja vienlaikus izpildās visas minētās pazīmes: 1) </w:t>
            </w:r>
            <w:r w:rsidRPr="00BA4361">
              <w:rPr>
                <w:rFonts w:ascii="Times New Roman" w:eastAsia="Times New Roman" w:hAnsi="Times New Roman" w:cs="Times New Roman"/>
                <w:lang w:val="lv-LV"/>
              </w:rPr>
              <w:t>ārvalstu studējošo īpatsvars no kopējā studējošo skaita pārsniedz 15%; 2) augstskolas vieta ietekmīgākajos pasaules universitāšu reitingos ir TOP 300; 3) dominējošā studiju valoda ir ES oficiālā valoda, kas nav latviešu valoda (pārsniedz 50).</w:t>
            </w:r>
            <w:bookmarkEnd w:id="1"/>
            <w:r w:rsidRPr="00BA4361">
              <w:rPr>
                <w:rFonts w:ascii="Times New Roman" w:eastAsia="Times New Roman" w:hAnsi="Times New Roman" w:cs="Times New Roman"/>
                <w:lang w:val="lv-LV"/>
              </w:rPr>
              <w:t xml:space="preserve"> Tā kā šobrīd nevienai Latvijas augstskolai neizpildās 2. un 3.pazīme, ir secināms, ka visu augstskolu darbībai ir vietēja ietekme. Līdz ar to 14.1.1.1.pasākuma ietvaros komercdarbības atbalsta sniegšana nav paredzēta.”, vēršam uzmanību, ka šī IZM izpratne ir cieši saistīta ar jautājumiem, kurus IZM uzdeva Komisijai ar š.g. 7.jūnija vēstuli Nr.4-21.1e/21/2161 un kas radušies prejudiciālā nolēmuma lietās C-164/21 un C-318/21, un kas šobrīd tiek izskatītas Eiropas Savienības tiesā. </w:t>
            </w:r>
            <w:r w:rsidRPr="00E10500">
              <w:rPr>
                <w:rFonts w:ascii="Times New Roman" w:eastAsia="Times New Roman" w:hAnsi="Times New Roman" w:cs="Times New Roman"/>
                <w:lang w:val="lv-LV"/>
              </w:rPr>
              <w:t>Līdz ar to, lai minēto pieeju apstiprinātu, būtu nepieciešams sagaidīt Eiropas Savienības tiesas spriedumu minētajās lietās.</w:t>
            </w:r>
          </w:p>
        </w:tc>
        <w:tc>
          <w:tcPr>
            <w:tcW w:w="3119" w:type="dxa"/>
            <w:shd w:val="clear" w:color="auto" w:fill="auto"/>
          </w:tcPr>
          <w:p w:rsidR="00AE0819" w:rsidRDefault="00BA4361" w:rsidP="00E65636">
            <w:pPr>
              <w:spacing w:after="0" w:line="240" w:lineRule="auto"/>
              <w:jc w:val="both"/>
              <w:rPr>
                <w:rFonts w:ascii="Times New Roman" w:eastAsia="Times New Roman" w:hAnsi="Times New Roman" w:cs="Times New Roman"/>
                <w:b/>
                <w:lang w:val="lv-LV" w:eastAsia="lv-LV"/>
              </w:rPr>
            </w:pPr>
            <w:r w:rsidRPr="00BA4361">
              <w:rPr>
                <w:rFonts w:ascii="Times New Roman" w:eastAsia="Times New Roman" w:hAnsi="Times New Roman" w:cs="Times New Roman"/>
                <w:b/>
                <w:lang w:val="lv-LV" w:eastAsia="lv-LV"/>
              </w:rPr>
              <w:lastRenderedPageBreak/>
              <w:t>Ņemts vērā</w:t>
            </w:r>
          </w:p>
          <w:p w:rsidR="00BA4361" w:rsidRDefault="00BA4361" w:rsidP="00BA4361">
            <w:pPr>
              <w:spacing w:after="0" w:line="240" w:lineRule="auto"/>
              <w:jc w:val="both"/>
              <w:rPr>
                <w:rFonts w:ascii="Times New Roman" w:eastAsia="Times New Roman" w:hAnsi="Times New Roman" w:cs="Times New Roman"/>
                <w:lang w:val="lv-LV" w:eastAsia="lv-LV"/>
              </w:rPr>
            </w:pPr>
            <w:r w:rsidRPr="00BA4361">
              <w:rPr>
                <w:rFonts w:ascii="Times New Roman" w:eastAsia="Times New Roman" w:hAnsi="Times New Roman" w:cs="Times New Roman"/>
                <w:lang w:val="lv-LV" w:eastAsia="lv-LV"/>
              </w:rPr>
              <w:t xml:space="preserve">No anotācijas dzēsta norāde uz </w:t>
            </w:r>
            <w:r w:rsidR="006E0CC9">
              <w:rPr>
                <w:rFonts w:ascii="Times New Roman" w:eastAsia="Times New Roman" w:hAnsi="Times New Roman" w:cs="Times New Roman"/>
                <w:lang w:val="lv-LV" w:eastAsia="lv-LV"/>
              </w:rPr>
              <w:t xml:space="preserve">vietējās </w:t>
            </w:r>
            <w:r w:rsidRPr="006E0CC9">
              <w:rPr>
                <w:rFonts w:ascii="Times New Roman" w:eastAsia="Times New Roman" w:hAnsi="Times New Roman" w:cs="Times New Roman"/>
                <w:lang w:val="lv-LV" w:eastAsia="lv-LV"/>
              </w:rPr>
              <w:t>ietekmes</w:t>
            </w:r>
            <w:r w:rsidR="006E0CC9" w:rsidRPr="006E0CC9">
              <w:rPr>
                <w:rFonts w:ascii="Times New Roman" w:eastAsia="Times New Roman" w:hAnsi="Times New Roman" w:cs="Times New Roman"/>
                <w:lang w:val="lv-LV" w:eastAsia="lv-LV"/>
              </w:rPr>
              <w:t xml:space="preserve"> novērtēšanas</w:t>
            </w:r>
            <w:r w:rsidRPr="006E0CC9">
              <w:rPr>
                <w:rFonts w:ascii="Times New Roman" w:eastAsia="Times New Roman" w:hAnsi="Times New Roman" w:cs="Times New Roman"/>
                <w:lang w:val="lv-LV" w:eastAsia="lv-LV"/>
              </w:rPr>
              <w:t xml:space="preserve"> kritēriju robežvērtībām un to kumulatīv</w:t>
            </w:r>
            <w:r w:rsidR="00124D7E" w:rsidRPr="006E0CC9">
              <w:rPr>
                <w:rFonts w:ascii="Times New Roman" w:eastAsia="Times New Roman" w:hAnsi="Times New Roman" w:cs="Times New Roman"/>
                <w:lang w:val="lv-LV" w:eastAsia="lv-LV"/>
              </w:rPr>
              <w:t>ās</w:t>
            </w:r>
            <w:r w:rsidRPr="006E0CC9">
              <w:rPr>
                <w:rFonts w:ascii="Times New Roman" w:eastAsia="Times New Roman" w:hAnsi="Times New Roman" w:cs="Times New Roman"/>
                <w:lang w:val="lv-LV" w:eastAsia="lv-LV"/>
              </w:rPr>
              <w:t xml:space="preserve"> vērtē</w:t>
            </w:r>
            <w:r w:rsidR="00124D7E" w:rsidRPr="006E0CC9">
              <w:rPr>
                <w:rFonts w:ascii="Times New Roman" w:eastAsia="Times New Roman" w:hAnsi="Times New Roman" w:cs="Times New Roman"/>
                <w:lang w:val="lv-LV" w:eastAsia="lv-LV"/>
              </w:rPr>
              <w:t>šanas</w:t>
            </w:r>
            <w:r w:rsidR="00124D7E">
              <w:rPr>
                <w:rFonts w:ascii="Times New Roman" w:eastAsia="Times New Roman" w:hAnsi="Times New Roman" w:cs="Times New Roman"/>
                <w:lang w:val="lv-LV" w:eastAsia="lv-LV"/>
              </w:rPr>
              <w:t xml:space="preserve"> pieeju</w:t>
            </w:r>
            <w:r w:rsidRPr="00BA4361">
              <w:rPr>
                <w:rFonts w:ascii="Times New Roman" w:eastAsia="Times New Roman" w:hAnsi="Times New Roman" w:cs="Times New Roman"/>
                <w:lang w:val="lv-LV" w:eastAsia="lv-LV"/>
              </w:rPr>
              <w:t>.</w:t>
            </w:r>
          </w:p>
          <w:p w:rsidR="00D0135D" w:rsidRDefault="00D0135D" w:rsidP="00BA436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Tā kā </w:t>
            </w:r>
            <w:r>
              <w:t xml:space="preserve"> </w:t>
            </w:r>
            <w:r w:rsidRPr="00D0135D">
              <w:rPr>
                <w:rFonts w:ascii="Times New Roman" w:eastAsia="Times New Roman" w:hAnsi="Times New Roman" w:cs="Times New Roman"/>
                <w:lang w:val="lv-LV" w:eastAsia="lv-LV"/>
              </w:rPr>
              <w:t>Eiropas Savienības tiesas spriedum</w:t>
            </w:r>
            <w:r>
              <w:rPr>
                <w:rFonts w:ascii="Times New Roman" w:eastAsia="Times New Roman" w:hAnsi="Times New Roman" w:cs="Times New Roman"/>
                <w:lang w:val="lv-LV" w:eastAsia="lv-LV"/>
              </w:rPr>
              <w:t>i</w:t>
            </w:r>
            <w:r w:rsidRPr="00D0135D">
              <w:rPr>
                <w:rFonts w:ascii="Times New Roman" w:eastAsia="Times New Roman" w:hAnsi="Times New Roman" w:cs="Times New Roman"/>
                <w:lang w:val="lv-LV" w:eastAsia="lv-LV"/>
              </w:rPr>
              <w:t xml:space="preserve"> minētajās lietās</w:t>
            </w:r>
            <w:r>
              <w:rPr>
                <w:rFonts w:ascii="Times New Roman" w:eastAsia="Times New Roman" w:hAnsi="Times New Roman" w:cs="Times New Roman"/>
                <w:lang w:val="lv-LV" w:eastAsia="lv-LV"/>
              </w:rPr>
              <w:t xml:space="preserve"> (</w:t>
            </w:r>
            <w:r w:rsidRPr="00D0135D">
              <w:rPr>
                <w:rFonts w:ascii="Times New Roman" w:eastAsia="Times New Roman" w:hAnsi="Times New Roman" w:cs="Times New Roman"/>
                <w:lang w:val="lv-LV" w:eastAsia="lv-LV"/>
              </w:rPr>
              <w:t>C-164/21 un C-318/21</w:t>
            </w:r>
            <w:r>
              <w:rPr>
                <w:rFonts w:ascii="Times New Roman" w:eastAsia="Times New Roman" w:hAnsi="Times New Roman" w:cs="Times New Roman"/>
                <w:lang w:val="lv-LV" w:eastAsia="lv-LV"/>
              </w:rPr>
              <w:t>) neaptver visus jautājumus</w:t>
            </w:r>
            <w:r w:rsidR="001E261E">
              <w:rPr>
                <w:rFonts w:ascii="Times New Roman" w:eastAsia="Times New Roman" w:hAnsi="Times New Roman" w:cs="Times New Roman"/>
                <w:lang w:val="lv-LV" w:eastAsia="lv-LV"/>
              </w:rPr>
              <w:t xml:space="preserve">, </w:t>
            </w:r>
            <w:r w:rsidR="001E261E" w:rsidRPr="001E261E">
              <w:rPr>
                <w:rFonts w:ascii="Times New Roman" w:eastAsia="Times New Roman" w:hAnsi="Times New Roman" w:cs="Times New Roman"/>
                <w:lang w:val="lv-LV" w:eastAsia="lv-LV"/>
              </w:rPr>
              <w:t xml:space="preserve">kurus IZM </w:t>
            </w:r>
            <w:r w:rsidR="001E261E" w:rsidRPr="001E261E">
              <w:rPr>
                <w:rFonts w:ascii="Times New Roman" w:eastAsia="Times New Roman" w:hAnsi="Times New Roman" w:cs="Times New Roman"/>
                <w:lang w:val="lv-LV" w:eastAsia="lv-LV"/>
              </w:rPr>
              <w:lastRenderedPageBreak/>
              <w:t>uzdeva Komisijai ar š.g. 7.</w:t>
            </w:r>
            <w:r w:rsidR="003233A8">
              <w:rPr>
                <w:rFonts w:ascii="Times New Roman" w:eastAsia="Times New Roman" w:hAnsi="Times New Roman" w:cs="Times New Roman"/>
                <w:lang w:val="lv-LV" w:eastAsia="lv-LV"/>
              </w:rPr>
              <w:t xml:space="preserve"> </w:t>
            </w:r>
            <w:r w:rsidR="001E261E" w:rsidRPr="001E261E">
              <w:rPr>
                <w:rFonts w:ascii="Times New Roman" w:eastAsia="Times New Roman" w:hAnsi="Times New Roman" w:cs="Times New Roman"/>
                <w:lang w:val="lv-LV" w:eastAsia="lv-LV"/>
              </w:rPr>
              <w:t>jūnija vēstuli Nr.4-21.1e/21/2161</w:t>
            </w:r>
            <w:r w:rsidR="001E261E">
              <w:rPr>
                <w:rFonts w:ascii="Times New Roman" w:eastAsia="Times New Roman" w:hAnsi="Times New Roman" w:cs="Times New Roman"/>
                <w:lang w:val="lv-LV" w:eastAsia="lv-LV"/>
              </w:rPr>
              <w:t xml:space="preserve">, IZM tos </w:t>
            </w:r>
            <w:r w:rsidR="00775292">
              <w:rPr>
                <w:rFonts w:ascii="Times New Roman" w:eastAsia="Times New Roman" w:hAnsi="Times New Roman" w:cs="Times New Roman"/>
                <w:lang w:val="lv-LV" w:eastAsia="lv-LV"/>
              </w:rPr>
              <w:t xml:space="preserve">Komisijai </w:t>
            </w:r>
            <w:r w:rsidR="001E261E">
              <w:rPr>
                <w:rFonts w:ascii="Times New Roman" w:eastAsia="Times New Roman" w:hAnsi="Times New Roman" w:cs="Times New Roman"/>
                <w:lang w:val="lv-LV" w:eastAsia="lv-LV"/>
              </w:rPr>
              <w:t>uzdo</w:t>
            </w:r>
            <w:r w:rsidR="00775292">
              <w:rPr>
                <w:rFonts w:ascii="Times New Roman" w:eastAsia="Times New Roman" w:hAnsi="Times New Roman" w:cs="Times New Roman"/>
                <w:lang w:val="lv-LV" w:eastAsia="lv-LV"/>
              </w:rPr>
              <w:t>d</w:t>
            </w:r>
            <w:r w:rsidR="001E261E">
              <w:rPr>
                <w:rFonts w:ascii="Times New Roman" w:eastAsia="Times New Roman" w:hAnsi="Times New Roman" w:cs="Times New Roman"/>
                <w:lang w:val="lv-LV" w:eastAsia="lv-LV"/>
              </w:rPr>
              <w:t xml:space="preserve"> atkārtoti.</w:t>
            </w:r>
          </w:p>
          <w:p w:rsidR="00BA4361" w:rsidRPr="000D146A" w:rsidRDefault="00BA4361" w:rsidP="00E10500">
            <w:pPr>
              <w:spacing w:after="0" w:line="240" w:lineRule="auto"/>
              <w:jc w:val="both"/>
              <w:rPr>
                <w:rFonts w:ascii="Times New Roman" w:eastAsia="Times New Roman" w:hAnsi="Times New Roman" w:cs="Times New Roman"/>
                <w:b/>
                <w:highlight w:val="red"/>
                <w:lang w:val="lv-LV" w:eastAsia="lv-LV"/>
              </w:rPr>
            </w:pPr>
          </w:p>
        </w:tc>
        <w:tc>
          <w:tcPr>
            <w:tcW w:w="3260" w:type="dxa"/>
          </w:tcPr>
          <w:p w:rsidR="00AE0819" w:rsidRPr="00100684" w:rsidRDefault="00AE0819" w:rsidP="00100684">
            <w:pPr>
              <w:pStyle w:val="tv2132"/>
              <w:spacing w:line="240" w:lineRule="auto"/>
              <w:contextualSpacing/>
              <w:jc w:val="both"/>
              <w:rPr>
                <w:rFonts w:cstheme="minorBidi"/>
                <w:color w:val="auto"/>
                <w:sz w:val="22"/>
                <w:szCs w:val="22"/>
                <w:lang w:val="lv-LV"/>
              </w:rPr>
            </w:pPr>
          </w:p>
        </w:tc>
      </w:tr>
      <w:tr w:rsidR="00AE0819" w:rsidRPr="0002494F" w:rsidTr="00F70E0C">
        <w:trPr>
          <w:trHeight w:val="274"/>
        </w:trPr>
        <w:tc>
          <w:tcPr>
            <w:tcW w:w="964" w:type="dxa"/>
            <w:shd w:val="clear" w:color="auto" w:fill="auto"/>
          </w:tcPr>
          <w:p w:rsidR="00AE0819" w:rsidRDefault="001042AC"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7.</w:t>
            </w:r>
          </w:p>
        </w:tc>
        <w:tc>
          <w:tcPr>
            <w:tcW w:w="2575" w:type="dxa"/>
            <w:shd w:val="clear" w:color="auto" w:fill="auto"/>
          </w:tcPr>
          <w:p w:rsidR="00AE0819" w:rsidRPr="00B7643F" w:rsidRDefault="00AE0819"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FF401E" w:rsidRPr="00C66AEF" w:rsidRDefault="00FF401E" w:rsidP="00FF401E">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FF401E" w:rsidRDefault="00FF401E" w:rsidP="00FF401E">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FF401E" w:rsidRPr="00FF401E" w:rsidRDefault="00FF401E" w:rsidP="00FF401E">
            <w:pPr>
              <w:spacing w:after="0" w:line="240" w:lineRule="auto"/>
              <w:contextualSpacing/>
              <w:jc w:val="both"/>
              <w:rPr>
                <w:rFonts w:ascii="Times New Roman" w:eastAsia="Times New Roman" w:hAnsi="Times New Roman" w:cs="Times New Roman"/>
                <w:lang w:val="lv-LV"/>
              </w:rPr>
            </w:pPr>
            <w:r w:rsidRPr="00FF401E">
              <w:rPr>
                <w:rFonts w:ascii="Times New Roman" w:eastAsia="Times New Roman" w:hAnsi="Times New Roman" w:cs="Times New Roman"/>
                <w:lang w:val="lv-LV"/>
              </w:rPr>
              <w:t>Ņemot vērā 2.iebildumā</w:t>
            </w:r>
            <w:r w:rsidR="001042AC">
              <w:rPr>
                <w:rFonts w:ascii="Times New Roman" w:eastAsia="Times New Roman" w:hAnsi="Times New Roman" w:cs="Times New Roman"/>
                <w:lang w:val="lv-LV"/>
              </w:rPr>
              <w:t xml:space="preserve"> (</w:t>
            </w:r>
            <w:r w:rsidR="001042AC" w:rsidRPr="007F4B15">
              <w:rPr>
                <w:rFonts w:ascii="Times New Roman" w:eastAsia="Times New Roman" w:hAnsi="Times New Roman" w:cs="Times New Roman"/>
                <w:i/>
                <w:lang w:val="lv-LV"/>
              </w:rPr>
              <w:t xml:space="preserve">izziņas </w:t>
            </w:r>
            <w:r w:rsidR="007F4B15" w:rsidRPr="007F4B15">
              <w:rPr>
                <w:rFonts w:ascii="Times New Roman" w:eastAsia="Times New Roman" w:hAnsi="Times New Roman" w:cs="Times New Roman"/>
                <w:i/>
                <w:lang w:val="lv-LV"/>
              </w:rPr>
              <w:t>4.punktā iekļautais iebildums</w:t>
            </w:r>
            <w:r w:rsidR="007F4B15">
              <w:rPr>
                <w:rFonts w:ascii="Times New Roman" w:eastAsia="Times New Roman" w:hAnsi="Times New Roman" w:cs="Times New Roman"/>
                <w:lang w:val="lv-LV"/>
              </w:rPr>
              <w:t>)</w:t>
            </w:r>
            <w:r w:rsidRPr="00FF401E">
              <w:rPr>
                <w:rFonts w:ascii="Times New Roman" w:eastAsia="Times New Roman" w:hAnsi="Times New Roman" w:cs="Times New Roman"/>
                <w:lang w:val="lv-LV"/>
              </w:rPr>
              <w:t xml:space="preserve"> jau sniegto skaidrojumu, ka papildinoša saimnieciskā darbība ir iespējama tikai tādiem subjektiem, kas pamatā veic nesaimniecisku darbību un to ka anotācijā ir sniegts skaidrojums, ka tikai valsts dibinātas augstskolas veic nesaimniecisku darbību, aicinām precizēt noteikumu projekta 2.3.apakšpunktu, aizstājot vārdus </w:t>
            </w:r>
            <w:r w:rsidRPr="00FF401E">
              <w:rPr>
                <w:rFonts w:ascii="Times New Roman" w:eastAsia="Times New Roman" w:hAnsi="Times New Roman" w:cs="Times New Roman"/>
                <w:lang w:val="lv-LV"/>
              </w:rPr>
              <w:lastRenderedPageBreak/>
              <w:t>“augstskolas darbība” ar vārdiem “valsts dibinātas augstskolas darbība”.</w:t>
            </w:r>
          </w:p>
          <w:p w:rsidR="00FF401E" w:rsidRPr="00FF401E" w:rsidRDefault="00FF401E" w:rsidP="00FF401E">
            <w:pPr>
              <w:spacing w:after="0" w:line="240" w:lineRule="auto"/>
              <w:contextualSpacing/>
              <w:jc w:val="both"/>
              <w:rPr>
                <w:rFonts w:ascii="Times New Roman" w:eastAsia="Times New Roman" w:hAnsi="Times New Roman" w:cs="Times New Roman"/>
                <w:lang w:val="lv-LV"/>
              </w:rPr>
            </w:pPr>
            <w:r w:rsidRPr="00FF401E">
              <w:rPr>
                <w:rFonts w:ascii="Times New Roman" w:eastAsia="Times New Roman" w:hAnsi="Times New Roman" w:cs="Times New Roman"/>
                <w:lang w:val="lv-LV"/>
              </w:rPr>
              <w:t>Papildus attiecībā uz papildinošas saimnieciskās darbības jēdziena ieviešanu, vēršam uzmanību, ka:</w:t>
            </w:r>
          </w:p>
          <w:p w:rsidR="00FF401E" w:rsidRPr="00FF401E" w:rsidRDefault="00FF401E" w:rsidP="00FF401E">
            <w:pPr>
              <w:numPr>
                <w:ilvl w:val="0"/>
                <w:numId w:val="24"/>
              </w:numPr>
              <w:autoSpaceDE w:val="0"/>
              <w:autoSpaceDN w:val="0"/>
              <w:spacing w:after="0" w:line="240" w:lineRule="auto"/>
              <w:ind w:right="142"/>
              <w:jc w:val="both"/>
              <w:rPr>
                <w:rFonts w:ascii="Times New Roman" w:eastAsia="Times New Roman" w:hAnsi="Times New Roman" w:cs="Times New Roman"/>
                <w:lang w:val="lv-LV"/>
              </w:rPr>
            </w:pPr>
            <w:r w:rsidRPr="00FF401E">
              <w:rPr>
                <w:rFonts w:ascii="Times New Roman" w:eastAsia="Times New Roman" w:hAnsi="Times New Roman" w:cs="Times New Roman"/>
                <w:lang w:val="lv-LV"/>
              </w:rPr>
              <w:t xml:space="preserve">atbildīgajai iestādei pirms atlases izsludināšanas ir nepieciešams izstrādāt metodiku, kā tiks nodrošināta papildinošu saimniecisku darbību uzraudzība, piemēram, nosakot sākuma datumu papildinošu saimniecisku darbību uzskaitījumam, kā arī konkrēti nosakot, no kā tiks aprēķināts saimniecisku darbību ikgadējais apmērs u.c. Lūdzam iekļaut anotācijā atbilstošu skaidrojumu par šādas metodikas izstrādi; </w:t>
            </w:r>
          </w:p>
          <w:p w:rsidR="00FF401E" w:rsidRPr="00FF401E" w:rsidRDefault="00FF401E" w:rsidP="00FF401E">
            <w:pPr>
              <w:numPr>
                <w:ilvl w:val="0"/>
                <w:numId w:val="24"/>
              </w:numPr>
              <w:autoSpaceDE w:val="0"/>
              <w:autoSpaceDN w:val="0"/>
              <w:spacing w:after="0" w:line="240" w:lineRule="auto"/>
              <w:ind w:right="142"/>
              <w:jc w:val="both"/>
              <w:rPr>
                <w:rFonts w:ascii="Times New Roman" w:eastAsia="Times New Roman" w:hAnsi="Times New Roman" w:cs="Times New Roman"/>
                <w:lang w:val="lv-LV"/>
              </w:rPr>
            </w:pPr>
            <w:r w:rsidRPr="00FF401E">
              <w:rPr>
                <w:rFonts w:ascii="Times New Roman" w:eastAsia="Times New Roman" w:hAnsi="Times New Roman" w:cs="Times New Roman"/>
                <w:lang w:val="lv-LV"/>
              </w:rPr>
              <w:t>atbalsta saņēmējam ir nepieciešams iesniegt apliecinājumu, ka papildinošu saimniecisku darbību veikšana infrastruktūras nolietojuma periodā tiks veikta pieļaujamajā ierobežotā apmērā.</w:t>
            </w:r>
          </w:p>
          <w:p w:rsidR="00AE0819" w:rsidRPr="0002494F" w:rsidRDefault="00FF401E" w:rsidP="00FF401E">
            <w:pPr>
              <w:pStyle w:val="ListParagraph"/>
              <w:spacing w:after="0" w:line="240" w:lineRule="auto"/>
              <w:ind w:left="0"/>
              <w:jc w:val="both"/>
              <w:rPr>
                <w:rFonts w:ascii="Times New Roman" w:hAnsi="Times New Roman" w:cs="Times New Roman"/>
                <w:b/>
              </w:rPr>
            </w:pPr>
            <w:r w:rsidRPr="00FF401E">
              <w:rPr>
                <w:rFonts w:ascii="Times New Roman" w:eastAsia="Times New Roman" w:hAnsi="Times New Roman" w:cs="Times New Roman"/>
                <w:lang w:val="lv-LV"/>
              </w:rPr>
              <w:t>Papildus vēršam uzmanību, ka noteikumu projekta 39.punktā iekļautie nosacījumi “var izmantot papildinošas saimnieciskas darbības veikšanai ne vairāk kā 20 % apmērā no attiecīgās infrastruktūras kopējās gada finansiālās vai laika resursu kapacitātes” ir pretrunā noteikumu projekta 2.3.apakšpunktā ietvertajai definīcijai. Lūdzam veikt atbilstošus precizējumus, lai novērstu šo pretrunu</w:t>
            </w:r>
            <w:r>
              <w:rPr>
                <w:rFonts w:ascii="Times New Roman" w:eastAsia="Times New Roman" w:hAnsi="Times New Roman" w:cs="Times New Roman"/>
                <w:lang w:val="lv-LV"/>
              </w:rPr>
              <w:t>.</w:t>
            </w:r>
          </w:p>
        </w:tc>
        <w:tc>
          <w:tcPr>
            <w:tcW w:w="3119" w:type="dxa"/>
            <w:shd w:val="clear" w:color="auto" w:fill="auto"/>
          </w:tcPr>
          <w:p w:rsidR="00AE0819" w:rsidRDefault="00FF401E" w:rsidP="00E65636">
            <w:pPr>
              <w:spacing w:after="0" w:line="240" w:lineRule="auto"/>
              <w:jc w:val="both"/>
              <w:rPr>
                <w:rFonts w:ascii="Times New Roman" w:eastAsia="Times New Roman" w:hAnsi="Times New Roman" w:cs="Times New Roman"/>
                <w:b/>
                <w:lang w:val="lv-LV" w:eastAsia="lv-LV"/>
              </w:rPr>
            </w:pPr>
            <w:r w:rsidRPr="00FF401E">
              <w:rPr>
                <w:rFonts w:ascii="Times New Roman" w:eastAsia="Times New Roman" w:hAnsi="Times New Roman" w:cs="Times New Roman"/>
                <w:b/>
                <w:lang w:val="lv-LV" w:eastAsia="lv-LV"/>
              </w:rPr>
              <w:lastRenderedPageBreak/>
              <w:t>Ņemts vērā</w:t>
            </w:r>
          </w:p>
          <w:p w:rsidR="00FF401E" w:rsidRPr="00FF401E" w:rsidRDefault="00FF401E" w:rsidP="0030605A">
            <w:pPr>
              <w:spacing w:after="0" w:line="240" w:lineRule="auto"/>
              <w:jc w:val="both"/>
              <w:rPr>
                <w:rFonts w:ascii="Times New Roman" w:eastAsia="Times New Roman" w:hAnsi="Times New Roman" w:cs="Times New Roman"/>
                <w:highlight w:val="red"/>
                <w:lang w:val="lv-LV" w:eastAsia="lv-LV"/>
              </w:rPr>
            </w:pPr>
            <w:r w:rsidRPr="00FF401E">
              <w:rPr>
                <w:rFonts w:ascii="Times New Roman" w:eastAsia="Times New Roman" w:hAnsi="Times New Roman" w:cs="Times New Roman"/>
                <w:lang w:val="lv-LV" w:eastAsia="lv-LV"/>
              </w:rPr>
              <w:t xml:space="preserve">Sk. </w:t>
            </w:r>
            <w:r w:rsidR="0030605A">
              <w:t xml:space="preserve"> </w:t>
            </w:r>
            <w:r w:rsidR="0030605A" w:rsidRPr="0030605A">
              <w:rPr>
                <w:rFonts w:ascii="Times New Roman" w:eastAsia="Times New Roman" w:hAnsi="Times New Roman" w:cs="Times New Roman"/>
                <w:lang w:val="lv-LV" w:eastAsia="lv-LV"/>
              </w:rPr>
              <w:t xml:space="preserve">sniegto skaidrojumu </w:t>
            </w:r>
            <w:r w:rsidRPr="00FF401E">
              <w:rPr>
                <w:rFonts w:ascii="Times New Roman" w:eastAsia="Times New Roman" w:hAnsi="Times New Roman" w:cs="Times New Roman"/>
                <w:lang w:val="lv-LV" w:eastAsia="lv-LV"/>
              </w:rPr>
              <w:t xml:space="preserve">izziņas </w:t>
            </w:r>
            <w:r>
              <w:rPr>
                <w:rFonts w:ascii="Times New Roman" w:eastAsia="Times New Roman" w:hAnsi="Times New Roman" w:cs="Times New Roman"/>
                <w:lang w:val="lv-LV" w:eastAsia="lv-LV"/>
              </w:rPr>
              <w:t>2. un 4. punktā.</w:t>
            </w:r>
          </w:p>
        </w:tc>
        <w:tc>
          <w:tcPr>
            <w:tcW w:w="3260" w:type="dxa"/>
          </w:tcPr>
          <w:p w:rsidR="00AE0819" w:rsidRPr="00100684" w:rsidRDefault="00AE0819" w:rsidP="00100684">
            <w:pPr>
              <w:pStyle w:val="tv2132"/>
              <w:spacing w:line="240" w:lineRule="auto"/>
              <w:contextualSpacing/>
              <w:jc w:val="both"/>
              <w:rPr>
                <w:rFonts w:cstheme="minorBidi"/>
                <w:color w:val="auto"/>
                <w:sz w:val="22"/>
                <w:szCs w:val="22"/>
                <w:lang w:val="lv-LV"/>
              </w:rPr>
            </w:pPr>
          </w:p>
        </w:tc>
      </w:tr>
      <w:tr w:rsidR="001042AC" w:rsidRPr="0002494F" w:rsidTr="00F70E0C">
        <w:trPr>
          <w:trHeight w:val="274"/>
        </w:trPr>
        <w:tc>
          <w:tcPr>
            <w:tcW w:w="964" w:type="dxa"/>
            <w:shd w:val="clear" w:color="auto" w:fill="auto"/>
          </w:tcPr>
          <w:p w:rsidR="001042AC"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8.</w:t>
            </w:r>
          </w:p>
        </w:tc>
        <w:tc>
          <w:tcPr>
            <w:tcW w:w="2575" w:type="dxa"/>
            <w:shd w:val="clear" w:color="auto" w:fill="auto"/>
          </w:tcPr>
          <w:p w:rsidR="001042AC" w:rsidRPr="00B7643F" w:rsidRDefault="001042AC"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63618F" w:rsidRPr="00C66AEF" w:rsidRDefault="0063618F" w:rsidP="0063618F">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63618F" w:rsidRDefault="0063618F" w:rsidP="0063618F">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1042AC" w:rsidRPr="007F4B15" w:rsidRDefault="007F4B15" w:rsidP="00CD11FC">
            <w:pPr>
              <w:pStyle w:val="ListParagraph"/>
              <w:spacing w:after="0" w:line="240" w:lineRule="auto"/>
              <w:ind w:left="0"/>
              <w:jc w:val="both"/>
              <w:rPr>
                <w:rFonts w:ascii="Times New Roman" w:hAnsi="Times New Roman" w:cs="Times New Roman"/>
                <w:b/>
              </w:rPr>
            </w:pPr>
            <w:r w:rsidRPr="007F4B15">
              <w:rPr>
                <w:rFonts w:ascii="Times New Roman" w:eastAsia="Times New Roman" w:hAnsi="Times New Roman" w:cs="Times New Roman"/>
                <w:lang w:val="lv-LV"/>
              </w:rPr>
              <w:lastRenderedPageBreak/>
              <w:t>Attiecībā uz noteikumu projekta 39.punktu, vēršam uzmanību, ka šā brīža punkta redakcija ir interpretējama tādejādi, ka augstskolai, lai tā nekvalificētos kā komercdarbības atbalsta saņēmēja, obligāti ir jāveic papildinoša saimnieciskā darbība. Lūdzam dzēst vārdus “Lai atbalsts projekta īstenošanai netiktu kvalificēts kā komercdarbības atbalsts,”. Vienlaikus, ņemot vērā, ka noteikumu projektā tiek lietoti dažādi termini attiecībā uz infrastruktūru, piemēram, tehniskais aprīkojums, aprīkojums, datu centri, inventārs u.c., lūdzam skaidri noteikumu projektā definēt, kas ir saprotams ar jēdzienu “infrastruktūra”, lai tiktu nodrošināts noteikumu projekta 39.punktā ietvertais nosacījums</w:t>
            </w:r>
            <w:r>
              <w:rPr>
                <w:rFonts w:ascii="Times New Roman" w:eastAsia="Times New Roman" w:hAnsi="Times New Roman" w:cs="Times New Roman"/>
                <w:lang w:val="lv-LV"/>
              </w:rPr>
              <w:t>.</w:t>
            </w:r>
          </w:p>
        </w:tc>
        <w:tc>
          <w:tcPr>
            <w:tcW w:w="3119" w:type="dxa"/>
            <w:shd w:val="clear" w:color="auto" w:fill="auto"/>
          </w:tcPr>
          <w:p w:rsidR="001042AC" w:rsidRPr="007F4B15" w:rsidRDefault="007F4B15" w:rsidP="00E65636">
            <w:pPr>
              <w:spacing w:after="0" w:line="240" w:lineRule="auto"/>
              <w:jc w:val="both"/>
              <w:rPr>
                <w:rFonts w:ascii="Times New Roman" w:eastAsia="Times New Roman" w:hAnsi="Times New Roman" w:cs="Times New Roman"/>
                <w:b/>
                <w:lang w:val="lv-LV" w:eastAsia="lv-LV"/>
              </w:rPr>
            </w:pPr>
            <w:r w:rsidRPr="007F4B15">
              <w:rPr>
                <w:rFonts w:ascii="Times New Roman" w:eastAsia="Times New Roman" w:hAnsi="Times New Roman" w:cs="Times New Roman"/>
                <w:b/>
                <w:lang w:val="lv-LV" w:eastAsia="lv-LV"/>
              </w:rPr>
              <w:lastRenderedPageBreak/>
              <w:t>Ņemts vērā</w:t>
            </w:r>
          </w:p>
          <w:p w:rsidR="007F4B15" w:rsidRDefault="007F4B15" w:rsidP="001E6218">
            <w:pPr>
              <w:spacing w:after="0" w:line="240" w:lineRule="auto"/>
              <w:jc w:val="both"/>
              <w:rPr>
                <w:rFonts w:ascii="Times New Roman" w:eastAsia="Times New Roman" w:hAnsi="Times New Roman" w:cs="Times New Roman"/>
                <w:lang w:val="lv-LV" w:eastAsia="lv-LV"/>
              </w:rPr>
            </w:pPr>
            <w:r w:rsidRPr="007F4B15">
              <w:rPr>
                <w:rFonts w:ascii="Times New Roman" w:eastAsia="Times New Roman" w:hAnsi="Times New Roman" w:cs="Times New Roman"/>
                <w:lang w:val="lv-LV" w:eastAsia="lv-LV"/>
              </w:rPr>
              <w:t xml:space="preserve">Sk. </w:t>
            </w:r>
            <w:r>
              <w:rPr>
                <w:rFonts w:ascii="Times New Roman" w:eastAsia="Times New Roman" w:hAnsi="Times New Roman" w:cs="Times New Roman"/>
                <w:lang w:val="lv-LV" w:eastAsia="lv-LV"/>
              </w:rPr>
              <w:t>s</w:t>
            </w:r>
            <w:r w:rsidRPr="007F4B15">
              <w:rPr>
                <w:rFonts w:ascii="Times New Roman" w:eastAsia="Times New Roman" w:hAnsi="Times New Roman" w:cs="Times New Roman"/>
                <w:lang w:val="lv-LV" w:eastAsia="lv-LV"/>
              </w:rPr>
              <w:t xml:space="preserve">kaidrojumu izziņas </w:t>
            </w:r>
            <w:r w:rsidR="001E6218">
              <w:rPr>
                <w:rFonts w:ascii="Times New Roman" w:eastAsia="Times New Roman" w:hAnsi="Times New Roman" w:cs="Times New Roman"/>
                <w:lang w:val="lv-LV" w:eastAsia="lv-LV"/>
              </w:rPr>
              <w:t>2.</w:t>
            </w:r>
            <w:r w:rsidRPr="007F4B15">
              <w:rPr>
                <w:rFonts w:ascii="Times New Roman" w:eastAsia="Times New Roman" w:hAnsi="Times New Roman" w:cs="Times New Roman"/>
                <w:lang w:val="lv-LV" w:eastAsia="lv-LV"/>
              </w:rPr>
              <w:t xml:space="preserve"> punktā</w:t>
            </w:r>
            <w:r w:rsidR="0030605A">
              <w:rPr>
                <w:rFonts w:ascii="Times New Roman" w:eastAsia="Times New Roman" w:hAnsi="Times New Roman" w:cs="Times New Roman"/>
                <w:lang w:val="lv-LV" w:eastAsia="lv-LV"/>
              </w:rPr>
              <w:t>.</w:t>
            </w:r>
          </w:p>
          <w:p w:rsidR="0030605A" w:rsidRPr="0030605A" w:rsidRDefault="0030605A" w:rsidP="001E6218">
            <w:pPr>
              <w:spacing w:after="0" w:line="240" w:lineRule="auto"/>
              <w:jc w:val="both"/>
              <w:rPr>
                <w:rFonts w:ascii="Times New Roman" w:eastAsia="Times New Roman" w:hAnsi="Times New Roman" w:cs="Times New Roman"/>
                <w:highlight w:val="red"/>
                <w:lang w:val="lv-LV" w:eastAsia="lv-LV"/>
              </w:rPr>
            </w:pPr>
            <w:r w:rsidRPr="0030605A">
              <w:rPr>
                <w:rFonts w:ascii="Times New Roman" w:eastAsia="Times New Roman" w:hAnsi="Times New Roman" w:cs="Times New Roman"/>
                <w:lang w:val="lv-LV" w:eastAsia="lv-LV"/>
              </w:rPr>
              <w:lastRenderedPageBreak/>
              <w:t>Noteikumu projekta 39.</w:t>
            </w:r>
            <w:r>
              <w:rPr>
                <w:rFonts w:ascii="Times New Roman" w:eastAsia="Times New Roman" w:hAnsi="Times New Roman" w:cs="Times New Roman"/>
                <w:lang w:val="lv-LV" w:eastAsia="lv-LV"/>
              </w:rPr>
              <w:t xml:space="preserve"> </w:t>
            </w:r>
            <w:r w:rsidRPr="0030605A">
              <w:rPr>
                <w:rFonts w:ascii="Times New Roman" w:eastAsia="Times New Roman" w:hAnsi="Times New Roman" w:cs="Times New Roman"/>
                <w:lang w:val="lv-LV" w:eastAsia="lv-LV"/>
              </w:rPr>
              <w:t>punkts svītrots.</w:t>
            </w:r>
          </w:p>
        </w:tc>
        <w:tc>
          <w:tcPr>
            <w:tcW w:w="3260" w:type="dxa"/>
          </w:tcPr>
          <w:p w:rsidR="001042AC" w:rsidRPr="00100684" w:rsidRDefault="001042AC" w:rsidP="00100684">
            <w:pPr>
              <w:pStyle w:val="tv2132"/>
              <w:spacing w:line="240" w:lineRule="auto"/>
              <w:contextualSpacing/>
              <w:jc w:val="both"/>
              <w:rPr>
                <w:rFonts w:cstheme="minorBidi"/>
                <w:color w:val="auto"/>
                <w:sz w:val="22"/>
                <w:szCs w:val="22"/>
                <w:lang w:val="lv-LV"/>
              </w:rPr>
            </w:pPr>
          </w:p>
        </w:tc>
      </w:tr>
      <w:tr w:rsidR="001042AC" w:rsidRPr="0002494F" w:rsidTr="00F70E0C">
        <w:trPr>
          <w:trHeight w:val="274"/>
        </w:trPr>
        <w:tc>
          <w:tcPr>
            <w:tcW w:w="964" w:type="dxa"/>
            <w:shd w:val="clear" w:color="auto" w:fill="auto"/>
          </w:tcPr>
          <w:p w:rsidR="001042AC"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9.</w:t>
            </w:r>
          </w:p>
        </w:tc>
        <w:tc>
          <w:tcPr>
            <w:tcW w:w="2575" w:type="dxa"/>
            <w:shd w:val="clear" w:color="auto" w:fill="auto"/>
          </w:tcPr>
          <w:p w:rsidR="001042AC" w:rsidRPr="00B7643F" w:rsidRDefault="001042AC"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63618F" w:rsidRPr="00C66AEF" w:rsidRDefault="0063618F" w:rsidP="0063618F">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63618F" w:rsidRPr="00C66AEF" w:rsidRDefault="0063618F" w:rsidP="0063618F">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1042AC" w:rsidRPr="007F4B15" w:rsidRDefault="007F4B15" w:rsidP="00CD11FC">
            <w:pPr>
              <w:pStyle w:val="ListParagraph"/>
              <w:spacing w:after="0" w:line="240" w:lineRule="auto"/>
              <w:ind w:left="0"/>
              <w:jc w:val="both"/>
              <w:rPr>
                <w:rFonts w:ascii="Times New Roman" w:hAnsi="Times New Roman" w:cs="Times New Roman"/>
                <w:b/>
              </w:rPr>
            </w:pPr>
            <w:r w:rsidRPr="00C66AEF">
              <w:rPr>
                <w:rFonts w:ascii="Times New Roman" w:eastAsia="Times New Roman" w:hAnsi="Times New Roman" w:cs="Times New Roman"/>
                <w:lang w:val="lv-LV"/>
              </w:rPr>
              <w:t>Attiecībā uz noteikumu</w:t>
            </w:r>
            <w:r w:rsidRPr="007F4B15">
              <w:rPr>
                <w:rFonts w:ascii="Times New Roman" w:eastAsia="Times New Roman" w:hAnsi="Times New Roman" w:cs="Times New Roman"/>
                <w:lang w:val="lv-LV"/>
              </w:rPr>
              <w:t xml:space="preserve"> projekta II.nodaļu “Prasības projekta iesniedzējam un sadarbības partnerim”, lūdzam noteikumu projektā un tā anotācijā ietvert skaidrus nosacījumus un kritērijus, kā tiks izvērtēts, ka projekta iesniedzēja sadarbības partnerim netiek sniegts komercdarbības atbalsts</w:t>
            </w:r>
            <w:r>
              <w:rPr>
                <w:rFonts w:ascii="Times New Roman" w:eastAsia="Times New Roman" w:hAnsi="Times New Roman" w:cs="Times New Roman"/>
                <w:lang w:val="lv-LV"/>
              </w:rPr>
              <w:t>.</w:t>
            </w:r>
          </w:p>
        </w:tc>
        <w:tc>
          <w:tcPr>
            <w:tcW w:w="3119" w:type="dxa"/>
            <w:shd w:val="clear" w:color="auto" w:fill="auto"/>
          </w:tcPr>
          <w:p w:rsidR="001042AC" w:rsidRDefault="007F4B15" w:rsidP="00E65636">
            <w:pPr>
              <w:spacing w:after="0" w:line="240" w:lineRule="auto"/>
              <w:jc w:val="both"/>
              <w:rPr>
                <w:rFonts w:ascii="Times New Roman" w:eastAsia="Times New Roman" w:hAnsi="Times New Roman" w:cs="Times New Roman"/>
                <w:b/>
                <w:lang w:val="lv-LV" w:eastAsia="lv-LV"/>
              </w:rPr>
            </w:pPr>
            <w:r w:rsidRPr="007F4B15">
              <w:rPr>
                <w:rFonts w:ascii="Times New Roman" w:eastAsia="Times New Roman" w:hAnsi="Times New Roman" w:cs="Times New Roman"/>
                <w:b/>
                <w:lang w:val="lv-LV" w:eastAsia="lv-LV"/>
              </w:rPr>
              <w:t>Ņemts vērā</w:t>
            </w:r>
          </w:p>
          <w:p w:rsidR="007F4B15" w:rsidRPr="007F4B15" w:rsidRDefault="007F4B15" w:rsidP="001E6218">
            <w:pPr>
              <w:spacing w:after="0" w:line="240" w:lineRule="auto"/>
              <w:jc w:val="both"/>
              <w:rPr>
                <w:rFonts w:ascii="Times New Roman" w:eastAsia="Times New Roman" w:hAnsi="Times New Roman" w:cs="Times New Roman"/>
                <w:highlight w:val="red"/>
                <w:lang w:val="lv-LV" w:eastAsia="lv-LV"/>
              </w:rPr>
            </w:pPr>
            <w:r w:rsidRPr="007F4B15">
              <w:rPr>
                <w:rFonts w:ascii="Times New Roman" w:eastAsia="Times New Roman" w:hAnsi="Times New Roman" w:cs="Times New Roman"/>
                <w:lang w:val="lv-LV" w:eastAsia="lv-LV"/>
              </w:rPr>
              <w:t xml:space="preserve">Sk. skaidrojumu izziņas </w:t>
            </w:r>
            <w:r w:rsidR="001E6218">
              <w:rPr>
                <w:rFonts w:ascii="Times New Roman" w:eastAsia="Times New Roman" w:hAnsi="Times New Roman" w:cs="Times New Roman"/>
                <w:lang w:val="lv-LV" w:eastAsia="lv-LV"/>
              </w:rPr>
              <w:t>4.</w:t>
            </w:r>
            <w:r w:rsidRPr="007F4B15">
              <w:rPr>
                <w:rFonts w:ascii="Times New Roman" w:eastAsia="Times New Roman" w:hAnsi="Times New Roman" w:cs="Times New Roman"/>
                <w:lang w:val="lv-LV" w:eastAsia="lv-LV"/>
              </w:rPr>
              <w:t xml:space="preserve"> punktā.</w:t>
            </w:r>
          </w:p>
        </w:tc>
        <w:tc>
          <w:tcPr>
            <w:tcW w:w="3260" w:type="dxa"/>
          </w:tcPr>
          <w:p w:rsidR="001042AC" w:rsidRPr="00100684" w:rsidRDefault="001042AC" w:rsidP="00100684">
            <w:pPr>
              <w:pStyle w:val="tv2132"/>
              <w:spacing w:line="240" w:lineRule="auto"/>
              <w:contextualSpacing/>
              <w:jc w:val="both"/>
              <w:rPr>
                <w:rFonts w:cstheme="minorBidi"/>
                <w:color w:val="auto"/>
                <w:sz w:val="22"/>
                <w:szCs w:val="22"/>
                <w:lang w:val="lv-LV"/>
              </w:rPr>
            </w:pPr>
          </w:p>
        </w:tc>
      </w:tr>
      <w:tr w:rsidR="001042AC" w:rsidRPr="0002494F" w:rsidTr="00F70E0C">
        <w:trPr>
          <w:trHeight w:val="274"/>
        </w:trPr>
        <w:tc>
          <w:tcPr>
            <w:tcW w:w="964" w:type="dxa"/>
            <w:shd w:val="clear" w:color="auto" w:fill="auto"/>
          </w:tcPr>
          <w:p w:rsidR="001042AC"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10.</w:t>
            </w:r>
          </w:p>
        </w:tc>
        <w:tc>
          <w:tcPr>
            <w:tcW w:w="2575" w:type="dxa"/>
            <w:shd w:val="clear" w:color="auto" w:fill="auto"/>
          </w:tcPr>
          <w:p w:rsidR="001042AC" w:rsidRPr="00B7643F" w:rsidRDefault="001042AC" w:rsidP="00B7643F">
            <w:pPr>
              <w:pStyle w:val="tv2132"/>
              <w:spacing w:line="240" w:lineRule="auto"/>
              <w:contextualSpacing/>
              <w:jc w:val="both"/>
              <w:rPr>
                <w:rFonts w:cstheme="minorBidi"/>
                <w:color w:val="auto"/>
                <w:sz w:val="22"/>
                <w:szCs w:val="22"/>
                <w:lang w:val="lv-LV"/>
              </w:rPr>
            </w:pPr>
          </w:p>
        </w:tc>
        <w:tc>
          <w:tcPr>
            <w:tcW w:w="3969" w:type="dxa"/>
            <w:shd w:val="clear" w:color="auto" w:fill="auto"/>
          </w:tcPr>
          <w:p w:rsidR="0063618F" w:rsidRPr="00C66AEF" w:rsidRDefault="0063618F" w:rsidP="0063618F">
            <w:pPr>
              <w:spacing w:after="0" w:line="240" w:lineRule="auto"/>
              <w:jc w:val="both"/>
              <w:rPr>
                <w:rFonts w:ascii="Times New Roman" w:hAnsi="Times New Roman" w:cs="Times New Roman"/>
                <w:b/>
              </w:rPr>
            </w:pPr>
            <w:r w:rsidRPr="00C66AEF">
              <w:rPr>
                <w:rFonts w:ascii="Times New Roman" w:hAnsi="Times New Roman" w:cs="Times New Roman"/>
                <w:b/>
              </w:rPr>
              <w:t>Finanšu ministrija</w:t>
            </w:r>
          </w:p>
          <w:p w:rsidR="0063618F" w:rsidRPr="00C66AEF" w:rsidRDefault="0063618F" w:rsidP="0063618F">
            <w:pPr>
              <w:pStyle w:val="ListParagraph"/>
              <w:spacing w:after="0" w:line="240" w:lineRule="auto"/>
              <w:ind w:left="0"/>
              <w:jc w:val="both"/>
              <w:rPr>
                <w:rFonts w:ascii="Times New Roman" w:hAnsi="Times New Roman" w:cs="Times New Roman"/>
                <w:b/>
              </w:rPr>
            </w:pPr>
            <w:r w:rsidRPr="00C66AEF">
              <w:rPr>
                <w:rFonts w:ascii="Times New Roman" w:hAnsi="Times New Roman" w:cs="Times New Roman"/>
                <w:b/>
              </w:rPr>
              <w:t>19.oktobra elektroniskās saskaņošanas laikā izteiktais iebildums</w:t>
            </w:r>
          </w:p>
          <w:p w:rsidR="001042AC" w:rsidRPr="007F4B15" w:rsidRDefault="007F4B15" w:rsidP="00CD11FC">
            <w:pPr>
              <w:pStyle w:val="ListParagraph"/>
              <w:spacing w:after="0" w:line="240" w:lineRule="auto"/>
              <w:ind w:left="0"/>
              <w:jc w:val="both"/>
              <w:rPr>
                <w:rFonts w:ascii="Times New Roman" w:hAnsi="Times New Roman" w:cs="Times New Roman"/>
                <w:b/>
              </w:rPr>
            </w:pPr>
            <w:r w:rsidRPr="00C66AEF">
              <w:rPr>
                <w:rFonts w:ascii="Times New Roman" w:eastAsia="Times New Roman" w:hAnsi="Times New Roman" w:cs="Times New Roman"/>
                <w:lang w:val="lv-LV"/>
              </w:rPr>
              <w:t>Ņemot vērā aktuālos grozījumus</w:t>
            </w:r>
            <w:r w:rsidRPr="007F4B15">
              <w:rPr>
                <w:rFonts w:ascii="Times New Roman" w:eastAsia="Times New Roman" w:hAnsi="Times New Roman" w:cs="Times New Roman"/>
                <w:lang w:val="lv-LV"/>
              </w:rPr>
              <w:t xml:space="preserve"> KAKL, lūdzam noteikumu projekta 41.punktā vārdus “kopā ar procentiem, kuru likmi publicē Eiropas Komisija saskaņā ar Komisijas 2004.gada 21.aprīļa Regulas (EK) Nr.794/2004, ar ko īsteno Padomes </w:t>
            </w:r>
            <w:r w:rsidRPr="007F4B15">
              <w:rPr>
                <w:rFonts w:ascii="Times New Roman" w:eastAsia="Times New Roman" w:hAnsi="Times New Roman" w:cs="Times New Roman"/>
                <w:lang w:val="lv-LV"/>
              </w:rPr>
              <w:lastRenderedPageBreak/>
              <w:t>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regulas Nr.794/2004 11.pantā noteikto procentu likmes piemērošanas metodi” aizstāt ar vārdiem, piemēram, šādā redakcijā: “no līdzekļiem, kas ir brīvi no komercdarbības atbalsta, atbilstoši Komercdarbības atbalsta kontroles likuma IV vai V nodaļas nosacījumiem.”</w:t>
            </w:r>
          </w:p>
        </w:tc>
        <w:tc>
          <w:tcPr>
            <w:tcW w:w="3119" w:type="dxa"/>
            <w:shd w:val="clear" w:color="auto" w:fill="auto"/>
          </w:tcPr>
          <w:p w:rsidR="001042AC" w:rsidRDefault="007F4B15" w:rsidP="00E65636">
            <w:pPr>
              <w:spacing w:after="0" w:line="240" w:lineRule="auto"/>
              <w:jc w:val="both"/>
              <w:rPr>
                <w:rFonts w:ascii="Times New Roman" w:eastAsia="Times New Roman" w:hAnsi="Times New Roman" w:cs="Times New Roman"/>
                <w:b/>
                <w:lang w:val="lv-LV" w:eastAsia="lv-LV"/>
              </w:rPr>
            </w:pPr>
            <w:r w:rsidRPr="007F4B15">
              <w:rPr>
                <w:rFonts w:ascii="Times New Roman" w:eastAsia="Times New Roman" w:hAnsi="Times New Roman" w:cs="Times New Roman"/>
                <w:b/>
                <w:lang w:val="lv-LV" w:eastAsia="lv-LV"/>
              </w:rPr>
              <w:lastRenderedPageBreak/>
              <w:t>Ņemts vērā</w:t>
            </w:r>
          </w:p>
          <w:p w:rsidR="007F4B15" w:rsidRDefault="007F4B15" w:rsidP="001E6218">
            <w:pPr>
              <w:spacing w:after="0" w:line="240" w:lineRule="auto"/>
              <w:jc w:val="both"/>
              <w:rPr>
                <w:rFonts w:ascii="Times New Roman" w:eastAsia="Times New Roman" w:hAnsi="Times New Roman" w:cs="Times New Roman"/>
                <w:lang w:val="lv-LV" w:eastAsia="lv-LV"/>
              </w:rPr>
            </w:pPr>
            <w:r w:rsidRPr="007F4B15">
              <w:rPr>
                <w:rFonts w:ascii="Times New Roman" w:eastAsia="Times New Roman" w:hAnsi="Times New Roman" w:cs="Times New Roman"/>
                <w:lang w:val="lv-LV" w:eastAsia="lv-LV"/>
              </w:rPr>
              <w:t xml:space="preserve">Sk. skaidrojumu izziņas </w:t>
            </w:r>
            <w:r w:rsidR="001E6218" w:rsidRPr="001E6218">
              <w:rPr>
                <w:rFonts w:ascii="Times New Roman" w:eastAsia="Times New Roman" w:hAnsi="Times New Roman" w:cs="Times New Roman"/>
                <w:lang w:val="lv-LV" w:eastAsia="lv-LV"/>
              </w:rPr>
              <w:t>2.</w:t>
            </w:r>
            <w:r w:rsidRPr="001E6218">
              <w:rPr>
                <w:rFonts w:ascii="Times New Roman" w:eastAsia="Times New Roman" w:hAnsi="Times New Roman" w:cs="Times New Roman"/>
                <w:lang w:val="lv-LV" w:eastAsia="lv-LV"/>
              </w:rPr>
              <w:t xml:space="preserve"> punktā</w:t>
            </w:r>
            <w:r w:rsidR="001E6218">
              <w:rPr>
                <w:rFonts w:ascii="Times New Roman" w:eastAsia="Times New Roman" w:hAnsi="Times New Roman" w:cs="Times New Roman"/>
                <w:lang w:val="lv-LV" w:eastAsia="lv-LV"/>
              </w:rPr>
              <w:t>.</w:t>
            </w:r>
          </w:p>
          <w:p w:rsidR="0030605A" w:rsidRPr="0030605A" w:rsidRDefault="0030605A" w:rsidP="001E6218">
            <w:pPr>
              <w:spacing w:after="0" w:line="240" w:lineRule="auto"/>
              <w:jc w:val="both"/>
              <w:rPr>
                <w:rFonts w:ascii="Times New Roman" w:eastAsia="Times New Roman" w:hAnsi="Times New Roman" w:cs="Times New Roman"/>
                <w:highlight w:val="red"/>
                <w:lang w:val="lv-LV" w:eastAsia="lv-LV"/>
              </w:rPr>
            </w:pPr>
            <w:r w:rsidRPr="0030605A">
              <w:rPr>
                <w:rFonts w:ascii="Times New Roman" w:eastAsia="Times New Roman" w:hAnsi="Times New Roman" w:cs="Times New Roman"/>
                <w:lang w:val="lv-LV" w:eastAsia="lv-LV"/>
              </w:rPr>
              <w:t>Noteikumu projekta 41.</w:t>
            </w:r>
            <w:r w:rsidR="003233A8">
              <w:rPr>
                <w:rFonts w:ascii="Times New Roman" w:eastAsia="Times New Roman" w:hAnsi="Times New Roman" w:cs="Times New Roman"/>
                <w:lang w:val="lv-LV" w:eastAsia="lv-LV"/>
              </w:rPr>
              <w:t xml:space="preserve"> </w:t>
            </w:r>
            <w:r w:rsidRPr="0030605A">
              <w:rPr>
                <w:rFonts w:ascii="Times New Roman" w:eastAsia="Times New Roman" w:hAnsi="Times New Roman" w:cs="Times New Roman"/>
                <w:lang w:val="lv-LV" w:eastAsia="lv-LV"/>
              </w:rPr>
              <w:t>punkts svītrots.</w:t>
            </w:r>
          </w:p>
        </w:tc>
        <w:tc>
          <w:tcPr>
            <w:tcW w:w="3260" w:type="dxa"/>
          </w:tcPr>
          <w:p w:rsidR="001042AC" w:rsidRPr="00100684" w:rsidRDefault="001042AC" w:rsidP="00100684">
            <w:pPr>
              <w:pStyle w:val="tv2132"/>
              <w:spacing w:line="240" w:lineRule="auto"/>
              <w:contextualSpacing/>
              <w:jc w:val="both"/>
              <w:rPr>
                <w:rFonts w:cstheme="minorBidi"/>
                <w:color w:val="auto"/>
                <w:sz w:val="22"/>
                <w:szCs w:val="22"/>
                <w:lang w:val="lv-LV"/>
              </w:rPr>
            </w:pPr>
          </w:p>
        </w:tc>
      </w:tr>
      <w:tr w:rsidR="00304A18" w:rsidRPr="0002494F" w:rsidTr="00F70E0C">
        <w:trPr>
          <w:trHeight w:val="274"/>
        </w:trPr>
        <w:tc>
          <w:tcPr>
            <w:tcW w:w="964" w:type="dxa"/>
            <w:shd w:val="clear" w:color="auto" w:fill="auto"/>
          </w:tcPr>
          <w:p w:rsidR="00304A18" w:rsidRPr="0002494F" w:rsidRDefault="00B32C80" w:rsidP="00B32C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11</w:t>
            </w:r>
            <w:r w:rsidR="001042AC">
              <w:rPr>
                <w:rFonts w:ascii="Times New Roman" w:eastAsia="Calibri" w:hAnsi="Times New Roman" w:cs="Times New Roman"/>
                <w:lang w:val="lv-LV"/>
              </w:rPr>
              <w:t>.</w:t>
            </w:r>
          </w:p>
        </w:tc>
        <w:tc>
          <w:tcPr>
            <w:tcW w:w="2575" w:type="dxa"/>
            <w:shd w:val="clear" w:color="auto" w:fill="auto"/>
          </w:tcPr>
          <w:p w:rsidR="00B7643F" w:rsidRPr="00B7643F" w:rsidRDefault="00B7643F" w:rsidP="00B7643F">
            <w:pPr>
              <w:pStyle w:val="tv2132"/>
              <w:spacing w:line="240" w:lineRule="auto"/>
              <w:contextualSpacing/>
              <w:jc w:val="both"/>
              <w:rPr>
                <w:rFonts w:cstheme="minorBidi"/>
                <w:color w:val="auto"/>
                <w:sz w:val="22"/>
                <w:szCs w:val="22"/>
                <w:lang w:val="lv-LV"/>
              </w:rPr>
            </w:pPr>
            <w:r w:rsidRPr="00B7643F">
              <w:rPr>
                <w:rFonts w:cstheme="minorBidi"/>
                <w:color w:val="auto"/>
                <w:sz w:val="22"/>
                <w:szCs w:val="22"/>
                <w:lang w:val="lv-LV"/>
              </w:rPr>
              <w:t>7.  Pasākuma ietvaros īsteno projektu, kas nav saistīts ar saimnieciskās darbības veikšanu vai nav kvalificējams kā komercdarbības atbalsts, un tā maksimālā publiskā finansējuma intensitāte ir 100 procenti, ko veido:</w:t>
            </w:r>
          </w:p>
          <w:p w:rsidR="00B7643F" w:rsidRPr="00B7643F" w:rsidRDefault="00B7643F" w:rsidP="00B7643F">
            <w:pPr>
              <w:pStyle w:val="tv2132"/>
              <w:spacing w:line="240" w:lineRule="auto"/>
              <w:contextualSpacing/>
              <w:jc w:val="both"/>
              <w:rPr>
                <w:rFonts w:cstheme="minorBidi"/>
                <w:color w:val="auto"/>
                <w:sz w:val="22"/>
                <w:szCs w:val="22"/>
                <w:lang w:val="lv-LV"/>
              </w:rPr>
            </w:pPr>
            <w:r w:rsidRPr="00B7643F">
              <w:rPr>
                <w:rFonts w:cstheme="minorBidi"/>
                <w:color w:val="auto"/>
                <w:sz w:val="22"/>
                <w:szCs w:val="22"/>
                <w:lang w:val="lv-LV"/>
              </w:rPr>
              <w:t>7.1. valsts budžeta atbalsta intensitāte – 15 procenti;</w:t>
            </w:r>
          </w:p>
          <w:p w:rsidR="00304A18" w:rsidRPr="0002494F" w:rsidRDefault="00B7643F" w:rsidP="00B7643F">
            <w:pPr>
              <w:pStyle w:val="tv2132"/>
              <w:spacing w:line="240" w:lineRule="auto"/>
              <w:ind w:firstLine="0"/>
              <w:contextualSpacing/>
              <w:jc w:val="both"/>
              <w:rPr>
                <w:rFonts w:cstheme="minorBidi"/>
                <w:color w:val="auto"/>
                <w:sz w:val="22"/>
                <w:szCs w:val="22"/>
                <w:lang w:val="lv-LV"/>
              </w:rPr>
            </w:pPr>
            <w:r w:rsidRPr="00B7643F">
              <w:rPr>
                <w:rFonts w:cstheme="minorBidi"/>
                <w:color w:val="auto"/>
                <w:sz w:val="22"/>
                <w:szCs w:val="22"/>
                <w:lang w:val="lv-LV"/>
              </w:rPr>
              <w:t>7.2. Eiropas Sociālā fonda atbalsta intensitāte – 85 procenti</w:t>
            </w:r>
            <w:r w:rsidR="00100684">
              <w:rPr>
                <w:rFonts w:cstheme="minorBidi"/>
                <w:color w:val="auto"/>
                <w:sz w:val="22"/>
                <w:szCs w:val="22"/>
                <w:lang w:val="lv-LV"/>
              </w:rPr>
              <w:t>.</w:t>
            </w:r>
          </w:p>
        </w:tc>
        <w:tc>
          <w:tcPr>
            <w:tcW w:w="3969" w:type="dxa"/>
            <w:shd w:val="clear" w:color="auto" w:fill="auto"/>
          </w:tcPr>
          <w:p w:rsidR="00304A18" w:rsidRPr="0002494F" w:rsidRDefault="00CD11FC" w:rsidP="00CD11FC">
            <w:pPr>
              <w:pStyle w:val="ListParagraph"/>
              <w:spacing w:after="0" w:line="240" w:lineRule="auto"/>
              <w:ind w:left="0"/>
              <w:jc w:val="both"/>
              <w:rPr>
                <w:rFonts w:ascii="Times New Roman" w:hAnsi="Times New Roman" w:cs="Times New Roman"/>
                <w:b/>
              </w:rPr>
            </w:pPr>
            <w:r w:rsidRPr="0002494F">
              <w:rPr>
                <w:rFonts w:ascii="Times New Roman" w:hAnsi="Times New Roman" w:cs="Times New Roman"/>
                <w:b/>
              </w:rPr>
              <w:t>Finanšu ministrija (4.iebildums)</w:t>
            </w:r>
          </w:p>
          <w:p w:rsidR="00CD11FC" w:rsidRPr="0002494F" w:rsidRDefault="00CD11FC" w:rsidP="00CD11FC">
            <w:pPr>
              <w:pStyle w:val="ListParagraph"/>
              <w:spacing w:after="0" w:line="240" w:lineRule="auto"/>
              <w:ind w:left="0"/>
              <w:jc w:val="both"/>
              <w:rPr>
                <w:rFonts w:ascii="Times New Roman" w:hAnsi="Times New Roman" w:cs="Times New Roman"/>
                <w:b/>
              </w:rPr>
            </w:pPr>
            <w:r w:rsidRPr="0002494F">
              <w:rPr>
                <w:rFonts w:ascii="Times New Roman" w:eastAsia="Times New Roman" w:hAnsi="Times New Roman" w:cs="Times New Roman"/>
                <w:lang w:val="lv-LV"/>
              </w:rPr>
              <w:t xml:space="preserve">Atbilstoši noteikumu projektā paredzētajam, 14.1.1.specifiskā atbalsta mērķa “Atveseļošanas pasākumi izglītības nozarē (ESF)” (turpmāk – 14.1.1.SAM)  14.1.1.1.pasākuma “Digitalizācijas iniciatīvas studiju kvalitātes pilnveidei” (turpmāk – 14.1.1.1.pasākums) ietvaros plānoto Eiropas Sociāla fonda (turpmāk – ESF) un valsts budžeta līdzfinansējumu plānots piešķirt augstskolām neatkarīgi no to juridiskā statusa. Tā kā augstskolas var būt gan valsts dibinātas, gan privātpersonu dibinātas, tad uzskatām, ka nav pamatojuma valsts budžeta līdzfinansējuma plānošanai privātpersonu dibinātām augstskolām. </w:t>
            </w:r>
            <w:r w:rsidRPr="001030DB">
              <w:rPr>
                <w:rFonts w:ascii="Times New Roman" w:eastAsia="Times New Roman" w:hAnsi="Times New Roman" w:cs="Times New Roman"/>
                <w:lang w:val="lv-LV"/>
              </w:rPr>
              <w:t>Līdz ar to aicinām precizēt noteikumu projektā un anotācijā norādīto 14.1.1.1.pasākuma mērķa grupas definīciju, vai arī precizēt noteikumu projekta 6. un 7.punktu, samazinot valsts budžeta līdzfinansējuma apmēru</w:t>
            </w:r>
            <w:r w:rsidRPr="0002494F">
              <w:rPr>
                <w:rFonts w:ascii="Times New Roman" w:eastAsia="Times New Roman" w:hAnsi="Times New Roman" w:cs="Times New Roman"/>
                <w:lang w:val="lv-LV"/>
              </w:rPr>
              <w:t xml:space="preserve"> un attiecīgi palielinot privātā līdzfinansējuma </w:t>
            </w:r>
            <w:r w:rsidRPr="0002494F">
              <w:rPr>
                <w:rFonts w:ascii="Times New Roman" w:eastAsia="Times New Roman" w:hAnsi="Times New Roman" w:cs="Times New Roman"/>
                <w:lang w:val="lv-LV"/>
              </w:rPr>
              <w:lastRenderedPageBreak/>
              <w:t>apmēru. Papildus norādām, ka MK 2018.gada noteikumi Nr.421 “Kārtība, kādā veic gadskārtējā valsts budžeta likumā noteiktās apropriācijas izmaiņas” neparedz iespēju piešķirt valsts budžeta līdzfinansējumu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privātpersonu dibinātām un noteiktā kārtībā Latvijas Republikā reģistrētām un akreditētām augstskolām. Līdz ar to privātajām augstskolām dažādu projektu īstenošanai nepieciešamais līdzfinansējuma apmērs ir jānodrošina sava budžeta ietvaros, izvērtējot savas finansiālās iespējas.</w:t>
            </w:r>
          </w:p>
        </w:tc>
        <w:tc>
          <w:tcPr>
            <w:tcW w:w="3119" w:type="dxa"/>
            <w:shd w:val="clear" w:color="auto" w:fill="auto"/>
          </w:tcPr>
          <w:p w:rsidR="00304A18" w:rsidRPr="006825AF" w:rsidRDefault="006825AF" w:rsidP="00E65636">
            <w:pPr>
              <w:spacing w:after="0" w:line="240" w:lineRule="auto"/>
              <w:jc w:val="both"/>
              <w:rPr>
                <w:rFonts w:ascii="Times New Roman" w:eastAsia="Times New Roman" w:hAnsi="Times New Roman" w:cs="Times New Roman"/>
                <w:b/>
                <w:lang w:val="lv-LV" w:eastAsia="lv-LV"/>
              </w:rPr>
            </w:pPr>
            <w:r w:rsidRPr="00E10500">
              <w:rPr>
                <w:rFonts w:ascii="Times New Roman" w:eastAsia="Times New Roman" w:hAnsi="Times New Roman" w:cs="Times New Roman"/>
                <w:b/>
                <w:lang w:val="lv-LV" w:eastAsia="lv-LV"/>
              </w:rPr>
              <w:lastRenderedPageBreak/>
              <w:t>Nav</w:t>
            </w:r>
            <w:r w:rsidR="00E65636" w:rsidRPr="00E10500">
              <w:rPr>
                <w:rFonts w:ascii="Times New Roman" w:eastAsia="Times New Roman" w:hAnsi="Times New Roman" w:cs="Times New Roman"/>
                <w:b/>
                <w:lang w:val="lv-LV" w:eastAsia="lv-LV"/>
              </w:rPr>
              <w:t xml:space="preserve"> ņemts vērā</w:t>
            </w:r>
            <w:r w:rsidR="00997BA8" w:rsidRPr="006825AF">
              <w:rPr>
                <w:rFonts w:ascii="Times New Roman" w:eastAsia="Times New Roman" w:hAnsi="Times New Roman" w:cs="Times New Roman"/>
                <w:b/>
                <w:lang w:val="lv-LV" w:eastAsia="lv-LV"/>
              </w:rPr>
              <w:t xml:space="preserve"> </w:t>
            </w:r>
          </w:p>
          <w:p w:rsidR="00E65636" w:rsidRDefault="00E65636" w:rsidP="00E65636">
            <w:pPr>
              <w:spacing w:after="0" w:line="240" w:lineRule="auto"/>
              <w:jc w:val="both"/>
              <w:rPr>
                <w:rFonts w:ascii="Times New Roman" w:eastAsia="Times New Roman" w:hAnsi="Times New Roman" w:cs="Times New Roman"/>
                <w:lang w:val="lv-LV" w:eastAsia="lv-LV"/>
              </w:rPr>
            </w:pPr>
            <w:r w:rsidRPr="006825AF">
              <w:rPr>
                <w:rFonts w:ascii="Times New Roman" w:eastAsia="Times New Roman" w:hAnsi="Times New Roman" w:cs="Times New Roman"/>
                <w:lang w:val="lv-LV" w:eastAsia="lv-LV"/>
              </w:rPr>
              <w:t>Skaidrojam, ka</w:t>
            </w:r>
            <w:r w:rsidRPr="00E65636">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 xml:space="preserve">14.1.1.1. pasākumam ir plānota atklāta projektu iesniegumu atlase </w:t>
            </w:r>
            <w:r w:rsidR="004C3350">
              <w:rPr>
                <w:rFonts w:ascii="Times New Roman" w:eastAsia="Times New Roman" w:hAnsi="Times New Roman" w:cs="Times New Roman"/>
                <w:lang w:val="lv-LV" w:eastAsia="lv-LV"/>
              </w:rPr>
              <w:t>un</w:t>
            </w:r>
            <w:r>
              <w:rPr>
                <w:rFonts w:ascii="Times New Roman" w:eastAsia="Times New Roman" w:hAnsi="Times New Roman" w:cs="Times New Roman"/>
                <w:lang w:val="lv-LV" w:eastAsia="lv-LV"/>
              </w:rPr>
              <w:t xml:space="preserve"> nav zināms, vai projektu</w:t>
            </w:r>
            <w:r w:rsidR="004C3350">
              <w:rPr>
                <w:rFonts w:ascii="Times New Roman" w:eastAsia="Times New Roman" w:hAnsi="Times New Roman" w:cs="Times New Roman"/>
                <w:lang w:val="lv-LV" w:eastAsia="lv-LV"/>
              </w:rPr>
              <w:t xml:space="preserve"> pieteikumus</w:t>
            </w:r>
            <w:r>
              <w:rPr>
                <w:rFonts w:ascii="Times New Roman" w:eastAsia="Times New Roman" w:hAnsi="Times New Roman" w:cs="Times New Roman"/>
                <w:lang w:val="lv-LV" w:eastAsia="lv-LV"/>
              </w:rPr>
              <w:t xml:space="preserve"> iesniegs arī privātpersonu dibinātas augstskolas. </w:t>
            </w:r>
            <w:r w:rsidR="004C3350">
              <w:rPr>
                <w:rFonts w:ascii="Times New Roman" w:eastAsia="Times New Roman" w:hAnsi="Times New Roman" w:cs="Times New Roman"/>
                <w:lang w:val="lv-LV" w:eastAsia="lv-LV"/>
              </w:rPr>
              <w:t>Līdz ar to</w:t>
            </w:r>
            <w:r>
              <w:rPr>
                <w:rFonts w:ascii="Times New Roman" w:eastAsia="Times New Roman" w:hAnsi="Times New Roman" w:cs="Times New Roman"/>
                <w:lang w:val="lv-LV" w:eastAsia="lv-LV"/>
              </w:rPr>
              <w:t xml:space="preserve"> šobrīd nav iespējams precizēt </w:t>
            </w:r>
            <w:r>
              <w:t xml:space="preserve"> </w:t>
            </w:r>
            <w:r w:rsidRPr="00E65636">
              <w:rPr>
                <w:rFonts w:ascii="Times New Roman" w:eastAsia="Times New Roman" w:hAnsi="Times New Roman" w:cs="Times New Roman"/>
                <w:lang w:val="lv-LV" w:eastAsia="lv-LV"/>
              </w:rPr>
              <w:t>noteikumu projekta 6.</w:t>
            </w:r>
            <w:r w:rsidR="00C64A37">
              <w:rPr>
                <w:rFonts w:ascii="Times New Roman" w:eastAsia="Times New Roman" w:hAnsi="Times New Roman" w:cs="Times New Roman"/>
                <w:lang w:val="lv-LV" w:eastAsia="lv-LV"/>
              </w:rPr>
              <w:t xml:space="preserve"> </w:t>
            </w:r>
            <w:r w:rsidRPr="00E65636">
              <w:rPr>
                <w:rFonts w:ascii="Times New Roman" w:eastAsia="Times New Roman" w:hAnsi="Times New Roman" w:cs="Times New Roman"/>
                <w:lang w:val="lv-LV" w:eastAsia="lv-LV"/>
              </w:rPr>
              <w:t>punktu, samazinot valsts budžeta līdzfinansējuma apmēru un attiecīgi palielinot privātā līdzfinansējuma apmēru.</w:t>
            </w:r>
          </w:p>
          <w:p w:rsidR="006825AF" w:rsidRDefault="006825AF" w:rsidP="00E65636">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Papildus skaidrojam, ka ES fondu 2014.-2020. gada plānošanas periodā ERAF un ESF projektos (8.1.1.</w:t>
            </w:r>
            <w:r w:rsidR="003233A8">
              <w:rPr>
                <w:rFonts w:ascii="Times New Roman" w:eastAsia="Times New Roman" w:hAnsi="Times New Roman" w:cs="Times New Roman"/>
                <w:lang w:val="lv-LV" w:eastAsia="lv-LV"/>
              </w:rPr>
              <w:t xml:space="preserve"> SAM</w:t>
            </w:r>
            <w:r>
              <w:rPr>
                <w:rFonts w:ascii="Times New Roman" w:eastAsia="Times New Roman" w:hAnsi="Times New Roman" w:cs="Times New Roman"/>
                <w:lang w:val="lv-LV" w:eastAsia="lv-LV"/>
              </w:rPr>
              <w:t>, 8.2.1.</w:t>
            </w:r>
            <w:r w:rsidR="003233A8">
              <w:rPr>
                <w:rFonts w:ascii="Times New Roman" w:eastAsia="Times New Roman" w:hAnsi="Times New Roman" w:cs="Times New Roman"/>
                <w:lang w:val="lv-LV" w:eastAsia="lv-LV"/>
              </w:rPr>
              <w:t xml:space="preserve"> SAM</w:t>
            </w:r>
            <w:r>
              <w:rPr>
                <w:rFonts w:ascii="Times New Roman" w:eastAsia="Times New Roman" w:hAnsi="Times New Roman" w:cs="Times New Roman"/>
                <w:lang w:val="lv-LV" w:eastAsia="lv-LV"/>
              </w:rPr>
              <w:t>, 8.2.2.</w:t>
            </w:r>
            <w:r w:rsidR="003233A8">
              <w:rPr>
                <w:rFonts w:ascii="Times New Roman" w:eastAsia="Times New Roman" w:hAnsi="Times New Roman" w:cs="Times New Roman"/>
                <w:lang w:val="lv-LV" w:eastAsia="lv-LV"/>
              </w:rPr>
              <w:t xml:space="preserve"> SAM</w:t>
            </w:r>
            <w:r>
              <w:rPr>
                <w:rFonts w:ascii="Times New Roman" w:eastAsia="Times New Roman" w:hAnsi="Times New Roman" w:cs="Times New Roman"/>
                <w:lang w:val="lv-LV" w:eastAsia="lv-LV"/>
              </w:rPr>
              <w:t xml:space="preserve"> un 8.2.3. SAM projektos)</w:t>
            </w:r>
            <w:r w:rsidR="007D1809">
              <w:rPr>
                <w:rFonts w:ascii="Times New Roman" w:eastAsia="Times New Roman" w:hAnsi="Times New Roman" w:cs="Times New Roman"/>
                <w:lang w:val="lv-LV" w:eastAsia="lv-LV"/>
              </w:rPr>
              <w:t xml:space="preserve">  arī </w:t>
            </w:r>
            <w:r w:rsidRPr="006825AF">
              <w:rPr>
                <w:rFonts w:ascii="Times New Roman" w:eastAsia="Times New Roman" w:hAnsi="Times New Roman" w:cs="Times New Roman"/>
                <w:lang w:val="lv-LV" w:eastAsia="lv-LV"/>
              </w:rPr>
              <w:t>privātpersonu dibinātajām augstskolām</w:t>
            </w:r>
            <w:r>
              <w:rPr>
                <w:rFonts w:ascii="Times New Roman" w:eastAsia="Times New Roman" w:hAnsi="Times New Roman" w:cs="Times New Roman"/>
                <w:lang w:val="lv-LV" w:eastAsia="lv-LV"/>
              </w:rPr>
              <w:t xml:space="preserve"> tika nodrošināts valsts budžeta līdzfinansējums </w:t>
            </w:r>
            <w:r>
              <w:t xml:space="preserve"> </w:t>
            </w:r>
            <w:r w:rsidRPr="006825AF">
              <w:rPr>
                <w:rFonts w:ascii="Times New Roman" w:eastAsia="Times New Roman" w:hAnsi="Times New Roman" w:cs="Times New Roman"/>
                <w:lang w:val="lv-LV" w:eastAsia="lv-LV"/>
              </w:rPr>
              <w:t xml:space="preserve">no budžeta resora “74. </w:t>
            </w:r>
            <w:r w:rsidRPr="006825AF">
              <w:rPr>
                <w:rFonts w:ascii="Times New Roman" w:eastAsia="Times New Roman" w:hAnsi="Times New Roman" w:cs="Times New Roman"/>
                <w:lang w:val="lv-LV" w:eastAsia="lv-LV"/>
              </w:rPr>
              <w:lastRenderedPageBreak/>
              <w:t>Gadskārtējā valsts budžeta izpildes procesā pārdalāmais finansējums” 80.00.00 programmas</w:t>
            </w:r>
            <w:r w:rsidR="007D1809">
              <w:rPr>
                <w:rFonts w:ascii="Times New Roman" w:eastAsia="Times New Roman" w:hAnsi="Times New Roman" w:cs="Times New Roman"/>
                <w:lang w:val="lv-LV" w:eastAsia="lv-LV"/>
              </w:rPr>
              <w:t xml:space="preserve"> </w:t>
            </w:r>
            <w:r w:rsidR="007D1809" w:rsidRPr="007D1809">
              <w:rPr>
                <w:rFonts w:ascii="Times New Roman" w:eastAsia="Times New Roman" w:hAnsi="Times New Roman" w:cs="Times New Roman"/>
                <w:lang w:val="lv-LV" w:eastAsia="lv-LV"/>
              </w:rPr>
              <w:t>“Nesadalītais finansējums Eiropas Savienības politiku instrumentu un pārējās ārvalstu finanšu palīdzības līdzfinansēto projektu un pasākumu īstenošanai”</w:t>
            </w:r>
            <w:r w:rsidR="007D1809">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w:t>
            </w:r>
            <w:r w:rsidRPr="006825AF">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Līdz ar to IZM ieskatā nav pamata 14.1.1.1. pasākumā privātpersonu dibinātajām augstskolām noteikt atšķirīgus atbalsta nosacījumus.</w:t>
            </w:r>
          </w:p>
          <w:p w:rsidR="00E65636" w:rsidRPr="00E65636" w:rsidRDefault="00E65636" w:rsidP="00652828">
            <w:pPr>
              <w:spacing w:after="0" w:line="240" w:lineRule="auto"/>
              <w:jc w:val="both"/>
              <w:rPr>
                <w:rFonts w:ascii="Times New Roman" w:eastAsia="Times New Roman" w:hAnsi="Times New Roman" w:cs="Times New Roman"/>
                <w:lang w:val="lv-LV" w:eastAsia="lv-LV"/>
              </w:rPr>
            </w:pPr>
          </w:p>
        </w:tc>
        <w:tc>
          <w:tcPr>
            <w:tcW w:w="3260" w:type="dxa"/>
          </w:tcPr>
          <w:p w:rsidR="00100684" w:rsidRPr="00100684" w:rsidRDefault="00100684" w:rsidP="00100684">
            <w:pPr>
              <w:pStyle w:val="tv2132"/>
              <w:spacing w:line="240" w:lineRule="auto"/>
              <w:contextualSpacing/>
              <w:jc w:val="both"/>
              <w:rPr>
                <w:rFonts w:cstheme="minorBidi"/>
                <w:color w:val="auto"/>
                <w:sz w:val="22"/>
                <w:szCs w:val="22"/>
                <w:lang w:val="lv-LV"/>
              </w:rPr>
            </w:pPr>
            <w:r w:rsidRPr="00100684">
              <w:rPr>
                <w:rFonts w:cstheme="minorBidi"/>
                <w:color w:val="auto"/>
                <w:sz w:val="22"/>
                <w:szCs w:val="22"/>
                <w:lang w:val="lv-LV"/>
              </w:rPr>
              <w:lastRenderedPageBreak/>
              <w:t>7.  Pasākuma ietvaros īsteno projektu, kas nav saistīts ar saimnieciskās darbības veikšanu vai nav kvalificējams kā komercdarbības atbalsts, un tā maksimālā publiskā finansējuma intensitāte ir 100 procenti, ko veido:</w:t>
            </w:r>
          </w:p>
          <w:p w:rsidR="00100684" w:rsidRPr="00100684" w:rsidRDefault="00100684" w:rsidP="00100684">
            <w:pPr>
              <w:pStyle w:val="tv2132"/>
              <w:spacing w:line="240" w:lineRule="auto"/>
              <w:ind w:firstLine="302"/>
              <w:contextualSpacing/>
              <w:jc w:val="both"/>
              <w:rPr>
                <w:rFonts w:cstheme="minorBidi"/>
                <w:color w:val="auto"/>
                <w:sz w:val="22"/>
                <w:szCs w:val="22"/>
                <w:lang w:val="lv-LV"/>
              </w:rPr>
            </w:pPr>
            <w:r w:rsidRPr="00100684">
              <w:rPr>
                <w:rFonts w:cstheme="minorBidi"/>
                <w:color w:val="auto"/>
                <w:sz w:val="22"/>
                <w:szCs w:val="22"/>
                <w:lang w:val="lv-LV"/>
              </w:rPr>
              <w:t>7.1. valsts budžeta atbalsta intensitāte – 15 procenti;</w:t>
            </w:r>
          </w:p>
          <w:p w:rsidR="00304A18" w:rsidRPr="0002494F" w:rsidRDefault="00100684" w:rsidP="00100684">
            <w:pPr>
              <w:pStyle w:val="tv2132"/>
              <w:spacing w:line="240" w:lineRule="auto"/>
              <w:ind w:firstLine="302"/>
              <w:contextualSpacing/>
              <w:jc w:val="both"/>
              <w:rPr>
                <w:rFonts w:cstheme="minorBidi"/>
                <w:color w:val="auto"/>
                <w:sz w:val="22"/>
                <w:szCs w:val="22"/>
                <w:lang w:val="lv-LV"/>
              </w:rPr>
            </w:pPr>
            <w:r w:rsidRPr="00100684">
              <w:rPr>
                <w:rFonts w:cstheme="minorBidi"/>
                <w:color w:val="auto"/>
                <w:sz w:val="22"/>
                <w:szCs w:val="22"/>
                <w:lang w:val="lv-LV"/>
              </w:rPr>
              <w:t>7.2. Eiropas Sociālā fonda atbalsta intensitāte – 85 procenti.</w:t>
            </w:r>
          </w:p>
        </w:tc>
      </w:tr>
      <w:tr w:rsidR="00304A18"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12.</w:t>
            </w:r>
          </w:p>
        </w:tc>
        <w:tc>
          <w:tcPr>
            <w:tcW w:w="2575" w:type="dxa"/>
            <w:shd w:val="clear" w:color="auto" w:fill="auto"/>
          </w:tcPr>
          <w:p w:rsidR="00F04C81" w:rsidRPr="00F04C81" w:rsidRDefault="00F04C81" w:rsidP="00F04C81">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5. </w:t>
            </w:r>
            <w:r w:rsidRPr="00F04C81">
              <w:rPr>
                <w:rFonts w:cstheme="minorBidi"/>
                <w:color w:val="auto"/>
                <w:sz w:val="22"/>
                <w:szCs w:val="22"/>
                <w:lang w:val="lv-LV"/>
              </w:rPr>
              <w:t>Pasākuma mērķi sasniedz, īstenojot šo noteikumu 18. punktā minētās atbalstāmās darbības un sasniedzot šādus uzraudzības rādītājus:</w:t>
            </w:r>
          </w:p>
          <w:p w:rsidR="00F04C81" w:rsidRPr="00F04C81" w:rsidRDefault="00F04C81" w:rsidP="00F04C81">
            <w:pPr>
              <w:pStyle w:val="tv2132"/>
              <w:spacing w:line="240" w:lineRule="auto"/>
              <w:contextualSpacing/>
              <w:jc w:val="both"/>
              <w:rPr>
                <w:rFonts w:cstheme="minorBidi"/>
                <w:color w:val="auto"/>
                <w:sz w:val="22"/>
                <w:szCs w:val="22"/>
                <w:lang w:val="lv-LV"/>
              </w:rPr>
            </w:pPr>
            <w:r w:rsidRPr="00F04C81">
              <w:rPr>
                <w:rFonts w:cstheme="minorBidi"/>
                <w:color w:val="auto"/>
                <w:sz w:val="22"/>
                <w:szCs w:val="22"/>
                <w:lang w:val="lv-LV"/>
              </w:rPr>
              <w:t>5.1. iznākuma rādītāju – līdz 2023. gada 31. decembrim augstskolu skaits, kuras saņēmušas Eiropas Sociālā fonda atbalstu digitalizācijas iniciatīvu ieviešanai, kas veicina mūsdienīgu, inovatīvos tehnoloģiskos risinājumos balstītu studiju procesu, – 7:</w:t>
            </w:r>
          </w:p>
          <w:p w:rsidR="00F04C81" w:rsidRPr="00F04C81" w:rsidRDefault="00F04C81" w:rsidP="00F04C81">
            <w:pPr>
              <w:pStyle w:val="tv2132"/>
              <w:spacing w:line="240" w:lineRule="auto"/>
              <w:contextualSpacing/>
              <w:jc w:val="both"/>
              <w:rPr>
                <w:rFonts w:cstheme="minorBidi"/>
                <w:color w:val="auto"/>
                <w:sz w:val="22"/>
                <w:szCs w:val="22"/>
                <w:lang w:val="lv-LV"/>
              </w:rPr>
            </w:pPr>
            <w:r w:rsidRPr="00F04C81">
              <w:rPr>
                <w:rFonts w:cstheme="minorBidi"/>
                <w:color w:val="auto"/>
                <w:sz w:val="22"/>
                <w:szCs w:val="22"/>
                <w:lang w:val="lv-LV"/>
              </w:rPr>
              <w:lastRenderedPageBreak/>
              <w:t>5.1.1. apjoms, kas sasniedzams par Eiropas Komisijas 2021. gada piešķīrumu – 7;</w:t>
            </w:r>
          </w:p>
          <w:p w:rsidR="00F04C81" w:rsidRPr="00F04C81" w:rsidRDefault="00F04C81" w:rsidP="00F04C81">
            <w:pPr>
              <w:pStyle w:val="tv2132"/>
              <w:spacing w:line="240" w:lineRule="auto"/>
              <w:contextualSpacing/>
              <w:jc w:val="both"/>
              <w:rPr>
                <w:rFonts w:cstheme="minorBidi"/>
                <w:color w:val="auto"/>
                <w:sz w:val="22"/>
                <w:szCs w:val="22"/>
                <w:lang w:val="lv-LV"/>
              </w:rPr>
            </w:pPr>
            <w:r w:rsidRPr="00F04C81">
              <w:rPr>
                <w:rFonts w:cstheme="minorBidi"/>
                <w:color w:val="auto"/>
                <w:sz w:val="22"/>
                <w:szCs w:val="22"/>
                <w:lang w:val="lv-LV"/>
              </w:rPr>
              <w:t>5.1.2.  apjoms, kas sasniedzams par Eiropas Komisijas 2022. gada piešķīrumu – 7;</w:t>
            </w:r>
          </w:p>
          <w:p w:rsidR="00F04C81" w:rsidRPr="00F04C81" w:rsidRDefault="00F04C81" w:rsidP="00F04C81">
            <w:pPr>
              <w:pStyle w:val="tv2132"/>
              <w:spacing w:line="240" w:lineRule="auto"/>
              <w:contextualSpacing/>
              <w:jc w:val="both"/>
              <w:rPr>
                <w:rFonts w:cstheme="minorBidi"/>
                <w:color w:val="auto"/>
                <w:sz w:val="22"/>
                <w:szCs w:val="22"/>
                <w:lang w:val="lv-LV"/>
              </w:rPr>
            </w:pPr>
            <w:r w:rsidRPr="00F04C81">
              <w:rPr>
                <w:rFonts w:cstheme="minorBidi"/>
                <w:color w:val="auto"/>
                <w:sz w:val="22"/>
                <w:szCs w:val="22"/>
                <w:lang w:val="lv-LV"/>
              </w:rPr>
              <w:t>5.2. rezultāta rādītāju – līdz 2023. gada 31. decembrim augstskolu skaits, kuras ieviesušas digitalizācijas iniciatīvas, kas veicina mūsdienīgu, inovatīvos tehnoloģiskos risinājumos balstītu studiju procesu, – 7:</w:t>
            </w:r>
          </w:p>
          <w:p w:rsidR="00F04C81" w:rsidRPr="00F04C81" w:rsidRDefault="00F04C81" w:rsidP="00F04C81">
            <w:pPr>
              <w:pStyle w:val="tv2132"/>
              <w:spacing w:line="240" w:lineRule="auto"/>
              <w:contextualSpacing/>
              <w:jc w:val="both"/>
              <w:rPr>
                <w:rFonts w:cstheme="minorBidi"/>
                <w:color w:val="auto"/>
                <w:sz w:val="22"/>
                <w:szCs w:val="22"/>
                <w:lang w:val="lv-LV"/>
              </w:rPr>
            </w:pPr>
            <w:r w:rsidRPr="00F04C81">
              <w:rPr>
                <w:rFonts w:cstheme="minorBidi"/>
                <w:color w:val="auto"/>
                <w:sz w:val="22"/>
                <w:szCs w:val="22"/>
                <w:lang w:val="lv-LV"/>
              </w:rPr>
              <w:t>5.2.1. apjoms, kas sasniedzams par Eiropas Komisijas 2021. gada piešķīrumu – 7;</w:t>
            </w:r>
          </w:p>
          <w:p w:rsidR="00304A18" w:rsidRPr="0002494F" w:rsidRDefault="00F04C81" w:rsidP="00F04C81">
            <w:pPr>
              <w:pStyle w:val="tv2132"/>
              <w:spacing w:line="240" w:lineRule="auto"/>
              <w:ind w:firstLine="0"/>
              <w:contextualSpacing/>
              <w:jc w:val="both"/>
              <w:rPr>
                <w:rFonts w:cstheme="minorBidi"/>
                <w:color w:val="auto"/>
                <w:sz w:val="22"/>
                <w:szCs w:val="22"/>
                <w:lang w:val="lv-LV"/>
              </w:rPr>
            </w:pPr>
            <w:r w:rsidRPr="00F04C81">
              <w:rPr>
                <w:rFonts w:cstheme="minorBidi"/>
                <w:color w:val="auto"/>
                <w:sz w:val="22"/>
                <w:szCs w:val="22"/>
                <w:lang w:val="lv-LV"/>
              </w:rPr>
              <w:t>5.2.2. apjoms, kas sasniedzams par Eiropas Komisijas 2022. gada piešķīrumu – 7.</w:t>
            </w:r>
          </w:p>
        </w:tc>
        <w:tc>
          <w:tcPr>
            <w:tcW w:w="3969" w:type="dxa"/>
            <w:shd w:val="clear" w:color="auto" w:fill="auto"/>
          </w:tcPr>
          <w:p w:rsidR="00304A18" w:rsidRPr="0002494F" w:rsidRDefault="00304A18" w:rsidP="0002494F">
            <w:pPr>
              <w:pStyle w:val="ListParagraph"/>
              <w:spacing w:after="0" w:line="240" w:lineRule="auto"/>
              <w:ind w:left="0"/>
              <w:jc w:val="both"/>
              <w:rPr>
                <w:rFonts w:ascii="Times New Roman" w:hAnsi="Times New Roman" w:cs="Times New Roman"/>
                <w:b/>
                <w:lang w:val="lv-LV"/>
              </w:rPr>
            </w:pPr>
            <w:r w:rsidRPr="0002494F">
              <w:rPr>
                <w:rFonts w:ascii="Times New Roman" w:hAnsi="Times New Roman" w:cs="Times New Roman"/>
                <w:b/>
                <w:lang w:val="lv-LV"/>
              </w:rPr>
              <w:lastRenderedPageBreak/>
              <w:t>Finanšu ministrija (5.iebildums)</w:t>
            </w:r>
          </w:p>
          <w:p w:rsidR="00304A18" w:rsidRPr="0002494F" w:rsidRDefault="00304A18" w:rsidP="0002494F">
            <w:pPr>
              <w:spacing w:after="0" w:line="240" w:lineRule="auto"/>
              <w:jc w:val="both"/>
              <w:rPr>
                <w:rFonts w:ascii="Times New Roman" w:hAnsi="Times New Roman" w:cs="Times New Roman"/>
                <w:lang w:val="lv-LV"/>
              </w:rPr>
            </w:pPr>
            <w:r w:rsidRPr="0002494F">
              <w:rPr>
                <w:rFonts w:ascii="Times New Roman" w:hAnsi="Times New Roman" w:cs="Times New Roman"/>
                <w:lang w:val="lv-LV"/>
              </w:rPr>
              <w:t>Lūdzam precizēt noteikumu projekta 5.punktu, lai nodrošinātu korektu un izsekojamu informāciju par sasniedzamajiem rādītājiem atbilstoši REACT-EU 2021.gada un 2022.gada piešķīrumiem, piemēram, šādā redakcijā:</w:t>
            </w:r>
          </w:p>
          <w:p w:rsidR="00304A18" w:rsidRPr="0002494F" w:rsidRDefault="00304A18" w:rsidP="0002494F">
            <w:pPr>
              <w:pStyle w:val="ListParagraph"/>
              <w:spacing w:after="0" w:line="240" w:lineRule="auto"/>
              <w:ind w:left="0"/>
              <w:jc w:val="both"/>
              <w:rPr>
                <w:rFonts w:ascii="Times New Roman" w:hAnsi="Times New Roman" w:cs="Times New Roman"/>
                <w:lang w:val="lv-LV" w:eastAsia="lv-LV"/>
              </w:rPr>
            </w:pPr>
            <w:r w:rsidRPr="0002494F">
              <w:rPr>
                <w:rFonts w:ascii="Times New Roman" w:hAnsi="Times New Roman" w:cs="Times New Roman"/>
                <w:lang w:val="lv-LV"/>
              </w:rPr>
              <w:t>“5. Specifiskā atbalsta ietvaros ir sasniedzami šādi uzraudzības rādītāji:</w:t>
            </w:r>
          </w:p>
          <w:p w:rsidR="00304A18" w:rsidRPr="0002494F" w:rsidRDefault="00304A18" w:rsidP="0002494F">
            <w:pPr>
              <w:pStyle w:val="ListParagraph"/>
              <w:spacing w:after="0" w:line="240" w:lineRule="auto"/>
              <w:ind w:left="0"/>
              <w:jc w:val="both"/>
              <w:rPr>
                <w:rFonts w:ascii="Times New Roman" w:hAnsi="Times New Roman" w:cs="Times New Roman"/>
                <w:lang w:val="lv-LV"/>
              </w:rPr>
            </w:pPr>
            <w:r w:rsidRPr="0002494F">
              <w:rPr>
                <w:rFonts w:ascii="Times New Roman" w:hAnsi="Times New Roman" w:cs="Times New Roman"/>
                <w:lang w:val="lv-LV"/>
              </w:rPr>
              <w:t>5.1.iznākuma rādītājs – augstskolu skaits, kuras saņēmušas Eiropas Sociālā fonda atbalstu digitalizācijas iniciatīvu ieviešanai, kas veicina mūsdienīgu, inovatīvos tehnoloģiskos risinājumos balstītu studiju procesu, – 7, tai skaitā:</w:t>
            </w:r>
          </w:p>
          <w:p w:rsidR="00304A18" w:rsidRPr="0002494F" w:rsidRDefault="00304A18" w:rsidP="0002494F">
            <w:pPr>
              <w:pStyle w:val="ListParagraph"/>
              <w:spacing w:after="0" w:line="240" w:lineRule="auto"/>
              <w:ind w:left="0"/>
              <w:jc w:val="both"/>
              <w:rPr>
                <w:rFonts w:ascii="Times New Roman" w:hAnsi="Times New Roman" w:cs="Times New Roman"/>
                <w:lang w:val="lv-LV"/>
              </w:rPr>
            </w:pPr>
            <w:r w:rsidRPr="0002494F">
              <w:rPr>
                <w:rFonts w:ascii="Times New Roman" w:hAnsi="Times New Roman" w:cs="Times New Roman"/>
                <w:lang w:val="lv-LV"/>
              </w:rPr>
              <w:t xml:space="preserve">5.1.1. </w:t>
            </w:r>
            <w:bookmarkStart w:id="2" w:name="_Hlk76541785"/>
            <w:bookmarkStart w:id="3" w:name="_Hlk76477822"/>
            <w:r w:rsidRPr="0002494F">
              <w:rPr>
                <w:rFonts w:ascii="Times New Roman" w:hAnsi="Times New Roman" w:cs="Times New Roman"/>
                <w:lang w:val="lv-LV"/>
              </w:rPr>
              <w:t>par finansējumu, kas norādīts šo noteikumu 6.1.apakšpunktā</w:t>
            </w:r>
            <w:bookmarkEnd w:id="2"/>
            <w:r w:rsidRPr="0002494F">
              <w:rPr>
                <w:rFonts w:ascii="Times New Roman" w:hAnsi="Times New Roman" w:cs="Times New Roman"/>
                <w:lang w:val="lv-LV"/>
              </w:rPr>
              <w:t xml:space="preserve">, </w:t>
            </w:r>
            <w:bookmarkStart w:id="4" w:name="_Hlk79143540"/>
            <w:bookmarkEnd w:id="3"/>
            <w:r w:rsidRPr="0002494F">
              <w:rPr>
                <w:rFonts w:ascii="Times New Roman" w:hAnsi="Times New Roman" w:cs="Times New Roman"/>
                <w:lang w:val="lv-LV"/>
              </w:rPr>
              <w:t xml:space="preserve">augstskolu skaits, kuras saņēmušas Eiropas Sociālā </w:t>
            </w:r>
            <w:r w:rsidRPr="0002494F">
              <w:rPr>
                <w:rFonts w:ascii="Times New Roman" w:hAnsi="Times New Roman" w:cs="Times New Roman"/>
                <w:lang w:val="lv-LV"/>
              </w:rPr>
              <w:lastRenderedPageBreak/>
              <w:t>fonda atbalstu digitalizācijas iniciatīvu ieviešanai, kas veicina mūsdienīgu, inovatīvos tehnoloģiskos risinājumos balstītu studiju procesu - 7;</w:t>
            </w:r>
            <w:bookmarkEnd w:id="4"/>
          </w:p>
          <w:p w:rsidR="00304A18" w:rsidRPr="0002494F" w:rsidRDefault="00304A18" w:rsidP="0002494F">
            <w:pPr>
              <w:pStyle w:val="ListParagraph"/>
              <w:spacing w:after="0" w:line="240" w:lineRule="auto"/>
              <w:ind w:left="0"/>
              <w:jc w:val="both"/>
              <w:rPr>
                <w:rFonts w:ascii="Times New Roman" w:hAnsi="Times New Roman" w:cs="Times New Roman"/>
                <w:lang w:val="lv-LV"/>
              </w:rPr>
            </w:pPr>
            <w:bookmarkStart w:id="5" w:name="_Hlk76541800"/>
            <w:r w:rsidRPr="0002494F">
              <w:rPr>
                <w:rFonts w:ascii="Times New Roman" w:hAnsi="Times New Roman" w:cs="Times New Roman"/>
                <w:lang w:val="lv-LV"/>
              </w:rPr>
              <w:t>5.1.2.par finansējumu, kas norādīts šo noteikumu 6.2.apakšpunktā</w:t>
            </w:r>
            <w:bookmarkEnd w:id="5"/>
            <w:r w:rsidRPr="0002494F">
              <w:rPr>
                <w:rFonts w:ascii="Times New Roman" w:hAnsi="Times New Roman" w:cs="Times New Roman"/>
                <w:lang w:val="lv-LV"/>
              </w:rPr>
              <w:t>, augstskolu skaits, kuras saņēmušas Eiropas Sociālā fonda atbalstu digitalizācijas iniciatīvu ieviešanai, kas veicina mūsdienīgu, inovatīvos tehnoloģiskos risinājumos balstītu studiju procesu - 7;</w:t>
            </w:r>
          </w:p>
          <w:p w:rsidR="00304A18" w:rsidRPr="0002494F" w:rsidRDefault="00304A18" w:rsidP="0002494F">
            <w:pPr>
              <w:pStyle w:val="ListParagraph"/>
              <w:spacing w:after="0" w:line="240" w:lineRule="auto"/>
              <w:ind w:left="0"/>
              <w:jc w:val="both"/>
              <w:rPr>
                <w:rFonts w:ascii="Times New Roman" w:hAnsi="Times New Roman" w:cs="Times New Roman"/>
                <w:lang w:val="lv-LV"/>
              </w:rPr>
            </w:pPr>
            <w:r w:rsidRPr="0002494F">
              <w:rPr>
                <w:rFonts w:ascii="Times New Roman" w:hAnsi="Times New Roman" w:cs="Times New Roman"/>
                <w:lang w:val="lv-LV"/>
              </w:rPr>
              <w:t>5.2.rezultāta rādītājs – augstskolu skaits, kuras ieviesušas digitalizācijas iniciatīvas, kas veicina mūsdienīgu, inovatīvos tehnoloģiskos risinājumos balstītu studiju procesu, – 7, tai skaitā:</w:t>
            </w:r>
          </w:p>
          <w:p w:rsidR="00304A18" w:rsidRPr="0002494F" w:rsidRDefault="00304A18" w:rsidP="0002494F">
            <w:pPr>
              <w:pStyle w:val="ListParagraph"/>
              <w:spacing w:after="0" w:line="240" w:lineRule="auto"/>
              <w:ind w:left="0"/>
              <w:jc w:val="both"/>
              <w:rPr>
                <w:rFonts w:ascii="Times New Roman" w:hAnsi="Times New Roman" w:cs="Times New Roman"/>
                <w:lang w:val="lv-LV"/>
              </w:rPr>
            </w:pPr>
            <w:r w:rsidRPr="0002494F">
              <w:rPr>
                <w:rFonts w:ascii="Times New Roman" w:hAnsi="Times New Roman" w:cs="Times New Roman"/>
                <w:lang w:val="lv-LV"/>
              </w:rPr>
              <w:t>5.2.1.par finansējumu, kas norādīts šo noteikumu 6.1.apakšpunktā, augstskolu skaits, kuras ieviesušas digitalizācijas iniciatīvas, kas veicina mūsdienīgu, inovatīvos tehnoloģiskos risinājumos balstītu studiju procesu, – 7;</w:t>
            </w:r>
          </w:p>
          <w:p w:rsidR="00304A18" w:rsidRPr="0002494F" w:rsidRDefault="00304A18" w:rsidP="0002494F">
            <w:pPr>
              <w:pStyle w:val="ListParagraph"/>
              <w:spacing w:after="0" w:line="240" w:lineRule="auto"/>
              <w:ind w:left="0"/>
              <w:jc w:val="both"/>
              <w:rPr>
                <w:rFonts w:ascii="Times New Roman" w:hAnsi="Times New Roman" w:cs="Times New Roman"/>
                <w:lang w:val="lv-LV"/>
              </w:rPr>
            </w:pPr>
            <w:r w:rsidRPr="0002494F">
              <w:rPr>
                <w:rFonts w:ascii="Times New Roman" w:hAnsi="Times New Roman" w:cs="Times New Roman"/>
                <w:lang w:val="lv-LV"/>
              </w:rPr>
              <w:t xml:space="preserve">5.2.2.par finansējumu, kas norādīts šo noteikumu 6.2.apakšpunktā, augstskolu skaits, kuras ieviesušas digitalizācijas iniciatīvas, kas veicina mūsdienīgu, inovatīvos tehnoloģiskos risinājumos balstītu studiju procesu, – 7.”. </w:t>
            </w:r>
          </w:p>
          <w:p w:rsidR="00304A18" w:rsidRPr="0002494F" w:rsidRDefault="00304A18" w:rsidP="0002494F">
            <w:pPr>
              <w:pStyle w:val="ListParagraph"/>
              <w:spacing w:after="0" w:line="240" w:lineRule="auto"/>
              <w:jc w:val="both"/>
              <w:rPr>
                <w:rFonts w:ascii="Times New Roman" w:hAnsi="Times New Roman" w:cs="Times New Roman"/>
                <w:lang w:val="lv-LV"/>
              </w:rPr>
            </w:pPr>
          </w:p>
          <w:p w:rsidR="00304A18" w:rsidRPr="0002494F" w:rsidRDefault="00304A18" w:rsidP="00A7250F">
            <w:pPr>
              <w:jc w:val="both"/>
              <w:rPr>
                <w:rFonts w:ascii="Times New Roman" w:hAnsi="Times New Roman" w:cs="Times New Roman"/>
              </w:rPr>
            </w:pPr>
            <w:r w:rsidRPr="0002494F">
              <w:rPr>
                <w:rFonts w:ascii="Times New Roman" w:hAnsi="Times New Roman" w:cs="Times New Roman"/>
                <w:lang w:val="lv-LV"/>
              </w:rPr>
              <w:t>Vienlaikus lūdzam papildināt anotāciju ar skaidrojumu, ka sadalījums pa gadiem nav skaitāms kumulatīvi, bet atbalsts abos gados tik nodrošināts tām pašām 7 augstskolām</w:t>
            </w:r>
            <w:r w:rsidRPr="0002494F">
              <w:rPr>
                <w:rFonts w:ascii="Times New Roman" w:hAnsi="Times New Roman" w:cs="Times New Roman"/>
              </w:rPr>
              <w:t xml:space="preserve">. </w:t>
            </w:r>
          </w:p>
          <w:p w:rsidR="00304A18" w:rsidRPr="0002494F" w:rsidRDefault="00304A18" w:rsidP="00E018FF">
            <w:pPr>
              <w:widowControl w:val="0"/>
              <w:spacing w:after="0" w:line="240" w:lineRule="auto"/>
              <w:jc w:val="both"/>
              <w:rPr>
                <w:rFonts w:ascii="Times New Roman" w:hAnsi="Times New Roman" w:cs="Times New Roman"/>
                <w:b/>
                <w:lang w:val="lv-LV"/>
              </w:rPr>
            </w:pPr>
          </w:p>
        </w:tc>
        <w:tc>
          <w:tcPr>
            <w:tcW w:w="3119" w:type="dxa"/>
            <w:shd w:val="clear" w:color="auto" w:fill="auto"/>
          </w:tcPr>
          <w:p w:rsidR="00304A18" w:rsidRPr="0002494F" w:rsidRDefault="00304A18" w:rsidP="00E018FF">
            <w:pPr>
              <w:spacing w:after="0" w:line="240" w:lineRule="auto"/>
              <w:jc w:val="both"/>
              <w:rPr>
                <w:rFonts w:ascii="Times New Roman" w:eastAsia="Times New Roman" w:hAnsi="Times New Roman" w:cs="Times New Roman"/>
                <w:b/>
                <w:lang w:val="lv-LV" w:eastAsia="lv-LV"/>
              </w:rPr>
            </w:pPr>
            <w:r w:rsidRPr="0002494F">
              <w:rPr>
                <w:rFonts w:ascii="Times New Roman" w:eastAsia="Times New Roman" w:hAnsi="Times New Roman" w:cs="Times New Roman"/>
                <w:b/>
                <w:lang w:val="lv-LV" w:eastAsia="lv-LV"/>
              </w:rPr>
              <w:lastRenderedPageBreak/>
              <w:t>Ņemts vērā</w:t>
            </w:r>
          </w:p>
        </w:tc>
        <w:tc>
          <w:tcPr>
            <w:tcW w:w="3260" w:type="dxa"/>
          </w:tcPr>
          <w:p w:rsidR="00F04C81" w:rsidRPr="00F04C81" w:rsidRDefault="00F04C81" w:rsidP="00F04C81">
            <w:pPr>
              <w:spacing w:after="0" w:line="240" w:lineRule="auto"/>
              <w:jc w:val="both"/>
              <w:rPr>
                <w:rFonts w:ascii="Times New Roman" w:hAnsi="Times New Roman" w:cs="Times New Roman"/>
                <w:lang w:val="lv-LV"/>
              </w:rPr>
            </w:pPr>
            <w:r>
              <w:rPr>
                <w:rFonts w:ascii="Times New Roman" w:hAnsi="Times New Roman" w:cs="Times New Roman"/>
                <w:lang w:val="lv-LV"/>
              </w:rPr>
              <w:t xml:space="preserve">5. </w:t>
            </w:r>
            <w:r w:rsidRPr="00F04C81">
              <w:rPr>
                <w:rFonts w:ascii="Times New Roman" w:hAnsi="Times New Roman" w:cs="Times New Roman"/>
                <w:lang w:val="lv-LV"/>
              </w:rPr>
              <w:t xml:space="preserve">Pasākuma mērķi sasniedz, īstenojot šo </w:t>
            </w:r>
            <w:r w:rsidRPr="00B7643F">
              <w:rPr>
                <w:rFonts w:ascii="Times New Roman" w:hAnsi="Times New Roman" w:cs="Times New Roman"/>
                <w:lang w:val="lv-LV"/>
              </w:rPr>
              <w:t>noteikumu 1</w:t>
            </w:r>
            <w:r w:rsidR="00B7643F" w:rsidRPr="00B7643F">
              <w:rPr>
                <w:rFonts w:ascii="Times New Roman" w:hAnsi="Times New Roman" w:cs="Times New Roman"/>
                <w:lang w:val="lv-LV"/>
              </w:rPr>
              <w:t>9</w:t>
            </w:r>
            <w:r w:rsidRPr="00B7643F">
              <w:rPr>
                <w:rFonts w:ascii="Times New Roman" w:hAnsi="Times New Roman" w:cs="Times New Roman"/>
                <w:lang w:val="lv-LV"/>
              </w:rPr>
              <w:t>.</w:t>
            </w:r>
            <w:r w:rsidRPr="00F04C81">
              <w:rPr>
                <w:rFonts w:ascii="Times New Roman" w:hAnsi="Times New Roman" w:cs="Times New Roman"/>
                <w:lang w:val="lv-LV"/>
              </w:rPr>
              <w:t xml:space="preserve"> punktā minētās atbalstāmās darbības un sasniedzot šādus uzraudzības rādītājus:</w:t>
            </w:r>
          </w:p>
          <w:p w:rsidR="00F04C81" w:rsidRPr="00F04C81" w:rsidRDefault="00F04C81" w:rsidP="00F04C81">
            <w:pPr>
              <w:spacing w:after="0" w:line="240" w:lineRule="auto"/>
              <w:jc w:val="both"/>
              <w:rPr>
                <w:rFonts w:ascii="Times New Roman" w:hAnsi="Times New Roman" w:cs="Times New Roman"/>
                <w:lang w:val="lv-LV"/>
              </w:rPr>
            </w:pPr>
            <w:r w:rsidRPr="00F04C81">
              <w:rPr>
                <w:rFonts w:ascii="Times New Roman" w:hAnsi="Times New Roman" w:cs="Times New Roman"/>
                <w:lang w:val="lv-LV"/>
              </w:rPr>
              <w:t>5.1. iznākuma rādītāju – augstskolu skaits, kuras saņēmušas Eiropas Sociālā fonda atbalstu digitalizācijas iniciatīvu ieviešanai, kas veicina mūsdienīgu, inovatīvos tehnoloģiskos risinājumos balstītu studiju procesu, – 7, tai skaitā:</w:t>
            </w:r>
          </w:p>
          <w:p w:rsidR="00F04C81" w:rsidRPr="00F04C81" w:rsidRDefault="00F04C81" w:rsidP="00F04C81">
            <w:pPr>
              <w:spacing w:after="0" w:line="240" w:lineRule="auto"/>
              <w:jc w:val="both"/>
              <w:rPr>
                <w:rFonts w:ascii="Times New Roman" w:hAnsi="Times New Roman" w:cs="Times New Roman"/>
                <w:lang w:val="lv-LV"/>
              </w:rPr>
            </w:pPr>
            <w:r w:rsidRPr="00F04C81">
              <w:rPr>
                <w:rFonts w:ascii="Times New Roman" w:hAnsi="Times New Roman" w:cs="Times New Roman"/>
                <w:lang w:val="lv-LV"/>
              </w:rPr>
              <w:t xml:space="preserve">5.1.1. par finansējumu, kas norādīts šo noteikumu 6.1. apakšpunktā,  augstskolu skaits, kuras saņēmušas Eiropas Sociālā fonda atbalstu digitalizācijas </w:t>
            </w:r>
            <w:r w:rsidRPr="00F04C81">
              <w:rPr>
                <w:rFonts w:ascii="Times New Roman" w:hAnsi="Times New Roman" w:cs="Times New Roman"/>
                <w:lang w:val="lv-LV"/>
              </w:rPr>
              <w:lastRenderedPageBreak/>
              <w:t>iniciatīvu ieviešanai, kas veicina mūsdienīgu, inovatīvos tehnoloģiskos risinājumos balstītu studiju procesu, – 7;</w:t>
            </w:r>
          </w:p>
          <w:p w:rsidR="00F04C81" w:rsidRPr="00F04C81" w:rsidRDefault="00F04C81" w:rsidP="00F04C81">
            <w:pPr>
              <w:spacing w:after="0" w:line="240" w:lineRule="auto"/>
              <w:jc w:val="both"/>
              <w:rPr>
                <w:rFonts w:ascii="Times New Roman" w:hAnsi="Times New Roman" w:cs="Times New Roman"/>
                <w:lang w:val="lv-LV"/>
              </w:rPr>
            </w:pPr>
            <w:r w:rsidRPr="00F04C81">
              <w:rPr>
                <w:rFonts w:ascii="Times New Roman" w:hAnsi="Times New Roman" w:cs="Times New Roman"/>
                <w:lang w:val="lv-LV"/>
              </w:rPr>
              <w:t>5.1.2.  par finansējumu, kas norādīts šo noteikumu 6.2. apakšpunktā,  augstskolu skaits, kuras saņēmušas Eiropas Sociālā fonda atbalstu digitalizācijas iniciatīvu ieviešanai, kas veicina mūsdienīgu, inovatīvos tehnoloģiskos risinājumos balstītu studiju procesu, – 7;</w:t>
            </w:r>
          </w:p>
          <w:p w:rsidR="00F04C81" w:rsidRPr="00F04C81" w:rsidRDefault="00F04C81" w:rsidP="00F04C81">
            <w:pPr>
              <w:spacing w:after="0" w:line="240" w:lineRule="auto"/>
              <w:jc w:val="both"/>
              <w:rPr>
                <w:rFonts w:ascii="Times New Roman" w:hAnsi="Times New Roman" w:cs="Times New Roman"/>
                <w:lang w:val="lv-LV"/>
              </w:rPr>
            </w:pPr>
            <w:r w:rsidRPr="00F04C81">
              <w:rPr>
                <w:rFonts w:ascii="Times New Roman" w:hAnsi="Times New Roman" w:cs="Times New Roman"/>
                <w:lang w:val="lv-LV"/>
              </w:rPr>
              <w:t>5.2. rezultāta rādītāju – augstskolu skaits, kuras ieviesušas digitalizācijas iniciatīvas, kas veicina mūsdienīgu, inovatīvos tehnoloģiskos risinājumos balstītu studiju procesu, – 7, tai skaitā:</w:t>
            </w:r>
          </w:p>
          <w:p w:rsidR="00F04C81" w:rsidRPr="00F04C81" w:rsidRDefault="00F04C81" w:rsidP="00F04C81">
            <w:pPr>
              <w:spacing w:after="0" w:line="240" w:lineRule="auto"/>
              <w:jc w:val="both"/>
              <w:rPr>
                <w:rFonts w:ascii="Times New Roman" w:hAnsi="Times New Roman" w:cs="Times New Roman"/>
                <w:lang w:val="lv-LV"/>
              </w:rPr>
            </w:pPr>
            <w:r w:rsidRPr="00F04C81">
              <w:rPr>
                <w:rFonts w:ascii="Times New Roman" w:hAnsi="Times New Roman" w:cs="Times New Roman"/>
                <w:lang w:val="lv-LV"/>
              </w:rPr>
              <w:t>5.2.1. par finansējumu, kas norādīts šo noteikumu 6.1. apakšpunktā, augstskolu skaits, kuras ieviesušas digitalizācijas iniciatīvas, kas veicina mūsdienīgu, inovatīvos tehnoloģiskos risinājumos balstītu studiju procesu, – 7;</w:t>
            </w:r>
          </w:p>
          <w:p w:rsidR="00F04C81" w:rsidRPr="0002494F" w:rsidRDefault="00F04C81" w:rsidP="00F04C81">
            <w:pPr>
              <w:pStyle w:val="ListParagraph"/>
              <w:spacing w:after="0" w:line="240" w:lineRule="auto"/>
              <w:ind w:left="0"/>
              <w:jc w:val="both"/>
              <w:rPr>
                <w:rFonts w:ascii="Times New Roman" w:hAnsi="Times New Roman" w:cs="Times New Roman"/>
                <w:lang w:val="lv-LV"/>
              </w:rPr>
            </w:pPr>
            <w:r w:rsidRPr="00F04C81">
              <w:rPr>
                <w:rFonts w:ascii="Times New Roman" w:hAnsi="Times New Roman" w:cs="Times New Roman"/>
                <w:lang w:val="lv-LV"/>
              </w:rPr>
              <w:t>5.2.2. par finansējumu, kas norādīts šo noteikumu 6.2. apakšpunktā, augstskolu skaits, kuras ieviesušas digitalizācijas iniciatīvas, kas veicina mūsdienīgu, inovatīvos tehnoloģiskos risinājumos balstītu studiju procesu, – 7</w:t>
            </w:r>
            <w:r w:rsidRPr="0002494F">
              <w:rPr>
                <w:rFonts w:ascii="Times New Roman" w:hAnsi="Times New Roman" w:cs="Times New Roman"/>
                <w:lang w:val="lv-LV"/>
              </w:rPr>
              <w:t xml:space="preserve">. </w:t>
            </w:r>
          </w:p>
          <w:p w:rsidR="00F04C81" w:rsidRDefault="00F04C81" w:rsidP="008035C9">
            <w:pPr>
              <w:pStyle w:val="tv2132"/>
              <w:spacing w:line="240" w:lineRule="auto"/>
              <w:ind w:firstLine="0"/>
              <w:contextualSpacing/>
              <w:jc w:val="both"/>
              <w:rPr>
                <w:rFonts w:cstheme="minorBidi"/>
                <w:b/>
                <w:color w:val="auto"/>
                <w:sz w:val="22"/>
                <w:szCs w:val="22"/>
                <w:lang w:val="lv-LV"/>
              </w:rPr>
            </w:pPr>
          </w:p>
          <w:p w:rsidR="00304A18" w:rsidRPr="00E6080D" w:rsidRDefault="008035C9" w:rsidP="008035C9">
            <w:pPr>
              <w:pStyle w:val="tv2132"/>
              <w:spacing w:line="240" w:lineRule="auto"/>
              <w:ind w:firstLine="0"/>
              <w:contextualSpacing/>
              <w:jc w:val="both"/>
              <w:rPr>
                <w:rFonts w:cstheme="minorBidi"/>
                <w:b/>
                <w:color w:val="auto"/>
                <w:sz w:val="22"/>
                <w:szCs w:val="22"/>
                <w:lang w:val="lv-LV"/>
              </w:rPr>
            </w:pPr>
            <w:r w:rsidRPr="00E6080D">
              <w:rPr>
                <w:rFonts w:cstheme="minorBidi"/>
                <w:b/>
                <w:color w:val="auto"/>
                <w:sz w:val="22"/>
                <w:szCs w:val="22"/>
                <w:lang w:val="lv-LV"/>
              </w:rPr>
              <w:t>A</w:t>
            </w:r>
            <w:r w:rsidR="00304A18" w:rsidRPr="00E6080D">
              <w:rPr>
                <w:rFonts w:cstheme="minorBidi"/>
                <w:b/>
                <w:color w:val="auto"/>
                <w:sz w:val="22"/>
                <w:szCs w:val="22"/>
                <w:lang w:val="lv-LV"/>
              </w:rPr>
              <w:t>notācija</w:t>
            </w:r>
          </w:p>
          <w:p w:rsidR="00E6080D" w:rsidRPr="008035C9" w:rsidRDefault="008035C9" w:rsidP="00D666C8">
            <w:pPr>
              <w:pStyle w:val="tv2132"/>
              <w:spacing w:line="240" w:lineRule="auto"/>
              <w:ind w:firstLine="0"/>
              <w:contextualSpacing/>
              <w:jc w:val="both"/>
              <w:rPr>
                <w:rFonts w:cstheme="minorBidi"/>
                <w:color w:val="auto"/>
                <w:sz w:val="22"/>
                <w:szCs w:val="22"/>
                <w:lang w:val="lv-LV"/>
              </w:rPr>
            </w:pPr>
            <w:r w:rsidRPr="00E6080D">
              <w:rPr>
                <w:rFonts w:eastAsia="Calibri"/>
                <w:color w:val="auto"/>
                <w:sz w:val="22"/>
                <w:szCs w:val="22"/>
                <w:lang w:val="lv-LV"/>
              </w:rPr>
              <w:lastRenderedPageBreak/>
              <w:t>Sadalījums pa gadiem nav skaitāms kumulatīvi, bet atbalsts abos gados tik nodrošināts tām pašām 7 augstskolām.</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13.</w:t>
            </w:r>
          </w:p>
        </w:tc>
        <w:tc>
          <w:tcPr>
            <w:tcW w:w="2575" w:type="dxa"/>
            <w:shd w:val="clear" w:color="auto" w:fill="auto"/>
          </w:tcPr>
          <w:p w:rsidR="009142DD" w:rsidRPr="009142DD" w:rsidRDefault="009142DD" w:rsidP="009142DD">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6. Pa</w:t>
            </w:r>
            <w:r w:rsidRPr="009142DD">
              <w:rPr>
                <w:rFonts w:cstheme="minorBidi"/>
                <w:color w:val="auto"/>
                <w:sz w:val="22"/>
                <w:szCs w:val="22"/>
                <w:lang w:val="lv-LV"/>
              </w:rPr>
              <w:t>sākumam pieejamais kopējais finansējums ir 7 860 001 euro, tajā skaitā Eiropas Sociālā fonda finansējums – 6 681 000 euro un valsts budžeta līdzfinansējums – 1 179 001 euro, nodrošinot to no finansējuma Kohēzijas politikai 2014. – 2020. gada plānošanas periodā (REACT-EU):</w:t>
            </w:r>
          </w:p>
          <w:p w:rsidR="009142DD" w:rsidRPr="009142DD" w:rsidRDefault="009142DD" w:rsidP="009142DD">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6.1.</w:t>
            </w:r>
            <w:r w:rsidRPr="009142DD">
              <w:rPr>
                <w:rFonts w:cstheme="minorBidi"/>
                <w:color w:val="auto"/>
                <w:sz w:val="22"/>
                <w:szCs w:val="22"/>
                <w:lang w:val="lv-LV"/>
              </w:rPr>
              <w:t xml:space="preserve"> 2021. gada Eiropas Komisijas piešķīrums ir 6 068 071 euro, tajā skaitā Eiropas Sociālā fonda finansējums – 5 157 860 euro un valsts budžeta līdzfinansējums – 910 211 euro; </w:t>
            </w:r>
          </w:p>
          <w:p w:rsidR="00CD11FC" w:rsidRPr="0002494F" w:rsidRDefault="009142DD" w:rsidP="009142DD">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6.2.</w:t>
            </w:r>
            <w:r w:rsidRPr="009142DD">
              <w:rPr>
                <w:rFonts w:cstheme="minorBidi"/>
                <w:color w:val="auto"/>
                <w:sz w:val="22"/>
                <w:szCs w:val="22"/>
                <w:lang w:val="lv-LV"/>
              </w:rPr>
              <w:t xml:space="preserve"> 2022. gada Eiropas Komisijas piešķīrums ir 1 791 930 euro, ko veido Eiropas Sociālā fonda finansējums – 1 523 140 euro un valsts budžeta līdzfinansējums – 268 790 euro</w:t>
            </w:r>
          </w:p>
        </w:tc>
        <w:tc>
          <w:tcPr>
            <w:tcW w:w="3969" w:type="dxa"/>
            <w:shd w:val="clear" w:color="auto" w:fill="auto"/>
          </w:tcPr>
          <w:p w:rsidR="00CD11FC" w:rsidRPr="0002494F" w:rsidRDefault="00CD11FC" w:rsidP="00CD11FC">
            <w:pPr>
              <w:widowControl w:val="0"/>
              <w:spacing w:after="0" w:line="240" w:lineRule="auto"/>
              <w:jc w:val="both"/>
              <w:rPr>
                <w:rFonts w:ascii="Times New Roman" w:hAnsi="Times New Roman"/>
                <w:b/>
                <w:lang w:val="lv-LV"/>
              </w:rPr>
            </w:pPr>
            <w:r w:rsidRPr="0002494F">
              <w:rPr>
                <w:rFonts w:ascii="Times New Roman" w:hAnsi="Times New Roman"/>
                <w:b/>
                <w:lang w:val="lv-LV"/>
              </w:rPr>
              <w:t>Finanšu ministrija (6.iebildums)</w:t>
            </w:r>
          </w:p>
          <w:p w:rsidR="00CD11FC" w:rsidRPr="00CD11FC" w:rsidRDefault="00CD11FC" w:rsidP="00CD11FC">
            <w:pPr>
              <w:spacing w:after="0" w:line="240" w:lineRule="auto"/>
              <w:contextualSpacing/>
              <w:jc w:val="both"/>
              <w:rPr>
                <w:rFonts w:ascii="Times New Roman" w:eastAsia="Times New Roman" w:hAnsi="Times New Roman" w:cs="Times New Roman"/>
                <w:lang w:val="lv-LV"/>
              </w:rPr>
            </w:pPr>
            <w:r w:rsidRPr="00CD11FC">
              <w:rPr>
                <w:rFonts w:ascii="Times New Roman" w:eastAsia="Times New Roman" w:hAnsi="Times New Roman" w:cs="Times New Roman"/>
                <w:lang w:val="lv-LV"/>
              </w:rPr>
              <w:t>Lūdzam precizēt noteikumu projekta 6.punktu, lai nodrošinātu korektu un izsekojamu informāciju par finansējumu atbilstoši REACT-EU 2021.gada un 2022.gada piešķīrumiem, piemēram, šādā redakcijā:</w:t>
            </w:r>
          </w:p>
          <w:p w:rsidR="00CD11FC" w:rsidRPr="00CD11FC" w:rsidRDefault="00CD11FC" w:rsidP="00873E59">
            <w:pPr>
              <w:spacing w:after="0" w:line="240" w:lineRule="auto"/>
              <w:contextualSpacing/>
              <w:jc w:val="both"/>
              <w:rPr>
                <w:rFonts w:ascii="Times New Roman" w:eastAsia="Times New Roman" w:hAnsi="Times New Roman" w:cs="Times New Roman"/>
                <w:i/>
                <w:iCs/>
                <w:lang w:val="lv-LV"/>
              </w:rPr>
            </w:pPr>
            <w:r w:rsidRPr="00CD11FC">
              <w:rPr>
                <w:rFonts w:ascii="Times New Roman" w:eastAsia="Times New Roman" w:hAnsi="Times New Roman" w:cs="Times New Roman"/>
                <w:lang w:val="lv-LV"/>
              </w:rPr>
              <w:t xml:space="preserve">“ 6. Specifiskā atbalsta ietvaros pieejamais kopējais attiecināmais finansējums ir 7 860 001 </w:t>
            </w:r>
            <w:r w:rsidRPr="00CD11FC">
              <w:rPr>
                <w:rFonts w:ascii="Times New Roman" w:eastAsia="Times New Roman" w:hAnsi="Times New Roman" w:cs="Times New Roman"/>
                <w:i/>
                <w:iCs/>
                <w:lang w:val="lv-LV"/>
              </w:rPr>
              <w:t>euro</w:t>
            </w:r>
            <w:r w:rsidRPr="00CD11FC">
              <w:rPr>
                <w:rFonts w:ascii="Times New Roman" w:eastAsia="Times New Roman" w:hAnsi="Times New Roman" w:cs="Times New Roman"/>
                <w:lang w:val="lv-LV"/>
              </w:rPr>
              <w:t xml:space="preserve">, tai skaitā Eiropas Sociālā fonda finansējums – 6 681 000 </w:t>
            </w:r>
            <w:r w:rsidRPr="00CD11FC">
              <w:rPr>
                <w:rFonts w:ascii="Times New Roman" w:eastAsia="Times New Roman" w:hAnsi="Times New Roman" w:cs="Times New Roman"/>
                <w:i/>
                <w:iCs/>
                <w:lang w:val="lv-LV"/>
              </w:rPr>
              <w:t>euro</w:t>
            </w:r>
            <w:r w:rsidRPr="00CD11FC">
              <w:rPr>
                <w:rFonts w:ascii="Times New Roman" w:eastAsia="Times New Roman" w:hAnsi="Times New Roman" w:cs="Times New Roman"/>
                <w:lang w:val="lv-LV"/>
              </w:rPr>
              <w:t xml:space="preserve"> un valsts budžeta finansējums – 1 179 001 </w:t>
            </w:r>
            <w:r w:rsidRPr="00CD11FC">
              <w:rPr>
                <w:rFonts w:ascii="Times New Roman" w:eastAsia="Times New Roman" w:hAnsi="Times New Roman" w:cs="Times New Roman"/>
                <w:i/>
                <w:iCs/>
                <w:lang w:val="lv-LV"/>
              </w:rPr>
              <w:t xml:space="preserve">euro, </w:t>
            </w:r>
            <w:r w:rsidRPr="00CD11FC">
              <w:rPr>
                <w:rFonts w:ascii="Times New Roman" w:eastAsia="Times New Roman" w:hAnsi="Times New Roman" w:cs="Times New Roman"/>
                <w:lang w:val="lv-LV"/>
              </w:rPr>
              <w:t>tai skaitā:</w:t>
            </w:r>
            <w:r w:rsidRPr="00CD11FC">
              <w:rPr>
                <w:rFonts w:ascii="Times New Roman" w:eastAsia="Times New Roman" w:hAnsi="Times New Roman" w:cs="Times New Roman"/>
                <w:i/>
                <w:iCs/>
                <w:lang w:val="lv-LV"/>
              </w:rPr>
              <w:t xml:space="preserve"> </w:t>
            </w:r>
          </w:p>
          <w:p w:rsidR="00CD11FC" w:rsidRPr="00CD11FC" w:rsidRDefault="00CD11FC" w:rsidP="00873E59">
            <w:pPr>
              <w:spacing w:after="0" w:line="240" w:lineRule="auto"/>
              <w:contextualSpacing/>
              <w:jc w:val="both"/>
              <w:rPr>
                <w:rFonts w:ascii="Times New Roman" w:eastAsia="Times New Roman" w:hAnsi="Times New Roman" w:cs="Times New Roman"/>
                <w:i/>
                <w:iCs/>
                <w:lang w:val="lv-LV"/>
              </w:rPr>
            </w:pPr>
            <w:r w:rsidRPr="00CD11FC">
              <w:rPr>
                <w:rFonts w:ascii="Times New Roman" w:eastAsia="Times New Roman" w:hAnsi="Times New Roman" w:cs="Times New Roman"/>
                <w:lang w:val="lv-LV"/>
              </w:rPr>
              <w:t xml:space="preserve">6.1.Atbilstoši REACT-EU 2021.gada piešķīrumam, pieejamais kopējais attiecināmais finansējums ir 6 068 071 </w:t>
            </w:r>
            <w:r w:rsidRPr="00CD11FC">
              <w:rPr>
                <w:rFonts w:ascii="Times New Roman" w:eastAsia="Times New Roman" w:hAnsi="Times New Roman" w:cs="Times New Roman"/>
                <w:i/>
                <w:iCs/>
                <w:lang w:val="lv-LV"/>
              </w:rPr>
              <w:t>euro</w:t>
            </w:r>
            <w:r w:rsidRPr="00CD11FC">
              <w:rPr>
                <w:rFonts w:ascii="Times New Roman" w:eastAsia="Times New Roman" w:hAnsi="Times New Roman" w:cs="Times New Roman"/>
                <w:lang w:val="lv-LV"/>
              </w:rPr>
              <w:t xml:space="preserve">, tai skaitā Eiropas Sociālā fonda finansējums – 5 157 860 </w:t>
            </w:r>
            <w:r w:rsidRPr="00CD11FC">
              <w:rPr>
                <w:rFonts w:ascii="Times New Roman" w:eastAsia="Times New Roman" w:hAnsi="Times New Roman" w:cs="Times New Roman"/>
                <w:i/>
                <w:iCs/>
                <w:lang w:val="lv-LV"/>
              </w:rPr>
              <w:t>euro</w:t>
            </w:r>
            <w:r w:rsidRPr="00CD11FC">
              <w:rPr>
                <w:rFonts w:ascii="Times New Roman" w:eastAsia="Times New Roman" w:hAnsi="Times New Roman" w:cs="Times New Roman"/>
                <w:lang w:val="lv-LV"/>
              </w:rPr>
              <w:t xml:space="preserve"> un valsts budžeta līdzfinansējums – 910 211 </w:t>
            </w:r>
            <w:r w:rsidRPr="00CD11FC">
              <w:rPr>
                <w:rFonts w:ascii="Times New Roman" w:eastAsia="Times New Roman" w:hAnsi="Times New Roman" w:cs="Times New Roman"/>
                <w:i/>
                <w:iCs/>
                <w:lang w:val="lv-LV"/>
              </w:rPr>
              <w:t>euro;</w:t>
            </w:r>
          </w:p>
          <w:p w:rsidR="00CD11FC" w:rsidRPr="0002494F" w:rsidRDefault="00CD11FC" w:rsidP="00CD11FC">
            <w:pPr>
              <w:widowControl w:val="0"/>
              <w:spacing w:after="0" w:line="240" w:lineRule="auto"/>
              <w:jc w:val="both"/>
              <w:rPr>
                <w:rFonts w:ascii="Times New Roman" w:hAnsi="Times New Roman"/>
                <w:b/>
                <w:lang w:val="lv-LV"/>
              </w:rPr>
            </w:pPr>
            <w:r w:rsidRPr="0002494F">
              <w:rPr>
                <w:rFonts w:ascii="Times New Roman" w:eastAsia="Times New Roman" w:hAnsi="Times New Roman" w:cs="Times New Roman"/>
                <w:lang w:val="lv-LV"/>
              </w:rPr>
              <w:t xml:space="preserve">6.2. Atbilstoši plānotajam REACT-EU 2022.gada piešķīrumam, kopējais attiecināmais finansējums ir 1 791 930 </w:t>
            </w:r>
            <w:r w:rsidRPr="0002494F">
              <w:rPr>
                <w:rFonts w:ascii="Times New Roman" w:eastAsia="Times New Roman" w:hAnsi="Times New Roman" w:cs="Times New Roman"/>
                <w:i/>
                <w:iCs/>
                <w:lang w:val="lv-LV"/>
              </w:rPr>
              <w:t>euro</w:t>
            </w:r>
            <w:r w:rsidRPr="0002494F">
              <w:rPr>
                <w:rFonts w:ascii="Times New Roman" w:eastAsia="Times New Roman" w:hAnsi="Times New Roman" w:cs="Times New Roman"/>
                <w:lang w:val="lv-LV"/>
              </w:rPr>
              <w:t xml:space="preserve">, tai skaitā Eiropas Sociālā fonda finansējums –  1 523 140 </w:t>
            </w:r>
            <w:r w:rsidRPr="0002494F">
              <w:rPr>
                <w:rFonts w:ascii="Times New Roman" w:eastAsia="Times New Roman" w:hAnsi="Times New Roman" w:cs="Times New Roman"/>
                <w:i/>
                <w:iCs/>
                <w:lang w:val="lv-LV"/>
              </w:rPr>
              <w:t>euro</w:t>
            </w:r>
            <w:r w:rsidRPr="0002494F">
              <w:rPr>
                <w:rFonts w:ascii="Times New Roman" w:eastAsia="Times New Roman" w:hAnsi="Times New Roman" w:cs="Times New Roman"/>
                <w:lang w:val="lv-LV"/>
              </w:rPr>
              <w:t xml:space="preserve"> un valsts budžeta finansējums –  268 790 </w:t>
            </w:r>
            <w:r w:rsidRPr="0002494F">
              <w:rPr>
                <w:rFonts w:ascii="Times New Roman" w:eastAsia="Times New Roman" w:hAnsi="Times New Roman" w:cs="Times New Roman"/>
                <w:i/>
                <w:iCs/>
                <w:lang w:val="lv-LV"/>
              </w:rPr>
              <w:t>euro</w:t>
            </w:r>
            <w:r w:rsidRPr="0002494F">
              <w:rPr>
                <w:rFonts w:ascii="Times New Roman" w:eastAsia="Times New Roman" w:hAnsi="Times New Roman" w:cs="Times New Roman"/>
                <w:lang w:val="lv-LV"/>
              </w:rPr>
              <w:t>.”.</w:t>
            </w:r>
          </w:p>
          <w:p w:rsidR="00CD11FC" w:rsidRPr="0002494F" w:rsidRDefault="00CD11FC" w:rsidP="00CD11FC">
            <w:pPr>
              <w:widowControl w:val="0"/>
              <w:spacing w:after="0" w:line="240" w:lineRule="auto"/>
              <w:jc w:val="both"/>
              <w:rPr>
                <w:rFonts w:ascii="Times New Roman" w:hAnsi="Times New Roman"/>
                <w:b/>
                <w:lang w:val="lv-LV"/>
              </w:rPr>
            </w:pPr>
          </w:p>
        </w:tc>
        <w:tc>
          <w:tcPr>
            <w:tcW w:w="3119" w:type="dxa"/>
            <w:shd w:val="clear" w:color="auto" w:fill="auto"/>
          </w:tcPr>
          <w:p w:rsidR="00CD11FC" w:rsidRPr="0002494F" w:rsidRDefault="0002494F"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9142DD" w:rsidRPr="009142DD" w:rsidRDefault="009142DD" w:rsidP="009142DD">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6. </w:t>
            </w:r>
            <w:r w:rsidRPr="009142DD">
              <w:rPr>
                <w:rFonts w:cstheme="minorBidi"/>
                <w:color w:val="auto"/>
                <w:sz w:val="22"/>
                <w:szCs w:val="22"/>
                <w:lang w:val="lv-LV"/>
              </w:rPr>
              <w:t xml:space="preserve">Pasākumam pieejamais kopējais attiecināmais finansējums ir 7 860 001 </w:t>
            </w:r>
            <w:r w:rsidRPr="009142DD">
              <w:rPr>
                <w:rFonts w:cstheme="minorBidi"/>
                <w:i/>
                <w:color w:val="auto"/>
                <w:sz w:val="22"/>
                <w:szCs w:val="22"/>
                <w:lang w:val="lv-LV"/>
              </w:rPr>
              <w:t>euro</w:t>
            </w:r>
            <w:r w:rsidRPr="009142DD">
              <w:rPr>
                <w:rFonts w:cstheme="minorBidi"/>
                <w:color w:val="auto"/>
                <w:sz w:val="22"/>
                <w:szCs w:val="22"/>
                <w:lang w:val="lv-LV"/>
              </w:rPr>
              <w:t xml:space="preserve">, tajā skaitā Eiropas Sociālā fonda finansējums – 6 681 000 </w:t>
            </w:r>
            <w:r w:rsidRPr="009142DD">
              <w:rPr>
                <w:rFonts w:cstheme="minorBidi"/>
                <w:i/>
                <w:color w:val="auto"/>
                <w:sz w:val="22"/>
                <w:szCs w:val="22"/>
                <w:lang w:val="lv-LV"/>
              </w:rPr>
              <w:t>euro</w:t>
            </w:r>
            <w:r w:rsidRPr="009142DD">
              <w:rPr>
                <w:rFonts w:cstheme="minorBidi"/>
                <w:color w:val="auto"/>
                <w:sz w:val="22"/>
                <w:szCs w:val="22"/>
                <w:lang w:val="lv-LV"/>
              </w:rPr>
              <w:t xml:space="preserve"> un valsts budžeta līdzfinansējums – 1 179 001 </w:t>
            </w:r>
            <w:r w:rsidRPr="009142DD">
              <w:rPr>
                <w:rFonts w:cstheme="minorBidi"/>
                <w:i/>
                <w:color w:val="auto"/>
                <w:sz w:val="22"/>
                <w:szCs w:val="22"/>
                <w:lang w:val="lv-LV"/>
              </w:rPr>
              <w:t>euro</w:t>
            </w:r>
            <w:r w:rsidRPr="009142DD">
              <w:rPr>
                <w:rFonts w:cstheme="minorBidi"/>
                <w:color w:val="auto"/>
                <w:sz w:val="22"/>
                <w:szCs w:val="22"/>
                <w:lang w:val="lv-LV"/>
              </w:rPr>
              <w:t>, tai skaitā:</w:t>
            </w:r>
          </w:p>
          <w:p w:rsidR="009142DD" w:rsidRPr="009142DD" w:rsidRDefault="009142DD" w:rsidP="009142DD">
            <w:pPr>
              <w:pStyle w:val="tv2132"/>
              <w:spacing w:line="240" w:lineRule="auto"/>
              <w:contextualSpacing/>
              <w:jc w:val="both"/>
              <w:rPr>
                <w:rFonts w:cstheme="minorBidi"/>
                <w:color w:val="auto"/>
                <w:sz w:val="22"/>
                <w:szCs w:val="22"/>
                <w:lang w:val="lv-LV"/>
              </w:rPr>
            </w:pPr>
            <w:r w:rsidRPr="009142DD">
              <w:rPr>
                <w:rFonts w:cstheme="minorBidi"/>
                <w:color w:val="auto"/>
                <w:sz w:val="22"/>
                <w:szCs w:val="22"/>
                <w:lang w:val="lv-LV"/>
              </w:rPr>
              <w:t xml:space="preserve">6.1. atbilstoši REACT-EU 2021. gada piešķīrumam, kopējais attiecināmais finansējums ir 6 068 071 </w:t>
            </w:r>
            <w:r w:rsidRPr="009142DD">
              <w:rPr>
                <w:rFonts w:cstheme="minorBidi"/>
                <w:i/>
                <w:color w:val="auto"/>
                <w:sz w:val="22"/>
                <w:szCs w:val="22"/>
                <w:lang w:val="lv-LV"/>
              </w:rPr>
              <w:t>euro</w:t>
            </w:r>
            <w:r w:rsidRPr="009142DD">
              <w:rPr>
                <w:rFonts w:cstheme="minorBidi"/>
                <w:color w:val="auto"/>
                <w:sz w:val="22"/>
                <w:szCs w:val="22"/>
                <w:lang w:val="lv-LV"/>
              </w:rPr>
              <w:t xml:space="preserve">, tajā skaitā Eiropas Sociālā fonda finansējums – 5 157 860 </w:t>
            </w:r>
            <w:r w:rsidRPr="009142DD">
              <w:rPr>
                <w:rFonts w:cstheme="minorBidi"/>
                <w:i/>
                <w:color w:val="auto"/>
                <w:sz w:val="22"/>
                <w:szCs w:val="22"/>
                <w:lang w:val="lv-LV"/>
              </w:rPr>
              <w:t>euro</w:t>
            </w:r>
            <w:r w:rsidRPr="009142DD">
              <w:rPr>
                <w:rFonts w:cstheme="minorBidi"/>
                <w:color w:val="auto"/>
                <w:sz w:val="22"/>
                <w:szCs w:val="22"/>
                <w:lang w:val="lv-LV"/>
              </w:rPr>
              <w:t xml:space="preserve"> un valsts budžeta līdzfinansējums – 910 211 </w:t>
            </w:r>
            <w:r w:rsidRPr="009142DD">
              <w:rPr>
                <w:rFonts w:cstheme="minorBidi"/>
                <w:i/>
                <w:color w:val="auto"/>
                <w:sz w:val="22"/>
                <w:szCs w:val="22"/>
                <w:lang w:val="lv-LV"/>
              </w:rPr>
              <w:t>euro</w:t>
            </w:r>
            <w:r w:rsidRPr="009142DD">
              <w:rPr>
                <w:rFonts w:cstheme="minorBidi"/>
                <w:color w:val="auto"/>
                <w:sz w:val="22"/>
                <w:szCs w:val="22"/>
                <w:lang w:val="lv-LV"/>
              </w:rPr>
              <w:t xml:space="preserve">; </w:t>
            </w:r>
          </w:p>
          <w:p w:rsidR="00CD11FC" w:rsidRPr="0002494F" w:rsidRDefault="0003674B" w:rsidP="009142DD">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    </w:t>
            </w:r>
            <w:r w:rsidR="009142DD" w:rsidRPr="009142DD">
              <w:rPr>
                <w:rFonts w:cstheme="minorBidi"/>
                <w:color w:val="auto"/>
                <w:sz w:val="22"/>
                <w:szCs w:val="22"/>
                <w:lang w:val="lv-LV"/>
              </w:rPr>
              <w:t xml:space="preserve">6.2. atbilstoši plānotajam REACT-EU 2022. gada piešķīrumam, kopējais attiecināmais finansējums ir 1 791 930 </w:t>
            </w:r>
            <w:r w:rsidR="009142DD" w:rsidRPr="009142DD">
              <w:rPr>
                <w:rFonts w:cstheme="minorBidi"/>
                <w:i/>
                <w:color w:val="auto"/>
                <w:sz w:val="22"/>
                <w:szCs w:val="22"/>
                <w:lang w:val="lv-LV"/>
              </w:rPr>
              <w:t>euro</w:t>
            </w:r>
            <w:r w:rsidR="009142DD" w:rsidRPr="009142DD">
              <w:rPr>
                <w:rFonts w:cstheme="minorBidi"/>
                <w:color w:val="auto"/>
                <w:sz w:val="22"/>
                <w:szCs w:val="22"/>
                <w:lang w:val="lv-LV"/>
              </w:rPr>
              <w:t xml:space="preserve">, tai skaitā Eiropas Sociālā fonda finansējums – 1 523 140 </w:t>
            </w:r>
            <w:r w:rsidR="009142DD" w:rsidRPr="009142DD">
              <w:rPr>
                <w:rFonts w:cstheme="minorBidi"/>
                <w:i/>
                <w:color w:val="auto"/>
                <w:sz w:val="22"/>
                <w:szCs w:val="22"/>
                <w:lang w:val="lv-LV"/>
              </w:rPr>
              <w:t>euro</w:t>
            </w:r>
            <w:r w:rsidR="009142DD" w:rsidRPr="009142DD">
              <w:rPr>
                <w:rFonts w:cstheme="minorBidi"/>
                <w:color w:val="auto"/>
                <w:sz w:val="22"/>
                <w:szCs w:val="22"/>
                <w:lang w:val="lv-LV"/>
              </w:rPr>
              <w:t xml:space="preserve"> un valsts budžeta līdzfinansējums – 268 790 </w:t>
            </w:r>
            <w:r w:rsidR="009142DD" w:rsidRPr="009142DD">
              <w:rPr>
                <w:rFonts w:cstheme="minorBidi"/>
                <w:i/>
                <w:color w:val="auto"/>
                <w:sz w:val="22"/>
                <w:szCs w:val="22"/>
                <w:lang w:val="lv-LV"/>
              </w:rPr>
              <w:t>euro</w:t>
            </w:r>
            <w:r w:rsidR="009142DD">
              <w:rPr>
                <w:rFonts w:cstheme="minorBidi"/>
                <w:i/>
                <w:color w:val="auto"/>
                <w:sz w:val="22"/>
                <w:szCs w:val="22"/>
                <w:lang w:val="lv-LV"/>
              </w:rPr>
              <w:t>.</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14.</w:t>
            </w:r>
          </w:p>
        </w:tc>
        <w:tc>
          <w:tcPr>
            <w:tcW w:w="2575" w:type="dxa"/>
            <w:shd w:val="clear" w:color="auto" w:fill="auto"/>
          </w:tcPr>
          <w:p w:rsidR="00CD11FC" w:rsidRPr="0002494F" w:rsidRDefault="00CD11FC"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D11FC" w:rsidRPr="0002494F" w:rsidRDefault="00CD11FC" w:rsidP="00CD11FC">
            <w:pPr>
              <w:widowControl w:val="0"/>
              <w:spacing w:after="0" w:line="240" w:lineRule="auto"/>
              <w:jc w:val="both"/>
              <w:rPr>
                <w:rFonts w:ascii="Times New Roman" w:hAnsi="Times New Roman"/>
                <w:b/>
                <w:lang w:val="lv-LV"/>
              </w:rPr>
            </w:pPr>
            <w:r w:rsidRPr="0002494F">
              <w:rPr>
                <w:rFonts w:ascii="Times New Roman" w:hAnsi="Times New Roman"/>
                <w:b/>
                <w:lang w:val="lv-LV"/>
              </w:rPr>
              <w:t>Finanšu ministrija (7.iebildums)</w:t>
            </w:r>
          </w:p>
          <w:p w:rsidR="00CD11FC" w:rsidRPr="0002494F" w:rsidRDefault="00CD11FC" w:rsidP="00684905">
            <w:pPr>
              <w:spacing w:after="0" w:line="240" w:lineRule="auto"/>
              <w:contextualSpacing/>
              <w:jc w:val="both"/>
              <w:rPr>
                <w:rFonts w:ascii="Times New Roman" w:hAnsi="Times New Roman"/>
                <w:b/>
                <w:lang w:val="lv-LV"/>
              </w:rPr>
            </w:pPr>
            <w:r w:rsidRPr="00CD11FC">
              <w:rPr>
                <w:rFonts w:ascii="Times New Roman" w:eastAsia="Times New Roman" w:hAnsi="Times New Roman" w:cs="Times New Roman"/>
                <w:lang w:val="lv-LV"/>
              </w:rPr>
              <w:t xml:space="preserve">Lūdzam savstarpēji salāgot noteikumu projekta 6.1. un 6.2.apakšpunktos norādītos Eiropas Komisijas piešķīrumus sadalījumā pa gadiem ar anotācijas III sadaļas “Tiesību akta projekta ietekme uz </w:t>
            </w:r>
            <w:r w:rsidRPr="00CD11FC">
              <w:rPr>
                <w:rFonts w:ascii="Times New Roman" w:eastAsia="Times New Roman" w:hAnsi="Times New Roman" w:cs="Times New Roman"/>
                <w:lang w:val="lv-LV"/>
              </w:rPr>
              <w:lastRenderedPageBreak/>
              <w:t xml:space="preserve">valsts budžetu un pašvaldību budžetiem” norādīto sadalījumu pa gadiem. </w:t>
            </w:r>
          </w:p>
        </w:tc>
        <w:tc>
          <w:tcPr>
            <w:tcW w:w="3119" w:type="dxa"/>
            <w:shd w:val="clear" w:color="auto" w:fill="auto"/>
          </w:tcPr>
          <w:p w:rsidR="00CD11FC" w:rsidRDefault="0002494F"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A40D1A" w:rsidRPr="0002494F" w:rsidRDefault="00A40D1A" w:rsidP="00E018FF">
            <w:pPr>
              <w:spacing w:after="0" w:line="240" w:lineRule="auto"/>
              <w:jc w:val="both"/>
              <w:rPr>
                <w:rFonts w:ascii="Times New Roman" w:eastAsia="Times New Roman" w:hAnsi="Times New Roman" w:cs="Times New Roman"/>
                <w:b/>
                <w:lang w:val="lv-LV" w:eastAsia="lv-LV"/>
              </w:rPr>
            </w:pPr>
          </w:p>
        </w:tc>
        <w:tc>
          <w:tcPr>
            <w:tcW w:w="3260" w:type="dxa"/>
          </w:tcPr>
          <w:p w:rsidR="00CD11FC" w:rsidRPr="0002494F" w:rsidRDefault="009142DD" w:rsidP="002E4E4F">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 precizēto anotācijas III sadaļu.</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15.</w:t>
            </w:r>
          </w:p>
        </w:tc>
        <w:tc>
          <w:tcPr>
            <w:tcW w:w="2575" w:type="dxa"/>
            <w:shd w:val="clear" w:color="auto" w:fill="auto"/>
          </w:tcPr>
          <w:p w:rsidR="00E6080D" w:rsidRPr="00E6080D" w:rsidRDefault="00E6080D" w:rsidP="00E6080D">
            <w:pPr>
              <w:pStyle w:val="tv2132"/>
              <w:spacing w:line="240" w:lineRule="auto"/>
              <w:contextualSpacing/>
              <w:jc w:val="both"/>
              <w:rPr>
                <w:rFonts w:cstheme="minorBidi"/>
                <w:color w:val="auto"/>
                <w:sz w:val="22"/>
                <w:szCs w:val="22"/>
                <w:lang w:val="lv-LV"/>
              </w:rPr>
            </w:pPr>
            <w:r w:rsidRPr="00E6080D">
              <w:rPr>
                <w:rFonts w:cstheme="minorBidi"/>
                <w:color w:val="auto"/>
                <w:sz w:val="22"/>
                <w:szCs w:val="22"/>
                <w:lang w:val="lv-LV"/>
              </w:rPr>
              <w:t>7.  Pasākuma ietvaros īsteno projektu, kas nav saistīts ar saimnieciskās darbības veikšanu vai nav kvalificējams kā komercdarbības atbalsts, un tā maksimālā publiskā finansējuma intensitāte ir 100 procenti, ko veido:</w:t>
            </w:r>
          </w:p>
          <w:p w:rsidR="00E6080D" w:rsidRPr="00E6080D" w:rsidRDefault="00E6080D" w:rsidP="00E6080D">
            <w:pPr>
              <w:pStyle w:val="tv2132"/>
              <w:spacing w:line="240" w:lineRule="auto"/>
              <w:contextualSpacing/>
              <w:jc w:val="both"/>
              <w:rPr>
                <w:rFonts w:cstheme="minorBidi"/>
                <w:color w:val="auto"/>
                <w:sz w:val="22"/>
                <w:szCs w:val="22"/>
                <w:lang w:val="lv-LV"/>
              </w:rPr>
            </w:pPr>
            <w:r w:rsidRPr="00E6080D">
              <w:rPr>
                <w:rFonts w:cstheme="minorBidi"/>
                <w:color w:val="auto"/>
                <w:sz w:val="22"/>
                <w:szCs w:val="22"/>
                <w:lang w:val="lv-LV"/>
              </w:rPr>
              <w:t>7.1. valsts budžeta atbalsta intensitāte – 15 procenti;</w:t>
            </w:r>
          </w:p>
          <w:p w:rsidR="00CD11FC" w:rsidRDefault="00E6080D" w:rsidP="00E6080D">
            <w:pPr>
              <w:pStyle w:val="tv2132"/>
              <w:spacing w:line="240" w:lineRule="auto"/>
              <w:ind w:firstLine="0"/>
              <w:contextualSpacing/>
              <w:jc w:val="both"/>
              <w:rPr>
                <w:rFonts w:cstheme="minorBidi"/>
                <w:color w:val="auto"/>
                <w:sz w:val="22"/>
                <w:szCs w:val="22"/>
                <w:lang w:val="lv-LV"/>
              </w:rPr>
            </w:pPr>
            <w:r w:rsidRPr="00E6080D">
              <w:rPr>
                <w:rFonts w:cstheme="minorBidi"/>
                <w:color w:val="auto"/>
                <w:sz w:val="22"/>
                <w:szCs w:val="22"/>
                <w:lang w:val="lv-LV"/>
              </w:rPr>
              <w:t>7.2. Eiropas Sociālā fonda atbalsta intensitāte – 85 procenti.</w:t>
            </w:r>
          </w:p>
          <w:p w:rsidR="00E6080D" w:rsidRDefault="00E6080D" w:rsidP="00E6080D">
            <w:pPr>
              <w:pStyle w:val="tv2132"/>
              <w:spacing w:line="240" w:lineRule="auto"/>
              <w:ind w:firstLine="0"/>
              <w:contextualSpacing/>
              <w:jc w:val="both"/>
              <w:rPr>
                <w:rFonts w:cstheme="minorBidi"/>
                <w:color w:val="auto"/>
                <w:sz w:val="22"/>
                <w:szCs w:val="22"/>
                <w:lang w:val="lv-LV"/>
              </w:rPr>
            </w:pPr>
          </w:p>
          <w:p w:rsidR="00E6080D" w:rsidRPr="0002494F" w:rsidRDefault="00E6080D" w:rsidP="00F97EA7">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23.</w:t>
            </w:r>
            <w:r w:rsidR="00F97EA7" w:rsidRPr="00F97EA7">
              <w:rPr>
                <w:rFonts w:cstheme="minorBidi"/>
                <w:color w:val="auto"/>
                <w:sz w:val="22"/>
                <w:szCs w:val="22"/>
                <w:lang w:val="lv-LV"/>
              </w:rPr>
              <w:t xml:space="preserve"> Finansējuma saņēmējs pasākuma ietvaros īsteno projektus, kas nav saistīti ar saimnieciskās darbības veikšanu vai nekvalificējas kā komercdarbības atbalsts</w:t>
            </w:r>
            <w:r w:rsidR="00F97EA7">
              <w:rPr>
                <w:rFonts w:cstheme="minorBidi"/>
                <w:color w:val="auto"/>
                <w:sz w:val="22"/>
                <w:szCs w:val="22"/>
                <w:lang w:val="lv-LV"/>
              </w:rPr>
              <w:t>.</w:t>
            </w:r>
          </w:p>
        </w:tc>
        <w:tc>
          <w:tcPr>
            <w:tcW w:w="3969" w:type="dxa"/>
            <w:shd w:val="clear" w:color="auto" w:fill="auto"/>
          </w:tcPr>
          <w:p w:rsidR="00CD11FC" w:rsidRPr="0002494F" w:rsidRDefault="00CD11FC" w:rsidP="0002494F">
            <w:pPr>
              <w:spacing w:after="0" w:line="240" w:lineRule="auto"/>
              <w:rPr>
                <w:rFonts w:ascii="Times New Roman" w:hAnsi="Times New Roman" w:cs="Times New Roman"/>
                <w:b/>
              </w:rPr>
            </w:pPr>
            <w:r w:rsidRPr="0002494F">
              <w:rPr>
                <w:rFonts w:ascii="Times New Roman" w:hAnsi="Times New Roman" w:cs="Times New Roman"/>
                <w:b/>
              </w:rPr>
              <w:t>Finanšu ministrija (8.iebildums)</w:t>
            </w:r>
          </w:p>
          <w:p w:rsidR="00CD11FC" w:rsidRPr="0002494F" w:rsidRDefault="00CD11FC" w:rsidP="0002494F">
            <w:pPr>
              <w:spacing w:after="0" w:line="240" w:lineRule="auto"/>
              <w:jc w:val="both"/>
              <w:rPr>
                <w:rFonts w:ascii="Times New Roman" w:hAnsi="Times New Roman" w:cs="Times New Roman"/>
                <w:b/>
              </w:rPr>
            </w:pPr>
            <w:r w:rsidRPr="0002494F">
              <w:rPr>
                <w:rFonts w:ascii="Times New Roman" w:eastAsia="Times New Roman" w:hAnsi="Times New Roman" w:cs="Times New Roman"/>
                <w:lang w:val="lv-LV"/>
              </w:rPr>
              <w:t xml:space="preserve">Lūdzam izvērtēt </w:t>
            </w:r>
            <w:r w:rsidRPr="0003674B">
              <w:rPr>
                <w:rFonts w:ascii="Times New Roman" w:eastAsia="Times New Roman" w:hAnsi="Times New Roman" w:cs="Times New Roman"/>
                <w:lang w:val="lv-LV"/>
              </w:rPr>
              <w:t>noteikumu projekta 7.punkta un 23.punkta redakcijas. Vēršam uzmanību, ka noteikumu projekta 23.punkts dublē noteikumu projekta 7.punktā noteikto, t.i., ka pasākuma ietvaros tiek īstenoti proj</w:t>
            </w:r>
            <w:r w:rsidRPr="0002494F">
              <w:rPr>
                <w:rFonts w:ascii="Times New Roman" w:eastAsia="Times New Roman" w:hAnsi="Times New Roman" w:cs="Times New Roman"/>
                <w:lang w:val="lv-LV"/>
              </w:rPr>
              <w:t>ekti, kas nav saistīti ar saimniecisko darbību. Attiecīgi lūdzam precizēt noteikumu projekta 7.punkta redakciju vai svītrot noteikumu projekta 23.punktu.</w:t>
            </w:r>
          </w:p>
        </w:tc>
        <w:tc>
          <w:tcPr>
            <w:tcW w:w="3119" w:type="dxa"/>
            <w:shd w:val="clear" w:color="auto" w:fill="auto"/>
          </w:tcPr>
          <w:p w:rsidR="00CD11FC" w:rsidRDefault="0002494F"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02494F" w:rsidRDefault="0002494F" w:rsidP="00CD11FC">
            <w:pPr>
              <w:spacing w:after="0" w:line="240" w:lineRule="auto"/>
              <w:jc w:val="both"/>
              <w:rPr>
                <w:rFonts w:ascii="Times New Roman" w:eastAsia="Times New Roman" w:hAnsi="Times New Roman" w:cs="Times New Roman"/>
                <w:lang w:val="lv-LV" w:eastAsia="lv-LV"/>
              </w:rPr>
            </w:pPr>
            <w:r w:rsidRPr="0002494F">
              <w:rPr>
                <w:rFonts w:ascii="Times New Roman" w:eastAsia="Times New Roman" w:hAnsi="Times New Roman" w:cs="Times New Roman"/>
                <w:lang w:val="lv-LV" w:eastAsia="lv-LV"/>
              </w:rPr>
              <w:t>23.</w:t>
            </w:r>
            <w:r w:rsidR="003233A8">
              <w:rPr>
                <w:rFonts w:ascii="Times New Roman" w:eastAsia="Times New Roman" w:hAnsi="Times New Roman" w:cs="Times New Roman"/>
                <w:lang w:val="lv-LV" w:eastAsia="lv-LV"/>
              </w:rPr>
              <w:t xml:space="preserve"> </w:t>
            </w:r>
            <w:r w:rsidRPr="0002494F">
              <w:rPr>
                <w:rFonts w:ascii="Times New Roman" w:eastAsia="Times New Roman" w:hAnsi="Times New Roman" w:cs="Times New Roman"/>
                <w:lang w:val="lv-LV" w:eastAsia="lv-LV"/>
              </w:rPr>
              <w:t>punkts svītrots</w:t>
            </w:r>
            <w:r>
              <w:rPr>
                <w:rFonts w:ascii="Times New Roman" w:eastAsia="Times New Roman" w:hAnsi="Times New Roman" w:cs="Times New Roman"/>
                <w:lang w:val="lv-LV" w:eastAsia="lv-LV"/>
              </w:rPr>
              <w:t>.</w:t>
            </w:r>
          </w:p>
          <w:p w:rsidR="00940059" w:rsidRPr="0002494F" w:rsidRDefault="00940059" w:rsidP="00CD11FC">
            <w:pPr>
              <w:spacing w:after="0" w:line="240" w:lineRule="auto"/>
              <w:jc w:val="both"/>
              <w:rPr>
                <w:rFonts w:ascii="Times New Roman" w:eastAsia="Times New Roman" w:hAnsi="Times New Roman" w:cs="Times New Roman"/>
                <w:lang w:val="lv-LV" w:eastAsia="lv-LV"/>
              </w:rPr>
            </w:pPr>
          </w:p>
        </w:tc>
        <w:tc>
          <w:tcPr>
            <w:tcW w:w="3260" w:type="dxa"/>
          </w:tcPr>
          <w:p w:rsidR="00F97EA7" w:rsidRPr="00F97EA7" w:rsidRDefault="00F97EA7" w:rsidP="00F97EA7">
            <w:pPr>
              <w:pStyle w:val="tv2132"/>
              <w:spacing w:line="240" w:lineRule="auto"/>
              <w:contextualSpacing/>
              <w:jc w:val="both"/>
              <w:rPr>
                <w:rFonts w:cstheme="minorBidi"/>
                <w:color w:val="auto"/>
                <w:sz w:val="22"/>
                <w:szCs w:val="22"/>
                <w:lang w:val="lv-LV"/>
              </w:rPr>
            </w:pPr>
            <w:r w:rsidRPr="00F97EA7">
              <w:rPr>
                <w:rFonts w:cstheme="minorBidi"/>
                <w:color w:val="auto"/>
                <w:sz w:val="22"/>
                <w:szCs w:val="22"/>
                <w:lang w:val="lv-LV"/>
              </w:rPr>
              <w:t xml:space="preserve">7.  Pasākuma ietvaros </w:t>
            </w:r>
            <w:r>
              <w:rPr>
                <w:rFonts w:cstheme="minorBidi"/>
                <w:color w:val="auto"/>
                <w:sz w:val="22"/>
                <w:szCs w:val="22"/>
                <w:lang w:val="lv-LV"/>
              </w:rPr>
              <w:t xml:space="preserve">augstskola </w:t>
            </w:r>
            <w:r w:rsidRPr="00F97EA7">
              <w:rPr>
                <w:rFonts w:cstheme="minorBidi"/>
                <w:color w:val="auto"/>
                <w:sz w:val="22"/>
                <w:szCs w:val="22"/>
                <w:lang w:val="lv-LV"/>
              </w:rPr>
              <w:t>īsteno projektu, kas nav saistīts ar saimnieciskās darbības veikšanu vai nav kvalificējams kā komercdarbības atbalsts, un tā maksimālā publiskā finansējuma intensitāte ir 100 procenti, ko veido:</w:t>
            </w:r>
          </w:p>
          <w:p w:rsidR="00F97EA7" w:rsidRPr="00F97EA7" w:rsidRDefault="00F97EA7" w:rsidP="00F97EA7">
            <w:pPr>
              <w:pStyle w:val="tv2132"/>
              <w:spacing w:line="240" w:lineRule="auto"/>
              <w:contextualSpacing/>
              <w:jc w:val="both"/>
              <w:rPr>
                <w:rFonts w:cstheme="minorBidi"/>
                <w:color w:val="auto"/>
                <w:sz w:val="22"/>
                <w:szCs w:val="22"/>
                <w:lang w:val="lv-LV"/>
              </w:rPr>
            </w:pPr>
            <w:r w:rsidRPr="00F97EA7">
              <w:rPr>
                <w:rFonts w:cstheme="minorBidi"/>
                <w:color w:val="auto"/>
                <w:sz w:val="22"/>
                <w:szCs w:val="22"/>
                <w:lang w:val="lv-LV"/>
              </w:rPr>
              <w:t>7.1. valsts budžeta atbalsta intensitāte – 15 procenti;</w:t>
            </w:r>
          </w:p>
          <w:p w:rsidR="00CD11FC" w:rsidRPr="0002494F" w:rsidRDefault="00F97EA7" w:rsidP="00F97EA7">
            <w:pPr>
              <w:pStyle w:val="tv2132"/>
              <w:spacing w:line="240" w:lineRule="auto"/>
              <w:ind w:firstLine="0"/>
              <w:contextualSpacing/>
              <w:jc w:val="both"/>
              <w:rPr>
                <w:rFonts w:cstheme="minorBidi"/>
                <w:color w:val="auto"/>
                <w:sz w:val="22"/>
                <w:szCs w:val="22"/>
                <w:lang w:val="lv-LV"/>
              </w:rPr>
            </w:pPr>
            <w:r w:rsidRPr="00F97EA7">
              <w:rPr>
                <w:rFonts w:cstheme="minorBidi"/>
                <w:color w:val="auto"/>
                <w:sz w:val="22"/>
                <w:szCs w:val="22"/>
                <w:lang w:val="lv-LV"/>
              </w:rPr>
              <w:t>7.2. Eiropas Sociālā fonda atbalsta intensitāte – 85 procenti.</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16.</w:t>
            </w:r>
          </w:p>
        </w:tc>
        <w:tc>
          <w:tcPr>
            <w:tcW w:w="2575" w:type="dxa"/>
            <w:shd w:val="clear" w:color="auto" w:fill="auto"/>
          </w:tcPr>
          <w:p w:rsidR="00CD11FC" w:rsidRPr="0002494F" w:rsidRDefault="00F04C81" w:rsidP="00CD11FC">
            <w:pPr>
              <w:pStyle w:val="tv2132"/>
              <w:spacing w:line="240" w:lineRule="auto"/>
              <w:ind w:firstLine="0"/>
              <w:contextualSpacing/>
              <w:jc w:val="both"/>
              <w:rPr>
                <w:rFonts w:cstheme="minorBidi"/>
                <w:color w:val="auto"/>
                <w:sz w:val="22"/>
                <w:szCs w:val="22"/>
                <w:lang w:val="lv-LV"/>
              </w:rPr>
            </w:pPr>
            <w:r w:rsidRPr="00F04C81">
              <w:rPr>
                <w:rFonts w:cstheme="minorBidi"/>
                <w:color w:val="auto"/>
                <w:sz w:val="22"/>
                <w:szCs w:val="22"/>
                <w:lang w:val="lv-LV"/>
              </w:rPr>
              <w:t>11. Projekta iesniedzējs pasākuma ietvaros var būt augstskola, kas pēc tam, kad ir noslēgta vienošanās vai līgums par projekta īstenošanu ar sadarbības iestādi un apstiprināts projekta iesniegums, ir arī Eiropas Sociālā fonda finansējuma saņēmējs</w:t>
            </w:r>
            <w:r>
              <w:rPr>
                <w:rFonts w:cstheme="minorBidi"/>
                <w:color w:val="auto"/>
                <w:sz w:val="22"/>
                <w:szCs w:val="22"/>
                <w:lang w:val="lv-LV"/>
              </w:rPr>
              <w:t>.</w:t>
            </w:r>
          </w:p>
        </w:tc>
        <w:tc>
          <w:tcPr>
            <w:tcW w:w="3969" w:type="dxa"/>
            <w:shd w:val="clear" w:color="auto" w:fill="auto"/>
          </w:tcPr>
          <w:p w:rsidR="00CD11FC" w:rsidRPr="0002494F" w:rsidRDefault="00CD11FC" w:rsidP="0002494F">
            <w:pPr>
              <w:spacing w:after="0" w:line="240" w:lineRule="auto"/>
              <w:rPr>
                <w:rFonts w:ascii="Times New Roman" w:hAnsi="Times New Roman" w:cs="Times New Roman"/>
                <w:b/>
              </w:rPr>
            </w:pPr>
            <w:r w:rsidRPr="0002494F">
              <w:rPr>
                <w:rFonts w:ascii="Times New Roman" w:hAnsi="Times New Roman" w:cs="Times New Roman"/>
                <w:b/>
              </w:rPr>
              <w:t>Finanšu ministrija (9.iebildums)</w:t>
            </w:r>
          </w:p>
          <w:p w:rsidR="00CD11FC" w:rsidRPr="0002494F" w:rsidRDefault="00CD11FC" w:rsidP="0002494F">
            <w:pPr>
              <w:spacing w:after="0" w:line="240" w:lineRule="auto"/>
              <w:jc w:val="both"/>
              <w:rPr>
                <w:rFonts w:ascii="Times New Roman" w:hAnsi="Times New Roman" w:cs="Times New Roman"/>
                <w:b/>
              </w:rPr>
            </w:pPr>
            <w:r w:rsidRPr="0002494F">
              <w:rPr>
                <w:rFonts w:ascii="Times New Roman" w:eastAsia="Times New Roman" w:hAnsi="Times New Roman" w:cs="Times New Roman"/>
                <w:lang w:val="lv-LV"/>
              </w:rPr>
              <w:t>Lūdzam precizēt noteikumu projekta 11.punktu, ņemot vērā, ka projekta iesniedzējs pēc tam, kad ir noslēgta vienošanās vai līgums par projekta īstenošanu ar sadarbības iestādi un apstiprināts projekta iesniegums, ir finansējuma saņēmējs</w:t>
            </w:r>
            <w:r w:rsidRPr="00F04C81">
              <w:rPr>
                <w:rFonts w:ascii="Times New Roman" w:eastAsia="Times New Roman" w:hAnsi="Times New Roman" w:cs="Times New Roman"/>
                <w:lang w:val="lv-LV"/>
              </w:rPr>
              <w:t xml:space="preserve">, kas saņem finansējumu no dažādiem finansējuma avotiem, ne tikai ESF finansējumu. Vēršam uzmanību, ka šobrīd noteikumu projektā netiek atrunāta kārtība, kādā tiek piešķirta valsts budžeta līdzfinansējuma </w:t>
            </w:r>
            <w:r w:rsidRPr="00F04C81">
              <w:rPr>
                <w:rFonts w:ascii="Times New Roman" w:eastAsia="Times New Roman" w:hAnsi="Times New Roman" w:cs="Times New Roman"/>
                <w:lang w:val="lv-LV"/>
              </w:rPr>
              <w:lastRenderedPageBreak/>
              <w:t xml:space="preserve">daļa. Ņemot </w:t>
            </w:r>
            <w:r w:rsidRPr="009131F5">
              <w:rPr>
                <w:rFonts w:ascii="Times New Roman" w:eastAsia="Times New Roman" w:hAnsi="Times New Roman" w:cs="Times New Roman"/>
                <w:lang w:val="lv-LV"/>
              </w:rPr>
              <w:t>vērā minēto, lūdzam attiecīgi papildināt noteikumu projektu un anotācijā sniegto informāciju vai precizēt noteikumu projekta 11.punkta redakciju, svītrojot vārdu salikumu “Eiropas Sociālā fonda”.</w:t>
            </w:r>
          </w:p>
        </w:tc>
        <w:tc>
          <w:tcPr>
            <w:tcW w:w="3119" w:type="dxa"/>
            <w:shd w:val="clear" w:color="auto" w:fill="auto"/>
          </w:tcPr>
          <w:p w:rsidR="00CD11FC" w:rsidRDefault="0002494F"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A40D1A" w:rsidRPr="0002494F" w:rsidRDefault="00A40D1A" w:rsidP="00F04C81">
            <w:pPr>
              <w:spacing w:after="0" w:line="240" w:lineRule="auto"/>
              <w:jc w:val="both"/>
              <w:rPr>
                <w:rFonts w:ascii="Times New Roman" w:eastAsia="Times New Roman" w:hAnsi="Times New Roman" w:cs="Times New Roman"/>
                <w:lang w:val="lv-LV" w:eastAsia="lv-LV"/>
              </w:rPr>
            </w:pPr>
          </w:p>
        </w:tc>
        <w:tc>
          <w:tcPr>
            <w:tcW w:w="3260" w:type="dxa"/>
          </w:tcPr>
          <w:p w:rsidR="00CD11FC" w:rsidRPr="0002494F" w:rsidRDefault="00F04C81" w:rsidP="00BB3BC5">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1</w:t>
            </w:r>
            <w:r w:rsidR="00BB3BC5">
              <w:rPr>
                <w:rFonts w:cstheme="minorBidi"/>
                <w:color w:val="auto"/>
                <w:sz w:val="22"/>
                <w:szCs w:val="22"/>
                <w:lang w:val="lv-LV"/>
              </w:rPr>
              <w:t>1</w:t>
            </w:r>
            <w:r>
              <w:rPr>
                <w:rFonts w:cstheme="minorBidi"/>
                <w:color w:val="auto"/>
                <w:sz w:val="22"/>
                <w:szCs w:val="22"/>
                <w:lang w:val="lv-LV"/>
              </w:rPr>
              <w:t>.</w:t>
            </w:r>
            <w:r w:rsidRPr="00F04C81">
              <w:rPr>
                <w:rFonts w:cstheme="minorBidi"/>
                <w:color w:val="auto"/>
                <w:sz w:val="22"/>
                <w:szCs w:val="22"/>
                <w:lang w:val="lv-LV"/>
              </w:rPr>
              <w:t xml:space="preserve"> Projekta iesniedzējs pasākuma ietvaros var būt augstskola, kas pēc tam, kad ir noslēgta vienošanās vai līgums par projekta īstenošanu ar sadarbības iestādi un apstiprināts projekta iesniegums, ir arī finansējuma saņēmējs</w:t>
            </w:r>
            <w:r w:rsidR="00BB3BC5">
              <w:rPr>
                <w:rFonts w:cstheme="minorBidi"/>
                <w:color w:val="auto"/>
                <w:sz w:val="22"/>
                <w:szCs w:val="22"/>
                <w:lang w:val="lv-LV"/>
              </w:rPr>
              <w:t>.</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17.</w:t>
            </w:r>
          </w:p>
        </w:tc>
        <w:tc>
          <w:tcPr>
            <w:tcW w:w="2575" w:type="dxa"/>
            <w:shd w:val="clear" w:color="auto" w:fill="auto"/>
          </w:tcPr>
          <w:p w:rsidR="00CD11FC" w:rsidRPr="0002494F" w:rsidRDefault="005C513E" w:rsidP="008857B7">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12</w:t>
            </w:r>
            <w:r w:rsidR="008857B7">
              <w:rPr>
                <w:rFonts w:cstheme="minorBidi"/>
                <w:color w:val="auto"/>
                <w:sz w:val="22"/>
                <w:szCs w:val="22"/>
                <w:lang w:val="lv-LV"/>
              </w:rPr>
              <w:t>.</w:t>
            </w:r>
            <w:r>
              <w:rPr>
                <w:rFonts w:cstheme="minorBidi"/>
                <w:color w:val="auto"/>
                <w:sz w:val="22"/>
                <w:szCs w:val="22"/>
                <w:lang w:val="lv-LV"/>
              </w:rPr>
              <w:t xml:space="preserve"> </w:t>
            </w:r>
            <w:r w:rsidRPr="005C513E">
              <w:rPr>
                <w:rFonts w:cstheme="minorBidi"/>
                <w:color w:val="auto"/>
                <w:sz w:val="22"/>
                <w:szCs w:val="22"/>
                <w:lang w:val="lv-LV"/>
              </w:rPr>
              <w:t xml:space="preserve">Projekta iesniedzējs projekta iesniegumu iesniedz un projektu īsteno ar vismaz </w:t>
            </w:r>
            <w:r>
              <w:rPr>
                <w:rFonts w:cstheme="minorBidi"/>
                <w:color w:val="auto"/>
                <w:sz w:val="22"/>
                <w:szCs w:val="22"/>
                <w:lang w:val="lv-LV"/>
              </w:rPr>
              <w:t>diviem</w:t>
            </w:r>
            <w:r w:rsidRPr="005C513E">
              <w:rPr>
                <w:rFonts w:cstheme="minorBidi"/>
                <w:color w:val="auto"/>
                <w:sz w:val="22"/>
                <w:szCs w:val="22"/>
                <w:lang w:val="lv-LV"/>
              </w:rPr>
              <w:t xml:space="preserve"> sadarbības partneri</w:t>
            </w:r>
            <w:r>
              <w:rPr>
                <w:rFonts w:cstheme="minorBidi"/>
                <w:color w:val="auto"/>
                <w:sz w:val="22"/>
                <w:szCs w:val="22"/>
                <w:lang w:val="lv-LV"/>
              </w:rPr>
              <w:t>em</w:t>
            </w:r>
            <w:r w:rsidRPr="005C513E">
              <w:rPr>
                <w:rFonts w:cstheme="minorBidi"/>
                <w:color w:val="auto"/>
                <w:sz w:val="22"/>
                <w:szCs w:val="22"/>
                <w:lang w:val="lv-LV"/>
              </w:rPr>
              <w:t xml:space="preserve"> – augstskol</w:t>
            </w:r>
            <w:r>
              <w:rPr>
                <w:rFonts w:cstheme="minorBidi"/>
                <w:color w:val="auto"/>
                <w:sz w:val="22"/>
                <w:szCs w:val="22"/>
                <w:lang w:val="lv-LV"/>
              </w:rPr>
              <w:t>ām</w:t>
            </w:r>
            <w:r w:rsidRPr="005C513E">
              <w:rPr>
                <w:rFonts w:cstheme="minorBidi"/>
                <w:color w:val="auto"/>
                <w:sz w:val="22"/>
                <w:szCs w:val="22"/>
                <w:lang w:val="lv-LV"/>
              </w:rPr>
              <w:t>, projekta iesniegumā pamatojot t</w:t>
            </w:r>
            <w:r w:rsidR="008857B7">
              <w:rPr>
                <w:rFonts w:cstheme="minorBidi"/>
                <w:color w:val="auto"/>
                <w:sz w:val="22"/>
                <w:szCs w:val="22"/>
                <w:lang w:val="lv-LV"/>
              </w:rPr>
              <w:t>o</w:t>
            </w:r>
            <w:r w:rsidRPr="005C513E">
              <w:rPr>
                <w:rFonts w:cstheme="minorBidi"/>
                <w:color w:val="auto"/>
                <w:sz w:val="22"/>
                <w:szCs w:val="22"/>
                <w:lang w:val="lv-LV"/>
              </w:rPr>
              <w:t xml:space="preserve"> izvēli, nepieciešamību un norādot tās iesaisti atbalstāmo darbību īstenošanā. Projekta iesniedzējs projektu var īstenot arī ar vairākiem sadarbības partneriem, tai skaitā zinātniskajām institūcijām un citām privātajām vai publiskajām organizācijām</w:t>
            </w:r>
            <w:r w:rsidR="0030605A">
              <w:rPr>
                <w:rFonts w:cstheme="minorBidi"/>
                <w:color w:val="auto"/>
                <w:sz w:val="22"/>
                <w:szCs w:val="22"/>
                <w:lang w:val="lv-LV"/>
              </w:rPr>
              <w:t>.</w:t>
            </w:r>
          </w:p>
        </w:tc>
        <w:tc>
          <w:tcPr>
            <w:tcW w:w="3969" w:type="dxa"/>
            <w:shd w:val="clear" w:color="auto" w:fill="auto"/>
          </w:tcPr>
          <w:p w:rsidR="00CD11FC" w:rsidRPr="0002494F" w:rsidRDefault="00CD11FC" w:rsidP="0002494F">
            <w:pPr>
              <w:spacing w:after="0" w:line="240" w:lineRule="auto"/>
              <w:jc w:val="both"/>
              <w:rPr>
                <w:rFonts w:ascii="Times New Roman" w:eastAsia="Times New Roman" w:hAnsi="Times New Roman" w:cs="Times New Roman"/>
                <w:b/>
                <w:lang w:val="lv-LV"/>
              </w:rPr>
            </w:pPr>
            <w:r w:rsidRPr="0002494F">
              <w:rPr>
                <w:rFonts w:ascii="Times New Roman" w:eastAsia="Times New Roman" w:hAnsi="Times New Roman" w:cs="Times New Roman"/>
                <w:b/>
                <w:lang w:val="lv-LV"/>
              </w:rPr>
              <w:t>Finanšu ministrija (10.iebildums)</w:t>
            </w:r>
          </w:p>
          <w:p w:rsidR="00CD11FC" w:rsidRPr="0002494F" w:rsidRDefault="00A50824" w:rsidP="0002494F">
            <w:pPr>
              <w:spacing w:after="0" w:line="240" w:lineRule="auto"/>
              <w:jc w:val="both"/>
              <w:rPr>
                <w:rFonts w:ascii="Times New Roman" w:hAnsi="Times New Roman" w:cs="Times New Roman"/>
                <w:b/>
              </w:rPr>
            </w:pPr>
            <w:r>
              <w:rPr>
                <w:rFonts w:ascii="Times New Roman" w:eastAsia="Times New Roman" w:hAnsi="Times New Roman" w:cs="Times New Roman"/>
                <w:lang w:val="lv-LV"/>
              </w:rPr>
              <w:t xml:space="preserve">1) </w:t>
            </w:r>
            <w:r w:rsidR="00CD11FC" w:rsidRPr="0002494F">
              <w:rPr>
                <w:rFonts w:ascii="Times New Roman" w:eastAsia="Times New Roman" w:hAnsi="Times New Roman" w:cs="Times New Roman"/>
                <w:lang w:val="lv-LV"/>
              </w:rPr>
              <w:t xml:space="preserve">Lai izvairītos no iespējamās interpretācijas, lūdzam precizēt noteikumu projekta 12.punkta redakciju, skaidri norādot obligāto partnerību un finansējuma saņēmēja brīvo izvēli attiecībā uz partneriem. </w:t>
            </w:r>
            <w:r>
              <w:rPr>
                <w:rFonts w:ascii="Times New Roman" w:eastAsia="Times New Roman" w:hAnsi="Times New Roman" w:cs="Times New Roman"/>
                <w:lang w:val="lv-LV"/>
              </w:rPr>
              <w:t xml:space="preserve">2) </w:t>
            </w:r>
            <w:r w:rsidR="00CD11FC" w:rsidRPr="0002494F">
              <w:rPr>
                <w:rFonts w:ascii="Times New Roman" w:eastAsia="Times New Roman" w:hAnsi="Times New Roman" w:cs="Times New Roman"/>
                <w:lang w:val="lv-LV"/>
              </w:rPr>
              <w:t xml:space="preserve">Kā arī lūdzam skaidrot, vai partnerība ir vērtējama 8.2.3.specifiskā atbalsta mērķa “Nodrošināt labāku pārvaldību augstākās izglītības institūcijās” (turpmāk – 8.2.3.SAM) otrās projektu iesniegumu atlases kārtas ietvaros plānotās augstākās izglītības iestāžu konsolidācijas kontekstā.  </w:t>
            </w:r>
            <w:r>
              <w:rPr>
                <w:rFonts w:ascii="Times New Roman" w:eastAsia="Times New Roman" w:hAnsi="Times New Roman" w:cs="Times New Roman"/>
                <w:lang w:val="lv-LV"/>
              </w:rPr>
              <w:t xml:space="preserve">3) </w:t>
            </w:r>
            <w:r w:rsidR="00CD11FC" w:rsidRPr="0002494F">
              <w:rPr>
                <w:rFonts w:ascii="Times New Roman" w:eastAsia="Times New Roman" w:hAnsi="Times New Roman" w:cs="Times New Roman"/>
                <w:lang w:val="lv-LV"/>
              </w:rPr>
              <w:t>Vienlaikus, ņemot vērā noteikumu projekta 12.punktā ietvertos nosacījumus, var gadīties, ka viena un tā pati augstskola 14.1.1.1.pasākuma ietvaros tiek iesaistīta vairākos projektos kā finansējuma saņēmējs un  kā sadarbības partneris. Lūdzam aprakstīt anotācijā šādā gadījumā plānoto ieviešanas shēmu un 14.1.1.1.pasākuma ietvaros īstenojamo projektu savstarpējo koordināciju/papildinātību, kā arī, kā plānots nodrošināt lietderīgu izmaksu izlietojumu attiecībā uz projekta vadības/īstenošanas izmaksām, piemēram, komandējumu, darba vietas nodrošinājuma u.c. gadījumā</w:t>
            </w:r>
            <w:r w:rsidR="0002494F">
              <w:rPr>
                <w:rFonts w:ascii="Times New Roman" w:eastAsia="Times New Roman" w:hAnsi="Times New Roman" w:cs="Times New Roman"/>
                <w:lang w:val="lv-LV"/>
              </w:rPr>
              <w:t>.</w:t>
            </w:r>
          </w:p>
        </w:tc>
        <w:tc>
          <w:tcPr>
            <w:tcW w:w="3119" w:type="dxa"/>
            <w:shd w:val="clear" w:color="auto" w:fill="auto"/>
          </w:tcPr>
          <w:p w:rsidR="00A50824" w:rsidRPr="00A50824" w:rsidRDefault="00A50824" w:rsidP="00335544">
            <w:pPr>
              <w:spacing w:after="0" w:line="240" w:lineRule="auto"/>
              <w:jc w:val="both"/>
              <w:rPr>
                <w:rFonts w:ascii="Times New Roman" w:eastAsia="Times New Roman" w:hAnsi="Times New Roman" w:cs="Times New Roman"/>
                <w:b/>
                <w:lang w:val="lv-LV" w:eastAsia="lv-LV"/>
              </w:rPr>
            </w:pPr>
            <w:r w:rsidRPr="00A50824">
              <w:rPr>
                <w:rFonts w:ascii="Times New Roman" w:eastAsia="Times New Roman" w:hAnsi="Times New Roman" w:cs="Times New Roman"/>
                <w:b/>
                <w:lang w:val="lv-LV" w:eastAsia="lv-LV"/>
              </w:rPr>
              <w:t>Ņemts vērā</w:t>
            </w:r>
          </w:p>
          <w:p w:rsidR="00A50824" w:rsidRDefault="00A50824" w:rsidP="00335544">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1)</w:t>
            </w:r>
            <w:r w:rsidR="00C4316A">
              <w:rPr>
                <w:rFonts w:ascii="Times New Roman" w:eastAsia="Times New Roman" w:hAnsi="Times New Roman" w:cs="Times New Roman"/>
                <w:lang w:val="lv-LV" w:eastAsia="lv-LV"/>
              </w:rPr>
              <w:t xml:space="preserve"> Noteikumu projekta 12. punkts ir preciz</w:t>
            </w:r>
            <w:r w:rsidR="00F54940">
              <w:rPr>
                <w:rFonts w:ascii="Times New Roman" w:eastAsia="Times New Roman" w:hAnsi="Times New Roman" w:cs="Times New Roman"/>
                <w:lang w:val="lv-LV" w:eastAsia="lv-LV"/>
              </w:rPr>
              <w:t>ēts, kā arī papildināts ar ārvalstu augstskolām kā iespējamiem sadarbības partneriem</w:t>
            </w:r>
            <w:r w:rsidR="00912FFA">
              <w:rPr>
                <w:rFonts w:ascii="Times New Roman" w:eastAsia="Times New Roman" w:hAnsi="Times New Roman" w:cs="Times New Roman"/>
                <w:lang w:val="lv-LV" w:eastAsia="lv-LV"/>
              </w:rPr>
              <w:t>, lai neizslēgtu iespēju arī tās piesaistīt kā sadarbības partnerus (</w:t>
            </w:r>
            <w:r w:rsidR="000C4902">
              <w:rPr>
                <w:rFonts w:ascii="Times New Roman" w:eastAsia="Times New Roman" w:hAnsi="Times New Roman" w:cs="Times New Roman"/>
                <w:lang w:val="lv-LV" w:eastAsia="lv-LV"/>
              </w:rPr>
              <w:t>noteikumu projekta 2.1. punktā ir skaidrots termins „augstskola” uz to attiecinot tika</w:t>
            </w:r>
            <w:r w:rsidR="00912FFA">
              <w:rPr>
                <w:rFonts w:ascii="Times New Roman" w:eastAsia="Times New Roman" w:hAnsi="Times New Roman" w:cs="Times New Roman"/>
                <w:lang w:val="lv-LV" w:eastAsia="lv-LV"/>
              </w:rPr>
              <w:t>i</w:t>
            </w:r>
            <w:r w:rsidR="000C4902">
              <w:rPr>
                <w:rFonts w:ascii="Times New Roman" w:eastAsia="Times New Roman" w:hAnsi="Times New Roman" w:cs="Times New Roman"/>
                <w:lang w:val="lv-LV" w:eastAsia="lv-LV"/>
              </w:rPr>
              <w:t xml:space="preserve"> Latvijas Republikā reģistrētas un akreditētas augstskolas</w:t>
            </w:r>
            <w:r w:rsidR="00912FFA">
              <w:rPr>
                <w:rFonts w:ascii="Times New Roman" w:eastAsia="Times New Roman" w:hAnsi="Times New Roman" w:cs="Times New Roman"/>
                <w:lang w:val="lv-LV" w:eastAsia="lv-LV"/>
              </w:rPr>
              <w:t xml:space="preserve">); </w:t>
            </w:r>
          </w:p>
          <w:p w:rsidR="00684905" w:rsidRPr="00684905" w:rsidRDefault="00A50824" w:rsidP="0068490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2)</w:t>
            </w:r>
            <w:r w:rsidR="00EC61AF">
              <w:rPr>
                <w:rFonts w:ascii="Times New Roman" w:eastAsia="Times New Roman" w:hAnsi="Times New Roman" w:cs="Times New Roman"/>
                <w:lang w:val="lv-LV" w:eastAsia="lv-LV"/>
              </w:rPr>
              <w:t xml:space="preserve"> </w:t>
            </w:r>
            <w:r w:rsidR="00684905">
              <w:t xml:space="preserve"> </w:t>
            </w:r>
            <w:r w:rsidR="00684905" w:rsidRPr="00684905">
              <w:rPr>
                <w:rFonts w:ascii="Times New Roman" w:eastAsia="Times New Roman" w:hAnsi="Times New Roman" w:cs="Times New Roman"/>
                <w:lang w:val="lv-LV" w:eastAsia="lv-LV"/>
              </w:rPr>
              <w:t xml:space="preserve">14.1.1.1. pasākumā  plānotā augstskolu partnerība nav tiešā veidā saistāma ar plānoto augstskolu konsolidāciju.  Skaidrojam, ka 14.1.1.1. pasākuma īstenošana ir jāuzsāk pēc iespējas ātrāk, jo projektus īsteno līdz 2023. gada beigām, savukārt konsolidācijas plāni tiks saskaņoti  indikatīvi līdz 2023. gada 2. ceturksnim. Līdz ar to nav iespējams 14.1.1.1. SAM pasākuma īstenošanu uzsākt tikai tad, kad būs saskaņoti augstskolu konsolidācijas plāni.  Primāri 14.1.1.1. pasākuma projektos sadarbības partneri varētu būt tie, ar kuriem nākotnē plānota konsolidācija, tomēr tas nav noteicošais faktors. Uz </w:t>
            </w:r>
            <w:r w:rsidR="00684905" w:rsidRPr="00684905">
              <w:rPr>
                <w:rFonts w:ascii="Times New Roman" w:eastAsia="Times New Roman" w:hAnsi="Times New Roman" w:cs="Times New Roman"/>
                <w:lang w:val="lv-LV" w:eastAsia="lv-LV"/>
              </w:rPr>
              <w:lastRenderedPageBreak/>
              <w:t xml:space="preserve">digitalizācijas iespējām jāskatās plašāk, nekā tikai konsolidācijas ietvarā (konsolidācijas rezultātā neveidosies noslēgtas sistēmas), ir jāsadarbojas arī ar citām augstskolām, ja tas ir lietderīgi. Konsolidācijas process tiks uzsākts pakāpeniski un turpināsies indikatīvi līdz 2026. gadam. Tas, ka šobrīd vēl nav skaidrs, kāds būs konsolidācijas ietvars, neierobežo augstskolu iespējas izlemt, </w:t>
            </w:r>
            <w:r w:rsidR="009035A9">
              <w:t xml:space="preserve"> </w:t>
            </w:r>
            <w:r w:rsidR="009035A9" w:rsidRPr="009035A9">
              <w:rPr>
                <w:rFonts w:ascii="Times New Roman" w:eastAsia="Times New Roman" w:hAnsi="Times New Roman" w:cs="Times New Roman"/>
                <w:lang w:val="lv-LV" w:eastAsia="lv-LV"/>
              </w:rPr>
              <w:t>kāda sadarbība ar kurām augstskolām studiju satura pilnveidē un iespējamo  koplietošanas</w:t>
            </w:r>
            <w:r w:rsidR="009035A9">
              <w:rPr>
                <w:rFonts w:ascii="Times New Roman" w:eastAsia="Times New Roman" w:hAnsi="Times New Roman" w:cs="Times New Roman"/>
                <w:lang w:val="lv-LV" w:eastAsia="lv-LV"/>
              </w:rPr>
              <w:t xml:space="preserve"> </w:t>
            </w:r>
            <w:r w:rsidR="009035A9" w:rsidRPr="009035A9">
              <w:rPr>
                <w:rFonts w:ascii="Times New Roman" w:eastAsia="Times New Roman" w:hAnsi="Times New Roman" w:cs="Times New Roman"/>
                <w:lang w:val="lv-LV" w:eastAsia="lv-LV"/>
              </w:rPr>
              <w:t xml:space="preserve">risinājumu ieviešanā  būtu lietderīga un jēgpilna </w:t>
            </w:r>
            <w:r w:rsidR="009035A9">
              <w:t xml:space="preserve"> </w:t>
            </w:r>
            <w:r w:rsidR="00684905" w:rsidRPr="00684905">
              <w:rPr>
                <w:rFonts w:ascii="Times New Roman" w:eastAsia="Times New Roman" w:hAnsi="Times New Roman" w:cs="Times New Roman"/>
                <w:lang w:val="lv-LV" w:eastAsia="lv-LV"/>
              </w:rPr>
              <w:t xml:space="preserve">Tas neierobežos iespējas projektā </w:t>
            </w:r>
            <w:r w:rsidR="00684905" w:rsidRPr="009035A9">
              <w:rPr>
                <w:rFonts w:ascii="Times New Roman" w:eastAsia="Times New Roman" w:hAnsi="Times New Roman" w:cs="Times New Roman"/>
                <w:lang w:val="lv-LV" w:eastAsia="lv-LV"/>
              </w:rPr>
              <w:t>ieviest</w:t>
            </w:r>
            <w:r w:rsidR="005E49EB" w:rsidRPr="009035A9">
              <w:rPr>
                <w:rFonts w:ascii="Times New Roman" w:eastAsia="Times New Roman" w:hAnsi="Times New Roman" w:cs="Times New Roman"/>
                <w:lang w:val="lv-LV" w:eastAsia="lv-LV"/>
              </w:rPr>
              <w:t>ās digitālās iniciatīvas</w:t>
            </w:r>
            <w:r w:rsidR="00684905" w:rsidRPr="00684905">
              <w:rPr>
                <w:rFonts w:ascii="Times New Roman" w:eastAsia="Times New Roman" w:hAnsi="Times New Roman" w:cs="Times New Roman"/>
                <w:lang w:val="lv-LV" w:eastAsia="lv-LV"/>
              </w:rPr>
              <w:t xml:space="preserve"> turpināt izmantot arī pēc konsolidācijas procesa noslēguma, neatkarīgi no tā, kāds būs konsolidācijas ietvars. </w:t>
            </w:r>
          </w:p>
          <w:p w:rsidR="00CD11FC" w:rsidRDefault="00684905" w:rsidP="00684905">
            <w:pPr>
              <w:spacing w:after="0" w:line="240" w:lineRule="auto"/>
              <w:jc w:val="both"/>
              <w:rPr>
                <w:rFonts w:ascii="Times New Roman" w:eastAsia="Times New Roman" w:hAnsi="Times New Roman" w:cs="Times New Roman"/>
                <w:b/>
                <w:lang w:val="lv-LV" w:eastAsia="lv-LV"/>
              </w:rPr>
            </w:pPr>
            <w:r w:rsidRPr="00684905">
              <w:rPr>
                <w:rFonts w:ascii="Times New Roman" w:eastAsia="Times New Roman" w:hAnsi="Times New Roman" w:cs="Times New Roman"/>
                <w:lang w:val="lv-LV" w:eastAsia="lv-LV"/>
              </w:rPr>
              <w:t>Papildus vēršam uzmanību, ka saskaņā ar precizēto 8.2.3. SAM otrās kārtas MK noteikumu projektu, tās ietvaros valsts augstskolas izstrādās attīstības stratēģijas, savukārt konsolidācijas plāni tiks izstrādāti ANM investīciju ietvaros.</w:t>
            </w:r>
          </w:p>
          <w:p w:rsidR="00A50824" w:rsidRPr="00A50824" w:rsidRDefault="00E80F6B" w:rsidP="00E80F6B">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3)</w:t>
            </w:r>
            <w:r w:rsidR="00A50824" w:rsidRPr="00B81E5C">
              <w:rPr>
                <w:rFonts w:ascii="Times New Roman" w:eastAsia="Times New Roman" w:hAnsi="Times New Roman" w:cs="Times New Roman"/>
                <w:lang w:val="lv-LV" w:eastAsia="lv-LV"/>
              </w:rPr>
              <w:t xml:space="preserve"> </w:t>
            </w:r>
            <w:r w:rsidR="00690D29" w:rsidRPr="00B81E5C">
              <w:rPr>
                <w:rFonts w:ascii="Times New Roman" w:eastAsia="Times New Roman" w:hAnsi="Times New Roman" w:cs="Times New Roman"/>
                <w:lang w:val="lv-LV" w:eastAsia="lv-LV"/>
              </w:rPr>
              <w:t xml:space="preserve">Skaidrojam, ka projektu iesniegumu vērtēšanas kritēriji ir papildināti ar </w:t>
            </w:r>
            <w:r w:rsidR="00B81E5C" w:rsidRPr="00B81E5C">
              <w:rPr>
                <w:rFonts w:ascii="Times New Roman" w:eastAsia="Times New Roman" w:hAnsi="Times New Roman" w:cs="Times New Roman"/>
                <w:lang w:val="lv-LV" w:eastAsia="lv-LV"/>
              </w:rPr>
              <w:t>jaunu</w:t>
            </w:r>
            <w:r w:rsidR="00690D29" w:rsidRPr="00B81E5C">
              <w:rPr>
                <w:rFonts w:ascii="Times New Roman" w:eastAsia="Times New Roman" w:hAnsi="Times New Roman" w:cs="Times New Roman"/>
                <w:lang w:val="lv-LV" w:eastAsia="lv-LV"/>
              </w:rPr>
              <w:t xml:space="preserve"> s</w:t>
            </w:r>
            <w:r w:rsidR="00B81E5C" w:rsidRPr="00B81E5C">
              <w:rPr>
                <w:rFonts w:ascii="Times New Roman" w:eastAsia="Times New Roman" w:hAnsi="Times New Roman" w:cs="Times New Roman"/>
                <w:lang w:val="lv-LV" w:eastAsia="lv-LV"/>
              </w:rPr>
              <w:t>pecifisko atbilstības kritēriju,</w:t>
            </w:r>
            <w:r w:rsidR="00690D29" w:rsidRPr="00B81E5C">
              <w:rPr>
                <w:rFonts w:ascii="Times New Roman" w:eastAsia="Times New Roman" w:hAnsi="Times New Roman" w:cs="Times New Roman"/>
                <w:lang w:val="lv-LV" w:eastAsia="lv-LV"/>
              </w:rPr>
              <w:t xml:space="preserve"> kas nosaka</w:t>
            </w:r>
            <w:r w:rsidR="002A4399" w:rsidRPr="00B81E5C">
              <w:rPr>
                <w:rFonts w:ascii="Times New Roman" w:eastAsia="Times New Roman" w:hAnsi="Times New Roman" w:cs="Times New Roman"/>
                <w:lang w:val="lv-LV" w:eastAsia="lv-LV"/>
              </w:rPr>
              <w:t>, ka p</w:t>
            </w:r>
            <w:r w:rsidR="00690D29" w:rsidRPr="00B81E5C">
              <w:rPr>
                <w:rFonts w:ascii="Times New Roman" w:eastAsia="Times New Roman" w:hAnsi="Times New Roman" w:cs="Times New Roman"/>
                <w:lang w:val="lv-LV" w:eastAsia="lv-LV"/>
              </w:rPr>
              <w:t xml:space="preserve">rojekta iesniegumā ir </w:t>
            </w:r>
            <w:r w:rsidR="00690D29" w:rsidRPr="00B81E5C">
              <w:rPr>
                <w:rFonts w:ascii="Times New Roman" w:eastAsia="Times New Roman" w:hAnsi="Times New Roman" w:cs="Times New Roman"/>
                <w:lang w:val="lv-LV" w:eastAsia="lv-LV"/>
              </w:rPr>
              <w:lastRenderedPageBreak/>
              <w:t xml:space="preserve">pamatota plānoto darbību </w:t>
            </w:r>
            <w:r w:rsidR="00B81E5C" w:rsidRPr="00B81E5C">
              <w:rPr>
                <w:rFonts w:ascii="Times New Roman" w:eastAsia="Times New Roman" w:hAnsi="Times New Roman" w:cs="Times New Roman"/>
                <w:lang w:val="lv-LV" w:eastAsia="lv-LV"/>
              </w:rPr>
              <w:t xml:space="preserve">saturiska </w:t>
            </w:r>
            <w:r w:rsidR="00690D29" w:rsidRPr="00B81E5C">
              <w:rPr>
                <w:rFonts w:ascii="Times New Roman" w:eastAsia="Times New Roman" w:hAnsi="Times New Roman" w:cs="Times New Roman"/>
                <w:lang w:val="lv-LV" w:eastAsia="lv-LV"/>
              </w:rPr>
              <w:t>nepārklāšanās ar citu 14.1.1.1. pasākuma</w:t>
            </w:r>
            <w:r w:rsidR="00690D29" w:rsidRPr="00690D29">
              <w:rPr>
                <w:rFonts w:ascii="Times New Roman" w:eastAsia="Times New Roman" w:hAnsi="Times New Roman" w:cs="Times New Roman"/>
                <w:lang w:val="lv-LV" w:eastAsia="lv-LV"/>
              </w:rPr>
              <w:t xml:space="preserve"> potenciālo projektu plānotajām darbībām, ja  projekta iesniedzējs un sadarbības partneris  plāno piedalīties citos 14.1.1.1. pasākuma projektos.   Projekta iesniegumā ir pamatots, kā projekta iesniedzējs un sadarbības partneris nodrošinās lietderīgu izmaksu izlietojumu un koordināciju ar citiem 14.1.1.1. pasākuma potenciālajiem projektiem, kuros projekta iesniedzējs vai sadarbības partneris plāno piedalīties</w:t>
            </w:r>
            <w:r w:rsidR="002A4399">
              <w:rPr>
                <w:rFonts w:ascii="Times New Roman" w:eastAsia="Times New Roman" w:hAnsi="Times New Roman" w:cs="Times New Roman"/>
                <w:lang w:val="lv-LV" w:eastAsia="lv-LV"/>
              </w:rPr>
              <w:t xml:space="preserve">. </w:t>
            </w:r>
          </w:p>
        </w:tc>
        <w:tc>
          <w:tcPr>
            <w:tcW w:w="3260" w:type="dxa"/>
          </w:tcPr>
          <w:p w:rsidR="008857B7" w:rsidRDefault="008857B7" w:rsidP="00CD11FC">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lastRenderedPageBreak/>
              <w:t>1</w:t>
            </w:r>
            <w:r w:rsidR="00C4316A">
              <w:rPr>
                <w:rFonts w:cstheme="minorBidi"/>
                <w:color w:val="auto"/>
                <w:sz w:val="22"/>
                <w:szCs w:val="22"/>
                <w:lang w:val="lv-LV"/>
              </w:rPr>
              <w:t>2</w:t>
            </w:r>
            <w:r>
              <w:rPr>
                <w:rFonts w:cstheme="minorBidi"/>
                <w:color w:val="auto"/>
                <w:sz w:val="22"/>
                <w:szCs w:val="22"/>
                <w:lang w:val="lv-LV"/>
              </w:rPr>
              <w:t xml:space="preserve">. </w:t>
            </w:r>
            <w:r w:rsidRPr="008857B7">
              <w:rPr>
                <w:rFonts w:cstheme="minorBidi"/>
                <w:color w:val="auto"/>
                <w:sz w:val="22"/>
                <w:szCs w:val="22"/>
                <w:lang w:val="lv-LV"/>
              </w:rPr>
              <w:t xml:space="preserve">Projekta iesniedzējs projekta iesniegumu iesniedz un projektu īsteno ar vismaz </w:t>
            </w:r>
            <w:r w:rsidR="005E49EB" w:rsidRPr="00C4316A">
              <w:rPr>
                <w:rFonts w:cstheme="minorBidi"/>
                <w:color w:val="auto"/>
                <w:sz w:val="22"/>
                <w:szCs w:val="22"/>
                <w:lang w:val="lv-LV"/>
              </w:rPr>
              <w:t>diviem</w:t>
            </w:r>
            <w:r w:rsidRPr="00C4316A">
              <w:rPr>
                <w:rFonts w:cstheme="minorBidi"/>
                <w:color w:val="auto"/>
                <w:sz w:val="22"/>
                <w:szCs w:val="22"/>
                <w:lang w:val="lv-LV"/>
              </w:rPr>
              <w:t xml:space="preserve"> sadarbības partneri</w:t>
            </w:r>
            <w:r w:rsidR="005E49EB" w:rsidRPr="00C4316A">
              <w:rPr>
                <w:rFonts w:cstheme="minorBidi"/>
                <w:color w:val="auto"/>
                <w:sz w:val="22"/>
                <w:szCs w:val="22"/>
                <w:lang w:val="lv-LV"/>
              </w:rPr>
              <w:t>em</w:t>
            </w:r>
            <w:r w:rsidRPr="00C4316A">
              <w:rPr>
                <w:rFonts w:cstheme="minorBidi"/>
                <w:color w:val="auto"/>
                <w:sz w:val="22"/>
                <w:szCs w:val="22"/>
                <w:lang w:val="lv-LV"/>
              </w:rPr>
              <w:t xml:space="preserve"> – aug</w:t>
            </w:r>
            <w:r w:rsidRPr="008857B7">
              <w:rPr>
                <w:rFonts w:cstheme="minorBidi"/>
                <w:color w:val="auto"/>
                <w:sz w:val="22"/>
                <w:szCs w:val="22"/>
                <w:lang w:val="lv-LV"/>
              </w:rPr>
              <w:t>stskol</w:t>
            </w:r>
            <w:r w:rsidR="001506F3">
              <w:rPr>
                <w:rFonts w:cstheme="minorBidi"/>
                <w:color w:val="auto"/>
                <w:sz w:val="22"/>
                <w:szCs w:val="22"/>
                <w:lang w:val="lv-LV"/>
              </w:rPr>
              <w:t>ām</w:t>
            </w:r>
            <w:r w:rsidRPr="008857B7">
              <w:rPr>
                <w:rFonts w:cstheme="minorBidi"/>
                <w:color w:val="auto"/>
                <w:sz w:val="22"/>
                <w:szCs w:val="22"/>
                <w:lang w:val="lv-LV"/>
              </w:rPr>
              <w:t>, projekta iesniegumā pamatojot tā</w:t>
            </w:r>
            <w:r>
              <w:rPr>
                <w:rFonts w:cstheme="minorBidi"/>
                <w:color w:val="auto"/>
                <w:sz w:val="22"/>
                <w:szCs w:val="22"/>
                <w:lang w:val="lv-LV"/>
              </w:rPr>
              <w:t>s</w:t>
            </w:r>
            <w:r w:rsidRPr="008857B7">
              <w:rPr>
                <w:rFonts w:cstheme="minorBidi"/>
                <w:color w:val="auto"/>
                <w:sz w:val="22"/>
                <w:szCs w:val="22"/>
                <w:lang w:val="lv-LV"/>
              </w:rPr>
              <w:t xml:space="preserve"> izvēli, nepieciešamību un norādot tās iesaisti atbalstāmo darbību īstenošanā. </w:t>
            </w:r>
            <w:r w:rsidR="001506F3">
              <w:rPr>
                <w:rFonts w:cstheme="minorBidi"/>
                <w:b/>
                <w:color w:val="auto"/>
                <w:sz w:val="22"/>
                <w:szCs w:val="22"/>
                <w:lang w:val="lv-LV"/>
              </w:rPr>
              <w:t>P</w:t>
            </w:r>
            <w:r w:rsidR="005E49EB" w:rsidRPr="00C4316A">
              <w:rPr>
                <w:rFonts w:cstheme="minorBidi"/>
                <w:b/>
                <w:color w:val="auto"/>
                <w:sz w:val="22"/>
                <w:szCs w:val="22"/>
                <w:lang w:val="lv-LV"/>
              </w:rPr>
              <w:t>apildu obligātajiem diviem sadarbības partneriem</w:t>
            </w:r>
            <w:r w:rsidR="005E49EB">
              <w:rPr>
                <w:rFonts w:cstheme="minorBidi"/>
                <w:color w:val="auto"/>
                <w:sz w:val="22"/>
                <w:szCs w:val="22"/>
                <w:lang w:val="lv-LV"/>
              </w:rPr>
              <w:t xml:space="preserve"> </w:t>
            </w:r>
            <w:r w:rsidR="001506F3">
              <w:t xml:space="preserve"> </w:t>
            </w:r>
            <w:r w:rsidR="001506F3">
              <w:rPr>
                <w:rFonts w:cstheme="minorBidi"/>
                <w:color w:val="auto"/>
                <w:sz w:val="22"/>
                <w:szCs w:val="22"/>
                <w:lang w:val="lv-LV"/>
              </w:rPr>
              <w:t>p</w:t>
            </w:r>
            <w:r w:rsidR="001506F3" w:rsidRPr="001506F3">
              <w:rPr>
                <w:rFonts w:cstheme="minorBidi"/>
                <w:color w:val="auto"/>
                <w:sz w:val="22"/>
                <w:szCs w:val="22"/>
                <w:lang w:val="lv-LV"/>
              </w:rPr>
              <w:t xml:space="preserve">rojekta iesniedzējs </w:t>
            </w:r>
            <w:r w:rsidRPr="008857B7">
              <w:rPr>
                <w:rFonts w:cstheme="minorBidi"/>
                <w:color w:val="auto"/>
                <w:sz w:val="22"/>
                <w:szCs w:val="22"/>
                <w:lang w:val="lv-LV"/>
              </w:rPr>
              <w:t xml:space="preserve">projektu var īstenot arī ar vairākiem sadarbības partneriem, tai skaitā </w:t>
            </w:r>
            <w:r w:rsidR="001506F3" w:rsidRPr="001506F3">
              <w:rPr>
                <w:rFonts w:cstheme="minorBidi"/>
                <w:b/>
                <w:color w:val="auto"/>
                <w:sz w:val="22"/>
                <w:szCs w:val="22"/>
                <w:lang w:val="lv-LV"/>
              </w:rPr>
              <w:t>citām</w:t>
            </w:r>
            <w:r w:rsidR="001506F3">
              <w:rPr>
                <w:rFonts w:cstheme="minorBidi"/>
                <w:color w:val="auto"/>
                <w:sz w:val="22"/>
                <w:szCs w:val="22"/>
                <w:lang w:val="lv-LV"/>
              </w:rPr>
              <w:t xml:space="preserve"> </w:t>
            </w:r>
            <w:r w:rsidRPr="008857B7">
              <w:rPr>
                <w:rFonts w:cstheme="minorBidi"/>
                <w:b/>
                <w:color w:val="auto"/>
                <w:sz w:val="22"/>
                <w:szCs w:val="22"/>
                <w:lang w:val="lv-LV"/>
              </w:rPr>
              <w:t>augstskolām</w:t>
            </w:r>
            <w:r w:rsidRPr="008857B7">
              <w:rPr>
                <w:rFonts w:cstheme="minorBidi"/>
                <w:color w:val="auto"/>
                <w:sz w:val="22"/>
                <w:szCs w:val="22"/>
                <w:lang w:val="lv-LV"/>
              </w:rPr>
              <w:t>, zinātniskajām institūcijām</w:t>
            </w:r>
            <w:r w:rsidR="00902634">
              <w:rPr>
                <w:rFonts w:cstheme="minorBidi"/>
                <w:color w:val="auto"/>
                <w:sz w:val="22"/>
                <w:szCs w:val="22"/>
                <w:lang w:val="lv-LV"/>
              </w:rPr>
              <w:t xml:space="preserve">, </w:t>
            </w:r>
            <w:r w:rsidRPr="008857B7">
              <w:rPr>
                <w:rFonts w:cstheme="minorBidi"/>
                <w:color w:val="auto"/>
                <w:sz w:val="22"/>
                <w:szCs w:val="22"/>
                <w:lang w:val="lv-LV"/>
              </w:rPr>
              <w:t>privātajām vai publiskajām organizācijām</w:t>
            </w:r>
            <w:r w:rsidR="00902634">
              <w:rPr>
                <w:rFonts w:cstheme="minorBidi"/>
                <w:color w:val="auto"/>
                <w:sz w:val="22"/>
                <w:szCs w:val="22"/>
                <w:lang w:val="lv-LV"/>
              </w:rPr>
              <w:t xml:space="preserve"> un </w:t>
            </w:r>
            <w:r w:rsidR="00902634" w:rsidRPr="00F54940">
              <w:rPr>
                <w:rFonts w:cstheme="minorBidi"/>
                <w:b/>
                <w:color w:val="auto"/>
                <w:sz w:val="22"/>
                <w:szCs w:val="22"/>
                <w:lang w:val="lv-LV"/>
              </w:rPr>
              <w:t>ārvalstu augstskolām</w:t>
            </w:r>
            <w:r w:rsidR="00902634">
              <w:rPr>
                <w:rFonts w:cstheme="minorBidi"/>
                <w:color w:val="auto"/>
                <w:sz w:val="22"/>
                <w:szCs w:val="22"/>
                <w:lang w:val="lv-LV"/>
              </w:rPr>
              <w:t>.</w:t>
            </w:r>
          </w:p>
          <w:p w:rsidR="008857B7" w:rsidRDefault="008857B7" w:rsidP="00CD11FC">
            <w:pPr>
              <w:pStyle w:val="tv2132"/>
              <w:spacing w:line="240" w:lineRule="auto"/>
              <w:ind w:firstLine="0"/>
              <w:contextualSpacing/>
              <w:jc w:val="both"/>
              <w:rPr>
                <w:rFonts w:cstheme="minorBidi"/>
                <w:color w:val="auto"/>
                <w:sz w:val="22"/>
                <w:szCs w:val="22"/>
                <w:lang w:val="lv-LV"/>
              </w:rPr>
            </w:pPr>
          </w:p>
          <w:p w:rsidR="0007400A" w:rsidRPr="0002494F" w:rsidRDefault="0007400A" w:rsidP="00A95C15">
            <w:pPr>
              <w:pStyle w:val="tv2132"/>
              <w:spacing w:line="240" w:lineRule="auto"/>
              <w:ind w:firstLine="0"/>
              <w:contextualSpacing/>
              <w:jc w:val="both"/>
              <w:rPr>
                <w:rFonts w:cstheme="minorBidi"/>
                <w:color w:val="auto"/>
                <w:sz w:val="22"/>
                <w:szCs w:val="22"/>
                <w:lang w:val="lv-LV"/>
              </w:rPr>
            </w:pPr>
          </w:p>
        </w:tc>
      </w:tr>
      <w:tr w:rsidR="00886F21"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18.</w:t>
            </w:r>
          </w:p>
        </w:tc>
        <w:tc>
          <w:tcPr>
            <w:tcW w:w="2575" w:type="dxa"/>
            <w:shd w:val="clear" w:color="auto" w:fill="auto"/>
          </w:tcPr>
          <w:p w:rsidR="00EF2DAB" w:rsidRDefault="00EF2DAB" w:rsidP="00EF2DAB">
            <w:pPr>
              <w:pStyle w:val="tv2132"/>
              <w:spacing w:line="240" w:lineRule="auto"/>
              <w:ind w:firstLine="0"/>
              <w:contextualSpacing/>
              <w:jc w:val="both"/>
              <w:rPr>
                <w:rFonts w:cstheme="minorBidi"/>
                <w:color w:val="auto"/>
                <w:sz w:val="22"/>
                <w:szCs w:val="22"/>
                <w:lang w:val="lv-LV"/>
              </w:rPr>
            </w:pPr>
            <w:r w:rsidRPr="00EF2DAB">
              <w:rPr>
                <w:rFonts w:cstheme="minorBidi"/>
                <w:color w:val="auto"/>
                <w:sz w:val="22"/>
                <w:szCs w:val="22"/>
                <w:lang w:val="lv-LV"/>
              </w:rPr>
              <w:t xml:space="preserve">13.Projekta iesniedzējs projekta iesniegumam pievieno sadarbības partneru apliecinājumu par gatavību piedalīties projekta īstenošanā. Pēc projekta iesnieguma apstiprināšanas projekta iesniedzējs ar katru sadarbības partneri slēdz sadarbības līgumu atbilstoši normatīvajiem aktiem par kārtību, kādā Eiropas Savienības struktūrfondu un Kohēzijas fonda vadībā iesaistītās institūcijas nodrošina plānošanas dokumentu sagatavošanu un šo fondu ieviešanu </w:t>
            </w:r>
            <w:r w:rsidRPr="00EF2DAB">
              <w:rPr>
                <w:rFonts w:cstheme="minorBidi"/>
                <w:color w:val="auto"/>
                <w:sz w:val="22"/>
                <w:szCs w:val="22"/>
                <w:lang w:val="lv-LV"/>
              </w:rPr>
              <w:lastRenderedPageBreak/>
              <w:t>2014.–2020. gada plānošanas periodā</w:t>
            </w:r>
            <w:r>
              <w:rPr>
                <w:rFonts w:cstheme="minorBidi"/>
                <w:color w:val="auto"/>
                <w:sz w:val="22"/>
                <w:szCs w:val="22"/>
                <w:lang w:val="lv-LV"/>
              </w:rPr>
              <w:t>, tajā tostarp iekļaujot šādu informāciju:</w:t>
            </w:r>
          </w:p>
          <w:p w:rsidR="00EF2DAB" w:rsidRPr="00EF2DAB" w:rsidRDefault="00EF2DAB" w:rsidP="00EF2DAB">
            <w:pPr>
              <w:pStyle w:val="tv2132"/>
              <w:spacing w:line="240" w:lineRule="auto"/>
              <w:contextualSpacing/>
              <w:jc w:val="both"/>
              <w:rPr>
                <w:rFonts w:cstheme="minorBidi"/>
                <w:color w:val="auto"/>
                <w:sz w:val="22"/>
                <w:szCs w:val="22"/>
                <w:lang w:val="lv-LV"/>
              </w:rPr>
            </w:pPr>
            <w:r>
              <w:rPr>
                <w:rFonts w:cstheme="minorBidi"/>
                <w:color w:val="auto"/>
                <w:sz w:val="22"/>
                <w:szCs w:val="22"/>
                <w:lang w:val="lv-LV"/>
              </w:rPr>
              <w:t xml:space="preserve">13.1. </w:t>
            </w:r>
            <w:r w:rsidRPr="00EF2DAB">
              <w:rPr>
                <w:rFonts w:cstheme="minorBidi"/>
                <w:color w:val="auto"/>
                <w:sz w:val="22"/>
                <w:szCs w:val="22"/>
                <w:lang w:val="lv-LV"/>
              </w:rPr>
              <w:t>13.1. sadarbības mērķi, principi un pušu atbildība;</w:t>
            </w:r>
          </w:p>
          <w:p w:rsidR="00EF2DAB" w:rsidRPr="00EF2DAB" w:rsidRDefault="00EF2DAB" w:rsidP="00EF2DAB">
            <w:pPr>
              <w:pStyle w:val="tv2132"/>
              <w:spacing w:line="240" w:lineRule="auto"/>
              <w:contextualSpacing/>
              <w:jc w:val="both"/>
              <w:rPr>
                <w:rFonts w:cstheme="minorBidi"/>
                <w:color w:val="auto"/>
                <w:sz w:val="22"/>
                <w:szCs w:val="22"/>
                <w:lang w:val="lv-LV"/>
              </w:rPr>
            </w:pPr>
            <w:r w:rsidRPr="00EF2DAB">
              <w:rPr>
                <w:rFonts w:cstheme="minorBidi"/>
                <w:color w:val="auto"/>
                <w:sz w:val="22"/>
                <w:szCs w:val="22"/>
                <w:lang w:val="lv-LV"/>
              </w:rPr>
              <w:t xml:space="preserve">13.2. sadarbības partnera īstenojamās darbības un to apjoms, </w:t>
            </w:r>
          </w:p>
          <w:p w:rsidR="00EF2DAB" w:rsidRPr="00EF2DAB" w:rsidRDefault="00EF2DAB" w:rsidP="00EF2DAB">
            <w:pPr>
              <w:pStyle w:val="tv2132"/>
              <w:spacing w:line="240" w:lineRule="auto"/>
              <w:contextualSpacing/>
              <w:jc w:val="both"/>
              <w:rPr>
                <w:rFonts w:cstheme="minorBidi"/>
                <w:color w:val="auto"/>
                <w:sz w:val="22"/>
                <w:szCs w:val="22"/>
                <w:lang w:val="lv-LV"/>
              </w:rPr>
            </w:pPr>
            <w:r w:rsidRPr="00EF2DAB">
              <w:rPr>
                <w:rFonts w:cstheme="minorBidi"/>
                <w:color w:val="auto"/>
                <w:sz w:val="22"/>
                <w:szCs w:val="22"/>
                <w:lang w:val="lv-LV"/>
              </w:rPr>
              <w:t>13.3. projekta iesniegumā plānotās finanšu plūsmas nodrošināšanas kārtība;</w:t>
            </w:r>
          </w:p>
          <w:p w:rsidR="00EF2DAB" w:rsidRPr="0002494F" w:rsidRDefault="00EF2DAB" w:rsidP="00EF2DAB">
            <w:pPr>
              <w:pStyle w:val="tv2132"/>
              <w:spacing w:line="240" w:lineRule="auto"/>
              <w:ind w:firstLine="0"/>
              <w:contextualSpacing/>
              <w:jc w:val="both"/>
              <w:rPr>
                <w:rFonts w:cstheme="minorBidi"/>
                <w:color w:val="auto"/>
                <w:sz w:val="22"/>
                <w:szCs w:val="22"/>
                <w:lang w:val="lv-LV"/>
              </w:rPr>
            </w:pPr>
            <w:r w:rsidRPr="00EF2DAB">
              <w:rPr>
                <w:rFonts w:cstheme="minorBidi"/>
                <w:color w:val="auto"/>
                <w:sz w:val="22"/>
                <w:szCs w:val="22"/>
                <w:lang w:val="lv-LV"/>
              </w:rPr>
              <w:t>13.4. sankcijas, ja netiek izpildītas sadarbības līgumā minētās saistības.</w:t>
            </w:r>
          </w:p>
        </w:tc>
        <w:tc>
          <w:tcPr>
            <w:tcW w:w="3969" w:type="dxa"/>
            <w:shd w:val="clear" w:color="auto" w:fill="auto"/>
          </w:tcPr>
          <w:p w:rsidR="00DB15E8" w:rsidRPr="00DB15E8" w:rsidRDefault="00DB15E8" w:rsidP="00886F21">
            <w:pPr>
              <w:spacing w:after="0" w:line="240" w:lineRule="auto"/>
              <w:jc w:val="both"/>
              <w:rPr>
                <w:rFonts w:ascii="Times New Roman" w:hAnsi="Times New Roman" w:cs="Times New Roman"/>
                <w:b/>
                <w:lang w:val="lv-LV"/>
              </w:rPr>
            </w:pPr>
            <w:r w:rsidRPr="00DB15E8">
              <w:rPr>
                <w:rFonts w:ascii="Times New Roman" w:hAnsi="Times New Roman" w:cs="Times New Roman"/>
                <w:b/>
                <w:lang w:val="lv-LV"/>
              </w:rPr>
              <w:lastRenderedPageBreak/>
              <w:t>Finanšu ministrija (11.iebildums)</w:t>
            </w:r>
          </w:p>
          <w:p w:rsidR="00886F21" w:rsidRPr="00886F21" w:rsidRDefault="00DB15E8" w:rsidP="00886F21">
            <w:pPr>
              <w:spacing w:after="0" w:line="240" w:lineRule="auto"/>
              <w:jc w:val="both"/>
              <w:rPr>
                <w:rFonts w:ascii="Times New Roman" w:hAnsi="Times New Roman" w:cs="Times New Roman"/>
              </w:rPr>
            </w:pPr>
            <w:r>
              <w:rPr>
                <w:rFonts w:ascii="Times New Roman" w:hAnsi="Times New Roman" w:cs="Times New Roman"/>
                <w:lang w:val="lv-LV"/>
              </w:rPr>
              <w:t>Lūdzam precizēt noteikumu projekta 13</w:t>
            </w:r>
            <w:r w:rsidR="00886F21" w:rsidRPr="00886F21">
              <w:rPr>
                <w:rFonts w:ascii="Times New Roman" w:hAnsi="Times New Roman" w:cs="Times New Roman"/>
                <w:lang w:val="lv-LV"/>
              </w:rPr>
              <w:t>.punktu, izsakot to, piemēram, šādā “izsakot to, redakcijā: “13.Projekta iesniedzējs projekta iesniegumam pievieno sadarbības partneru apliecinājumu par gatavību piedalīties projekta īstenošanā. Pēc projekta iesnieguma apstiprināšanas projekta iesniedzējs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r>
              <w:rPr>
                <w:rFonts w:ascii="Times New Roman" w:hAnsi="Times New Roman" w:cs="Times New Roman"/>
                <w:lang w:val="lv-LV"/>
              </w:rPr>
              <w:t>.</w:t>
            </w:r>
          </w:p>
        </w:tc>
        <w:tc>
          <w:tcPr>
            <w:tcW w:w="3119" w:type="dxa"/>
            <w:shd w:val="clear" w:color="auto" w:fill="auto"/>
          </w:tcPr>
          <w:p w:rsidR="00886F21" w:rsidRPr="0002494F" w:rsidRDefault="003847AE"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886F21" w:rsidRPr="0002494F" w:rsidRDefault="003847AE" w:rsidP="00E17459">
            <w:pPr>
              <w:pStyle w:val="tv2132"/>
              <w:spacing w:line="240" w:lineRule="auto"/>
              <w:ind w:firstLine="0"/>
              <w:contextualSpacing/>
              <w:jc w:val="both"/>
              <w:rPr>
                <w:rFonts w:cstheme="minorBidi"/>
                <w:color w:val="auto"/>
                <w:sz w:val="22"/>
                <w:szCs w:val="22"/>
                <w:lang w:val="lv-LV"/>
              </w:rPr>
            </w:pPr>
            <w:r w:rsidRPr="003847AE">
              <w:rPr>
                <w:rFonts w:cstheme="minorBidi"/>
                <w:color w:val="auto"/>
                <w:sz w:val="22"/>
                <w:szCs w:val="22"/>
                <w:lang w:val="lv-LV"/>
              </w:rPr>
              <w:t>1</w:t>
            </w:r>
            <w:r w:rsidR="00E17459">
              <w:rPr>
                <w:rFonts w:cstheme="minorBidi"/>
                <w:color w:val="auto"/>
                <w:sz w:val="22"/>
                <w:szCs w:val="22"/>
                <w:lang w:val="lv-LV"/>
              </w:rPr>
              <w:t>3</w:t>
            </w:r>
            <w:r w:rsidRPr="003847AE">
              <w:rPr>
                <w:rFonts w:cstheme="minorBidi"/>
                <w:color w:val="auto"/>
                <w:sz w:val="22"/>
                <w:szCs w:val="22"/>
                <w:lang w:val="lv-LV"/>
              </w:rPr>
              <w:t>.</w:t>
            </w:r>
            <w:r>
              <w:rPr>
                <w:rFonts w:cstheme="minorBidi"/>
                <w:color w:val="auto"/>
                <w:sz w:val="22"/>
                <w:szCs w:val="22"/>
                <w:lang w:val="lv-LV"/>
              </w:rPr>
              <w:t xml:space="preserve"> </w:t>
            </w:r>
            <w:r w:rsidRPr="003847AE">
              <w:rPr>
                <w:rFonts w:cstheme="minorBidi"/>
                <w:color w:val="auto"/>
                <w:sz w:val="22"/>
                <w:szCs w:val="22"/>
                <w:lang w:val="lv-LV"/>
              </w:rPr>
              <w:t>Projekta iesniedzējs projekta iesniegumam pievieno sadarbības partner</w:t>
            </w:r>
            <w:r>
              <w:rPr>
                <w:rFonts w:cstheme="minorBidi"/>
                <w:color w:val="auto"/>
                <w:sz w:val="22"/>
                <w:szCs w:val="22"/>
                <w:lang w:val="lv-LV"/>
              </w:rPr>
              <w:t>a</w:t>
            </w:r>
            <w:r w:rsidRPr="003847AE">
              <w:rPr>
                <w:rFonts w:cstheme="minorBidi"/>
                <w:color w:val="auto"/>
                <w:sz w:val="22"/>
                <w:szCs w:val="22"/>
                <w:lang w:val="lv-LV"/>
              </w:rPr>
              <w:t xml:space="preserve"> apliecinājumu par gatavību piedalīties projekta īstenošanā. Pēc projekta iesnieguma apstiprināšanas projekta iesniedzējs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19.</w:t>
            </w:r>
          </w:p>
        </w:tc>
        <w:tc>
          <w:tcPr>
            <w:tcW w:w="2575" w:type="dxa"/>
            <w:shd w:val="clear" w:color="auto" w:fill="auto"/>
          </w:tcPr>
          <w:p w:rsidR="00EF2DAB" w:rsidRPr="00EF2DAB" w:rsidRDefault="00EF2DAB" w:rsidP="00EF2DAB">
            <w:pPr>
              <w:pStyle w:val="tv2132"/>
              <w:spacing w:line="240" w:lineRule="auto"/>
              <w:contextualSpacing/>
              <w:jc w:val="both"/>
              <w:rPr>
                <w:rFonts w:cstheme="minorBidi"/>
                <w:color w:val="auto"/>
                <w:sz w:val="22"/>
                <w:szCs w:val="22"/>
                <w:lang w:val="lv-LV"/>
              </w:rPr>
            </w:pPr>
            <w:r>
              <w:rPr>
                <w:rFonts w:cstheme="minorBidi"/>
                <w:color w:val="auto"/>
                <w:sz w:val="22"/>
                <w:szCs w:val="22"/>
                <w:lang w:val="lv-LV"/>
              </w:rPr>
              <w:t>17.</w:t>
            </w:r>
            <w:r w:rsidRPr="00EF2DAB">
              <w:rPr>
                <w:rFonts w:cstheme="minorBidi"/>
                <w:color w:val="auto"/>
                <w:sz w:val="22"/>
                <w:szCs w:val="22"/>
                <w:lang w:val="lv-LV"/>
              </w:rPr>
              <w:tab/>
              <w:t>Pasākuma ietvaros ir atbalstāmas šādas darbības:</w:t>
            </w:r>
          </w:p>
          <w:p w:rsidR="00EF2DAB" w:rsidRPr="00EF2DAB" w:rsidRDefault="00EF2DAB" w:rsidP="00EF2DAB">
            <w:pPr>
              <w:pStyle w:val="tv2132"/>
              <w:spacing w:line="240" w:lineRule="auto"/>
              <w:contextualSpacing/>
              <w:jc w:val="both"/>
              <w:rPr>
                <w:rFonts w:cstheme="minorBidi"/>
                <w:color w:val="auto"/>
                <w:sz w:val="22"/>
                <w:szCs w:val="22"/>
                <w:lang w:val="lv-LV"/>
              </w:rPr>
            </w:pPr>
            <w:r w:rsidRPr="00EF2DAB">
              <w:rPr>
                <w:rFonts w:cstheme="minorBidi"/>
                <w:color w:val="auto"/>
                <w:sz w:val="22"/>
                <w:szCs w:val="22"/>
                <w:lang w:val="lv-LV"/>
              </w:rPr>
              <w:t>17.1. studentu digitālo prasmju apguves satura, metožu un tehnoloģiju izstrāde, pielāgošana un ieviešana;</w:t>
            </w:r>
          </w:p>
          <w:p w:rsidR="00EF2DAB" w:rsidRDefault="00EF2DAB" w:rsidP="00EF2DAB">
            <w:pPr>
              <w:pStyle w:val="tv2132"/>
              <w:spacing w:line="240" w:lineRule="auto"/>
              <w:ind w:firstLine="0"/>
              <w:contextualSpacing/>
              <w:jc w:val="both"/>
              <w:rPr>
                <w:rFonts w:cstheme="minorBidi"/>
                <w:color w:val="auto"/>
                <w:sz w:val="22"/>
                <w:szCs w:val="22"/>
                <w:lang w:val="lv-LV"/>
              </w:rPr>
            </w:pPr>
            <w:r w:rsidRPr="00EF2DAB">
              <w:rPr>
                <w:rFonts w:cstheme="minorBidi"/>
                <w:color w:val="auto"/>
                <w:sz w:val="22"/>
                <w:szCs w:val="22"/>
                <w:lang w:val="lv-LV"/>
              </w:rPr>
              <w:t>17.2. augstskolu digitālās kapacitātes stiprināšana, izstrādājot un ieviešot inovatīvus digitālus tehnoloģiskus risinājumus studiju procesā, mācību rezultātu analīzē, tai skaitā starpinstitūciju sadarbības un koplietošanas risinājumus</w:t>
            </w:r>
            <w:r w:rsidR="00F546F0">
              <w:rPr>
                <w:rFonts w:cstheme="minorBidi"/>
                <w:color w:val="auto"/>
                <w:sz w:val="22"/>
                <w:szCs w:val="22"/>
                <w:lang w:val="lv-LV"/>
              </w:rPr>
              <w:t>;</w:t>
            </w:r>
          </w:p>
          <w:p w:rsidR="00F546F0" w:rsidRPr="00F546F0" w:rsidRDefault="00F546F0" w:rsidP="00F546F0">
            <w:pPr>
              <w:pStyle w:val="tv2132"/>
              <w:spacing w:line="240" w:lineRule="auto"/>
              <w:ind w:firstLine="0"/>
              <w:contextualSpacing/>
              <w:jc w:val="both"/>
              <w:rPr>
                <w:rFonts w:cstheme="minorBidi"/>
                <w:color w:val="auto"/>
                <w:sz w:val="22"/>
                <w:szCs w:val="22"/>
                <w:lang w:val="lv-LV"/>
              </w:rPr>
            </w:pPr>
            <w:r w:rsidRPr="00F546F0">
              <w:rPr>
                <w:rFonts w:cstheme="minorBidi"/>
                <w:color w:val="auto"/>
                <w:sz w:val="22"/>
                <w:szCs w:val="22"/>
                <w:lang w:val="lv-LV"/>
              </w:rPr>
              <w:t>17.3. projekta vadības un īstenošanas nodrošināšana;</w:t>
            </w:r>
          </w:p>
          <w:p w:rsidR="00F546F0" w:rsidRPr="0002494F" w:rsidRDefault="00F546F0" w:rsidP="00F546F0">
            <w:pPr>
              <w:pStyle w:val="tv2132"/>
              <w:spacing w:line="240" w:lineRule="auto"/>
              <w:ind w:firstLine="0"/>
              <w:contextualSpacing/>
              <w:jc w:val="both"/>
              <w:rPr>
                <w:rFonts w:cstheme="minorBidi"/>
                <w:color w:val="auto"/>
                <w:sz w:val="22"/>
                <w:szCs w:val="22"/>
                <w:lang w:val="lv-LV"/>
              </w:rPr>
            </w:pPr>
            <w:r w:rsidRPr="00F546F0">
              <w:rPr>
                <w:rFonts w:cstheme="minorBidi"/>
                <w:color w:val="auto"/>
                <w:sz w:val="22"/>
                <w:szCs w:val="22"/>
                <w:lang w:val="lv-LV"/>
              </w:rPr>
              <w:lastRenderedPageBreak/>
              <w:t>17.4. informācijas un publicitātes pasākumi par projekta īstenošanu.</w:t>
            </w:r>
          </w:p>
        </w:tc>
        <w:tc>
          <w:tcPr>
            <w:tcW w:w="3969" w:type="dxa"/>
            <w:shd w:val="clear" w:color="auto" w:fill="auto"/>
          </w:tcPr>
          <w:p w:rsidR="00CD11FC" w:rsidRPr="0002494F" w:rsidRDefault="00CD11FC" w:rsidP="00886F21">
            <w:pPr>
              <w:spacing w:after="0" w:line="240" w:lineRule="auto"/>
              <w:rPr>
                <w:rFonts w:ascii="Times New Roman" w:hAnsi="Times New Roman" w:cs="Times New Roman"/>
                <w:b/>
              </w:rPr>
            </w:pPr>
            <w:r w:rsidRPr="0002494F">
              <w:rPr>
                <w:rFonts w:ascii="Times New Roman" w:hAnsi="Times New Roman" w:cs="Times New Roman"/>
                <w:b/>
              </w:rPr>
              <w:lastRenderedPageBreak/>
              <w:t>Finanšu ministrija (12.iebildums)</w:t>
            </w:r>
          </w:p>
          <w:p w:rsidR="00CD11FC" w:rsidRPr="0002494F" w:rsidRDefault="00CD11FC" w:rsidP="00886F21">
            <w:pPr>
              <w:spacing w:after="0" w:line="240" w:lineRule="auto"/>
              <w:contextualSpacing/>
              <w:jc w:val="both"/>
            </w:pPr>
            <w:r w:rsidRPr="00CD11FC">
              <w:rPr>
                <w:rFonts w:ascii="Times New Roman" w:eastAsia="Times New Roman" w:hAnsi="Times New Roman" w:cs="Times New Roman"/>
                <w:lang w:val="lv-LV"/>
              </w:rPr>
              <w:t xml:space="preserve">Lūdzam izvērtēt nepieciešamību precizēt noteikumu projekta 17.punktā norādītās atbalstāmās darbības vai papildināt anotāciju ar detalizētāku informāciju par plānotajām atbalstāmajām darbībām, to satvaru un mērķiem. Vēršam uzmanību, ka noteikumu projekta 17.1. un 17.2.apakšpunktā norādītās atbalstāmās darbības esošajā redakcijā pirmšķietami dublējas un nav viennozīmīgi saprotams to saturs. </w:t>
            </w:r>
          </w:p>
        </w:tc>
        <w:tc>
          <w:tcPr>
            <w:tcW w:w="3119" w:type="dxa"/>
            <w:shd w:val="clear" w:color="auto" w:fill="auto"/>
          </w:tcPr>
          <w:p w:rsidR="00CD11FC" w:rsidRDefault="00FA079F"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F546F0" w:rsidRDefault="00EF2DAB" w:rsidP="00F546F0">
            <w:pPr>
              <w:spacing w:after="0" w:line="240" w:lineRule="auto"/>
              <w:jc w:val="both"/>
              <w:rPr>
                <w:rFonts w:ascii="Times New Roman" w:eastAsia="Times New Roman" w:hAnsi="Times New Roman" w:cs="Times New Roman"/>
                <w:lang w:val="lv-LV" w:eastAsia="lv-LV"/>
              </w:rPr>
            </w:pPr>
            <w:r w:rsidRPr="00EF2DAB">
              <w:rPr>
                <w:rFonts w:ascii="Times New Roman" w:eastAsia="Times New Roman" w:hAnsi="Times New Roman" w:cs="Times New Roman"/>
                <w:lang w:val="lv-LV" w:eastAsia="lv-LV"/>
              </w:rPr>
              <w:t xml:space="preserve">17. </w:t>
            </w:r>
            <w:r w:rsidR="00FA079F">
              <w:rPr>
                <w:rFonts w:ascii="Times New Roman" w:eastAsia="Times New Roman" w:hAnsi="Times New Roman" w:cs="Times New Roman"/>
                <w:lang w:val="lv-LV" w:eastAsia="lv-LV"/>
              </w:rPr>
              <w:t>punktā minētā</w:t>
            </w:r>
            <w:r w:rsidR="00F546F0">
              <w:rPr>
                <w:rFonts w:ascii="Times New Roman" w:eastAsia="Times New Roman" w:hAnsi="Times New Roman" w:cs="Times New Roman"/>
                <w:lang w:val="lv-LV" w:eastAsia="lv-LV"/>
              </w:rPr>
              <w:t>s</w:t>
            </w:r>
            <w:r w:rsidR="00FA079F">
              <w:rPr>
                <w:rFonts w:ascii="Times New Roman" w:eastAsia="Times New Roman" w:hAnsi="Times New Roman" w:cs="Times New Roman"/>
                <w:lang w:val="lv-LV" w:eastAsia="lv-LV"/>
              </w:rPr>
              <w:t xml:space="preserve"> </w:t>
            </w:r>
            <w:r w:rsidR="00F546F0">
              <w:rPr>
                <w:rFonts w:ascii="Times New Roman" w:eastAsia="Times New Roman" w:hAnsi="Times New Roman" w:cs="Times New Roman"/>
                <w:lang w:val="lv-LV" w:eastAsia="lv-LV"/>
              </w:rPr>
              <w:t xml:space="preserve">atbalstāmās darbības ir precizētas. </w:t>
            </w:r>
          </w:p>
          <w:p w:rsidR="00EF2DAB" w:rsidRPr="00EF2DAB" w:rsidRDefault="00EF2DAB" w:rsidP="00F546F0">
            <w:pPr>
              <w:spacing w:after="0" w:line="240" w:lineRule="auto"/>
              <w:jc w:val="both"/>
              <w:rPr>
                <w:rFonts w:ascii="Times New Roman" w:eastAsia="Times New Roman" w:hAnsi="Times New Roman" w:cs="Times New Roman"/>
                <w:lang w:val="lv-LV" w:eastAsia="lv-LV"/>
              </w:rPr>
            </w:pPr>
            <w:r w:rsidRPr="00FA079F">
              <w:rPr>
                <w:rFonts w:ascii="Times New Roman" w:eastAsia="Times New Roman" w:hAnsi="Times New Roman" w:cs="Times New Roman"/>
                <w:lang w:val="lv-LV" w:eastAsia="lv-LV"/>
              </w:rPr>
              <w:t>Anotācija papildināta ar skaidrojumu par atbalstāmajām darbībām</w:t>
            </w:r>
            <w:r w:rsidR="005230E3" w:rsidRPr="00FA079F">
              <w:rPr>
                <w:rFonts w:ascii="Times New Roman" w:eastAsia="Times New Roman" w:hAnsi="Times New Roman" w:cs="Times New Roman"/>
                <w:lang w:val="lv-LV" w:eastAsia="lv-LV"/>
              </w:rPr>
              <w:t>.</w:t>
            </w:r>
          </w:p>
        </w:tc>
        <w:tc>
          <w:tcPr>
            <w:tcW w:w="3260" w:type="dxa"/>
          </w:tcPr>
          <w:p w:rsidR="00C87FB9" w:rsidRPr="00C87FB9" w:rsidRDefault="00C87FB9" w:rsidP="00C87FB9">
            <w:pPr>
              <w:pStyle w:val="tv2132"/>
              <w:spacing w:line="240" w:lineRule="auto"/>
              <w:contextualSpacing/>
              <w:jc w:val="both"/>
              <w:rPr>
                <w:rFonts w:cstheme="minorBidi"/>
                <w:color w:val="auto"/>
                <w:sz w:val="22"/>
                <w:szCs w:val="22"/>
                <w:lang w:val="lv-LV"/>
              </w:rPr>
            </w:pPr>
            <w:r w:rsidRPr="00C87FB9">
              <w:rPr>
                <w:rFonts w:cstheme="minorBidi"/>
                <w:color w:val="auto"/>
                <w:sz w:val="22"/>
                <w:szCs w:val="22"/>
                <w:lang w:val="lv-LV"/>
              </w:rPr>
              <w:t>1</w:t>
            </w:r>
            <w:r w:rsidR="00F546F0">
              <w:rPr>
                <w:rFonts w:cstheme="minorBidi"/>
                <w:color w:val="auto"/>
                <w:sz w:val="22"/>
                <w:szCs w:val="22"/>
                <w:lang w:val="lv-LV"/>
              </w:rPr>
              <w:t>7</w:t>
            </w:r>
            <w:r w:rsidRPr="00C87FB9">
              <w:rPr>
                <w:rFonts w:cstheme="minorBidi"/>
                <w:color w:val="auto"/>
                <w:sz w:val="22"/>
                <w:szCs w:val="22"/>
                <w:lang w:val="lv-LV"/>
              </w:rPr>
              <w:t>. Pasākuma ietvaros ir atbalstāmas šādas darbības:</w:t>
            </w:r>
          </w:p>
          <w:p w:rsidR="00F546F0" w:rsidRPr="00F546F0" w:rsidRDefault="00F546F0" w:rsidP="00F546F0">
            <w:pPr>
              <w:pStyle w:val="tv2132"/>
              <w:spacing w:line="240" w:lineRule="auto"/>
              <w:contextualSpacing/>
              <w:jc w:val="both"/>
              <w:rPr>
                <w:rFonts w:cstheme="minorBidi"/>
                <w:color w:val="auto"/>
                <w:sz w:val="22"/>
                <w:szCs w:val="22"/>
                <w:lang w:val="lv-LV"/>
              </w:rPr>
            </w:pPr>
            <w:r w:rsidRPr="00F546F0">
              <w:rPr>
                <w:rFonts w:cstheme="minorBidi"/>
                <w:color w:val="auto"/>
                <w:sz w:val="22"/>
                <w:szCs w:val="22"/>
                <w:lang w:val="lv-LV"/>
              </w:rPr>
              <w:t>17.1. augstskolu digitālās kapacitātes stiprināšana, pilnveidojot studiju saturu un mācību metodiku studējošo digitālo prasmju attīstīšanai, tai skaitā ieviešot un integrējot digitālos tehnoloģiskos risinājumus studiju saturā un studiju procesā;</w:t>
            </w:r>
          </w:p>
          <w:p w:rsidR="00F546F0" w:rsidRPr="00F546F0" w:rsidRDefault="00F546F0" w:rsidP="00F546F0">
            <w:pPr>
              <w:pStyle w:val="tv2132"/>
              <w:spacing w:line="240" w:lineRule="auto"/>
              <w:contextualSpacing/>
              <w:jc w:val="both"/>
              <w:rPr>
                <w:rFonts w:cstheme="minorBidi"/>
                <w:color w:val="auto"/>
                <w:sz w:val="22"/>
                <w:szCs w:val="22"/>
                <w:lang w:val="lv-LV"/>
              </w:rPr>
            </w:pPr>
            <w:r w:rsidRPr="00F546F0">
              <w:rPr>
                <w:rFonts w:cstheme="minorBidi"/>
                <w:color w:val="auto"/>
                <w:sz w:val="22"/>
                <w:szCs w:val="22"/>
                <w:lang w:val="lv-LV"/>
              </w:rPr>
              <w:t>17.2. konsultatīvs atbalsts docētājiem jaunā digitālā satura, mācību metožu un tehnoloģisko risinājumu ieviešanai;</w:t>
            </w:r>
          </w:p>
          <w:p w:rsidR="00F546F0" w:rsidRPr="00F546F0" w:rsidRDefault="00F546F0" w:rsidP="00F546F0">
            <w:pPr>
              <w:pStyle w:val="tv2132"/>
              <w:spacing w:line="240" w:lineRule="auto"/>
              <w:contextualSpacing/>
              <w:jc w:val="both"/>
              <w:rPr>
                <w:rFonts w:cstheme="minorBidi"/>
                <w:color w:val="auto"/>
                <w:sz w:val="22"/>
                <w:szCs w:val="22"/>
                <w:lang w:val="lv-LV"/>
              </w:rPr>
            </w:pPr>
            <w:r w:rsidRPr="00F546F0">
              <w:rPr>
                <w:rFonts w:cstheme="minorBidi"/>
                <w:color w:val="auto"/>
                <w:sz w:val="22"/>
                <w:szCs w:val="22"/>
                <w:lang w:val="lv-LV"/>
              </w:rPr>
              <w:t>17.3. projekta vadības nodrošināšana;</w:t>
            </w:r>
          </w:p>
          <w:p w:rsidR="00CD11FC" w:rsidRPr="0002494F" w:rsidRDefault="00F546F0" w:rsidP="00F546F0">
            <w:pPr>
              <w:pStyle w:val="tv2132"/>
              <w:spacing w:line="240" w:lineRule="auto"/>
              <w:contextualSpacing/>
              <w:jc w:val="both"/>
              <w:rPr>
                <w:rFonts w:cstheme="minorBidi"/>
                <w:color w:val="auto"/>
                <w:sz w:val="22"/>
                <w:szCs w:val="22"/>
                <w:lang w:val="lv-LV"/>
              </w:rPr>
            </w:pPr>
            <w:r w:rsidRPr="00F546F0">
              <w:rPr>
                <w:rFonts w:cstheme="minorBidi"/>
                <w:color w:val="auto"/>
                <w:sz w:val="22"/>
                <w:szCs w:val="22"/>
                <w:lang w:val="lv-LV"/>
              </w:rPr>
              <w:t>17.4. informācijas un publicitātes pasākumi par projekta īstenošanu</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20.</w:t>
            </w:r>
          </w:p>
        </w:tc>
        <w:tc>
          <w:tcPr>
            <w:tcW w:w="2575" w:type="dxa"/>
            <w:shd w:val="clear" w:color="auto" w:fill="auto"/>
          </w:tcPr>
          <w:p w:rsidR="00CD11FC" w:rsidRPr="0002494F" w:rsidRDefault="00CD11FC" w:rsidP="00CD11F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D11FC" w:rsidRPr="0002494F" w:rsidRDefault="00CD11FC" w:rsidP="00886F21">
            <w:pPr>
              <w:spacing w:after="0" w:line="240" w:lineRule="auto"/>
              <w:rPr>
                <w:rFonts w:ascii="Times New Roman" w:hAnsi="Times New Roman" w:cs="Times New Roman"/>
                <w:b/>
              </w:rPr>
            </w:pPr>
            <w:r w:rsidRPr="0002494F">
              <w:rPr>
                <w:rFonts w:ascii="Times New Roman" w:hAnsi="Times New Roman" w:cs="Times New Roman"/>
                <w:b/>
              </w:rPr>
              <w:t>Finanšu ministrija (13.iebildums)</w:t>
            </w:r>
          </w:p>
          <w:p w:rsidR="00CD11FC" w:rsidRPr="0002494F" w:rsidRDefault="00CD11FC" w:rsidP="00886F21">
            <w:pPr>
              <w:spacing w:after="0" w:line="240" w:lineRule="auto"/>
              <w:contextualSpacing/>
              <w:jc w:val="both"/>
            </w:pPr>
            <w:r w:rsidRPr="0002494F">
              <w:rPr>
                <w:rFonts w:ascii="Times New Roman" w:eastAsia="Times New Roman" w:hAnsi="Times New Roman" w:cs="Times New Roman"/>
                <w:lang w:val="lv-LV"/>
              </w:rPr>
              <w:t>L</w:t>
            </w:r>
            <w:r w:rsidRPr="00CD11FC">
              <w:rPr>
                <w:rFonts w:ascii="Times New Roman" w:eastAsia="Times New Roman" w:hAnsi="Times New Roman" w:cs="Times New Roman"/>
                <w:lang w:val="lv-LV"/>
              </w:rPr>
              <w:t xml:space="preserve">ūdzam saskaņot noteikumu projekta 17.punktā norādītās atbalstāmās darbības ar noteikumu projekta 18.punktā norādītajām darbībām, lai būtu nepārprotami skaidrs, uz kurām no noteikumu projekta 17.punktā minētajām atbalstāmajām darbībām attiecas noteikumu projekta 18.punktā minētās darbības un atbilstoši papildināt noteikumu projekta anotāciju, skaidrojot noteikumu projekta 17. un 18.punktā minēto darbību savstarpējo saikni un noteikumu projekta 18.punktā minēto darbību nepieciešamību pasākuma mērķu sasniegšanai. </w:t>
            </w:r>
          </w:p>
        </w:tc>
        <w:tc>
          <w:tcPr>
            <w:tcW w:w="3119" w:type="dxa"/>
            <w:shd w:val="clear" w:color="auto" w:fill="auto"/>
          </w:tcPr>
          <w:p w:rsidR="00CD11FC" w:rsidRPr="0002494F" w:rsidRDefault="00FA079F"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CD11FC" w:rsidRPr="0002494F" w:rsidRDefault="00FA079F" w:rsidP="00CD11FC">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 precizēto noteikumu projektu un anotāciju.</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21.</w:t>
            </w:r>
          </w:p>
        </w:tc>
        <w:tc>
          <w:tcPr>
            <w:tcW w:w="2575" w:type="dxa"/>
            <w:shd w:val="clear" w:color="auto" w:fill="auto"/>
          </w:tcPr>
          <w:p w:rsidR="00CD11FC" w:rsidRPr="0002494F" w:rsidRDefault="00CD11FC" w:rsidP="00CD11F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D11FC" w:rsidRPr="00342DB2" w:rsidRDefault="00CD11FC" w:rsidP="009A4F6F">
            <w:pPr>
              <w:spacing w:after="0" w:line="240" w:lineRule="auto"/>
              <w:rPr>
                <w:rFonts w:ascii="Times New Roman" w:hAnsi="Times New Roman" w:cs="Times New Roman"/>
                <w:b/>
              </w:rPr>
            </w:pPr>
            <w:r w:rsidRPr="00342DB2">
              <w:rPr>
                <w:rFonts w:ascii="Times New Roman" w:hAnsi="Times New Roman" w:cs="Times New Roman"/>
                <w:b/>
              </w:rPr>
              <w:t>Finanšu ministrija (14.iebildums)</w:t>
            </w:r>
          </w:p>
          <w:p w:rsidR="004437FB" w:rsidRPr="0002494F" w:rsidRDefault="004437FB" w:rsidP="009A4F6F">
            <w:pPr>
              <w:spacing w:after="0" w:line="240" w:lineRule="auto"/>
              <w:contextualSpacing/>
              <w:jc w:val="both"/>
            </w:pPr>
            <w:r w:rsidRPr="00342DB2">
              <w:rPr>
                <w:rFonts w:ascii="Times New Roman" w:eastAsia="Times New Roman" w:hAnsi="Times New Roman" w:cs="Times New Roman"/>
                <w:lang w:val="lv-LV"/>
              </w:rPr>
              <w:t>Lai novērstu pretrunas, kā arī ņemot vērā anotācijā skaidroto, lūdzam precizēt noteikumu projekta 17.2.apakšpunktā norādītās atbalstāmās darbības, lai finansējuma saņēmējam viennozīmīgi būtu skaidrs, ka visām darbībām jābūt vērstām uz koplietošanas risinājumu un vienoto platformu izveidi.</w:t>
            </w:r>
          </w:p>
        </w:tc>
        <w:tc>
          <w:tcPr>
            <w:tcW w:w="3119" w:type="dxa"/>
            <w:shd w:val="clear" w:color="auto" w:fill="auto"/>
          </w:tcPr>
          <w:p w:rsidR="00FA079F" w:rsidRPr="00FA079F" w:rsidRDefault="00342DB2" w:rsidP="009E5F32">
            <w:pPr>
              <w:spacing w:after="0" w:line="240" w:lineRule="auto"/>
              <w:jc w:val="both"/>
              <w:rPr>
                <w:rFonts w:ascii="Times New Roman" w:eastAsia="Times New Roman" w:hAnsi="Times New Roman" w:cs="Times New Roman"/>
                <w:b/>
                <w:lang w:val="lv-LV" w:eastAsia="lv-LV"/>
              </w:rPr>
            </w:pPr>
            <w:r w:rsidRPr="00B63CE6">
              <w:rPr>
                <w:rFonts w:ascii="Times New Roman" w:eastAsia="Times New Roman" w:hAnsi="Times New Roman" w:cs="Times New Roman"/>
                <w:b/>
                <w:lang w:val="lv-LV" w:eastAsia="lv-LV"/>
              </w:rPr>
              <w:t>Daļēji ņ</w:t>
            </w:r>
            <w:r w:rsidR="00FA079F" w:rsidRPr="00B63CE6">
              <w:rPr>
                <w:rFonts w:ascii="Times New Roman" w:eastAsia="Times New Roman" w:hAnsi="Times New Roman" w:cs="Times New Roman"/>
                <w:b/>
                <w:lang w:val="lv-LV" w:eastAsia="lv-LV"/>
              </w:rPr>
              <w:t>emts vērā</w:t>
            </w:r>
          </w:p>
          <w:p w:rsidR="00CE4F5C" w:rsidRDefault="00342DB2" w:rsidP="00DE1D9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IZM ieskatā noteikumu projektā nav lietderīgi iekļaut norādi, ka visām darbībām ir </w:t>
            </w:r>
            <w:r w:rsidR="006A4F3A">
              <w:rPr>
                <w:rFonts w:ascii="Times New Roman" w:eastAsia="Times New Roman" w:hAnsi="Times New Roman" w:cs="Times New Roman"/>
                <w:lang w:val="lv-LV" w:eastAsia="lv-LV"/>
              </w:rPr>
              <w:t xml:space="preserve">jābūt vērstām uz koplietošanas risinājumu un vienoto platformu izveidi. </w:t>
            </w:r>
          </w:p>
          <w:p w:rsidR="00B5756B" w:rsidRDefault="00B5756B" w:rsidP="00DE1D9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Projektā radīto rezultātu</w:t>
            </w:r>
            <w:r w:rsidR="00C74C6C">
              <w:rPr>
                <w:rFonts w:ascii="Times New Roman" w:eastAsia="Times New Roman" w:hAnsi="Times New Roman" w:cs="Times New Roman"/>
                <w:lang w:val="lv-LV" w:eastAsia="lv-LV"/>
              </w:rPr>
              <w:t xml:space="preserve"> (digitālo tehnoloģisko risinājumu)</w:t>
            </w:r>
            <w:r>
              <w:rPr>
                <w:rFonts w:ascii="Times New Roman" w:eastAsia="Times New Roman" w:hAnsi="Times New Roman" w:cs="Times New Roman"/>
                <w:lang w:val="lv-LV" w:eastAsia="lv-LV"/>
              </w:rPr>
              <w:t xml:space="preserve"> koplietošana ir vēlams, bet ne obligāts nosacījums. </w:t>
            </w:r>
          </w:p>
          <w:p w:rsidR="00B5756B" w:rsidRDefault="006A4F3A" w:rsidP="00DE1D9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14.1.1.1. pasākums ir vērsts uz augstskolu sadarbību kopīga satura </w:t>
            </w:r>
            <w:r w:rsidR="00D4169D">
              <w:rPr>
                <w:rFonts w:ascii="Times New Roman" w:eastAsia="Times New Roman" w:hAnsi="Times New Roman" w:cs="Times New Roman"/>
                <w:lang w:val="lv-LV" w:eastAsia="lv-LV"/>
              </w:rPr>
              <w:t>radīšanā</w:t>
            </w:r>
            <w:r>
              <w:rPr>
                <w:rFonts w:ascii="Times New Roman" w:eastAsia="Times New Roman" w:hAnsi="Times New Roman" w:cs="Times New Roman"/>
                <w:lang w:val="lv-LV" w:eastAsia="lv-LV"/>
              </w:rPr>
              <w:t xml:space="preserve">, lai uzlabotu studējošo digitālās prasmes, </w:t>
            </w:r>
            <w:r w:rsidR="000870A5">
              <w:rPr>
                <w:rFonts w:ascii="Times New Roman" w:eastAsia="Times New Roman" w:hAnsi="Times New Roman" w:cs="Times New Roman"/>
                <w:lang w:val="lv-LV" w:eastAsia="lv-LV"/>
              </w:rPr>
              <w:t xml:space="preserve">kā arī tam atbilstošu digitālo tehnoloģisko risinājumu ieviešanu, </w:t>
            </w:r>
            <w:r>
              <w:rPr>
                <w:rFonts w:ascii="Times New Roman" w:eastAsia="Times New Roman" w:hAnsi="Times New Roman" w:cs="Times New Roman"/>
                <w:lang w:val="lv-LV" w:eastAsia="lv-LV"/>
              </w:rPr>
              <w:t>kas ne vienmēr nozīmē vienotas platformas izveidi</w:t>
            </w:r>
            <w:r w:rsidR="00B5756B">
              <w:rPr>
                <w:rFonts w:ascii="Times New Roman" w:eastAsia="Times New Roman" w:hAnsi="Times New Roman" w:cs="Times New Roman"/>
                <w:lang w:val="lv-LV" w:eastAsia="lv-LV"/>
              </w:rPr>
              <w:t xml:space="preserve"> vai koplietošanu šī vārda tiešajā nozīmē</w:t>
            </w:r>
            <w:r>
              <w:rPr>
                <w:rFonts w:ascii="Times New Roman" w:eastAsia="Times New Roman" w:hAnsi="Times New Roman" w:cs="Times New Roman"/>
                <w:lang w:val="lv-LV" w:eastAsia="lv-LV"/>
              </w:rPr>
              <w:t xml:space="preserve">. Projektos var </w:t>
            </w:r>
            <w:r>
              <w:rPr>
                <w:rFonts w:ascii="Times New Roman" w:eastAsia="Times New Roman" w:hAnsi="Times New Roman" w:cs="Times New Roman"/>
                <w:lang w:val="lv-LV" w:eastAsia="lv-LV"/>
              </w:rPr>
              <w:lastRenderedPageBreak/>
              <w:t xml:space="preserve">kopīgi izstrādāt vai pārņemt jau gatavu universālu digitālo prasmju attīstību veicinošu </w:t>
            </w:r>
            <w:r w:rsidR="009C3CAB">
              <w:rPr>
                <w:rFonts w:ascii="Times New Roman" w:eastAsia="Times New Roman" w:hAnsi="Times New Roman" w:cs="Times New Roman"/>
                <w:lang w:val="lv-LV" w:eastAsia="lv-LV"/>
              </w:rPr>
              <w:t xml:space="preserve">studiju </w:t>
            </w:r>
            <w:r>
              <w:rPr>
                <w:rFonts w:ascii="Times New Roman" w:eastAsia="Times New Roman" w:hAnsi="Times New Roman" w:cs="Times New Roman"/>
                <w:lang w:val="lv-LV" w:eastAsia="lv-LV"/>
              </w:rPr>
              <w:t>saturu,</w:t>
            </w:r>
            <w:r w:rsidR="00B5756B">
              <w:rPr>
                <w:rFonts w:ascii="Times New Roman" w:eastAsia="Times New Roman" w:hAnsi="Times New Roman" w:cs="Times New Roman"/>
                <w:lang w:val="lv-LV" w:eastAsia="lv-LV"/>
              </w:rPr>
              <w:t xml:space="preserve"> lai to varētu izmantot pēc iespējas lielāks studējošo skaits, vienlaikus</w:t>
            </w:r>
            <w:r>
              <w:rPr>
                <w:rFonts w:ascii="Times New Roman" w:eastAsia="Times New Roman" w:hAnsi="Times New Roman" w:cs="Times New Roman"/>
                <w:lang w:val="lv-LV" w:eastAsia="lv-LV"/>
              </w:rPr>
              <w:t xml:space="preserve"> katra augstskola pēc tam </w:t>
            </w:r>
            <w:r w:rsidR="00B5756B">
              <w:rPr>
                <w:rFonts w:ascii="Times New Roman" w:eastAsia="Times New Roman" w:hAnsi="Times New Roman" w:cs="Times New Roman"/>
                <w:lang w:val="lv-LV" w:eastAsia="lv-LV"/>
              </w:rPr>
              <w:t xml:space="preserve">to </w:t>
            </w:r>
            <w:r>
              <w:rPr>
                <w:rFonts w:ascii="Times New Roman" w:eastAsia="Times New Roman" w:hAnsi="Times New Roman" w:cs="Times New Roman"/>
                <w:lang w:val="lv-LV" w:eastAsia="lv-LV"/>
              </w:rPr>
              <w:t>var pielāgot savai specifikai</w:t>
            </w:r>
            <w:r w:rsidR="00B5756B">
              <w:rPr>
                <w:rFonts w:ascii="Times New Roman" w:eastAsia="Times New Roman" w:hAnsi="Times New Roman" w:cs="Times New Roman"/>
                <w:lang w:val="lv-LV" w:eastAsia="lv-LV"/>
              </w:rPr>
              <w:t>.</w:t>
            </w:r>
            <w:r>
              <w:rPr>
                <w:rFonts w:ascii="Times New Roman" w:eastAsia="Times New Roman" w:hAnsi="Times New Roman" w:cs="Times New Roman"/>
                <w:lang w:val="lv-LV" w:eastAsia="lv-LV"/>
              </w:rPr>
              <w:t xml:space="preserve"> </w:t>
            </w:r>
          </w:p>
          <w:p w:rsidR="00DE1D99" w:rsidRPr="002C2C09" w:rsidRDefault="001E37A1" w:rsidP="00A059B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Skaidrojam, ka anotācijā jau ir noteikts, ka viens no projekta īstenošanas nosacījumiem</w:t>
            </w:r>
            <w:r w:rsidR="00A059B1">
              <w:rPr>
                <w:rFonts w:ascii="Times New Roman" w:eastAsia="Times New Roman" w:hAnsi="Times New Roman" w:cs="Times New Roman"/>
                <w:lang w:val="lv-LV" w:eastAsia="lv-LV"/>
              </w:rPr>
              <w:t xml:space="preserve"> (projektu vērtēšanas kritērijs)</w:t>
            </w:r>
            <w:r>
              <w:rPr>
                <w:rFonts w:ascii="Times New Roman" w:eastAsia="Times New Roman" w:hAnsi="Times New Roman" w:cs="Times New Roman"/>
                <w:lang w:val="lv-LV" w:eastAsia="lv-LV"/>
              </w:rPr>
              <w:t xml:space="preserve"> ir </w:t>
            </w:r>
            <w:r w:rsidR="000870A5">
              <w:rPr>
                <w:rFonts w:ascii="Times New Roman" w:eastAsia="Times New Roman" w:hAnsi="Times New Roman" w:cs="Times New Roman"/>
                <w:lang w:val="lv-LV" w:eastAsia="lv-LV"/>
              </w:rPr>
              <w:t>projektā radītā satura atvērtība</w:t>
            </w:r>
            <w:r>
              <w:rPr>
                <w:rFonts w:ascii="Times New Roman" w:eastAsia="Times New Roman" w:hAnsi="Times New Roman" w:cs="Times New Roman"/>
                <w:lang w:val="lv-LV" w:eastAsia="lv-LV"/>
              </w:rPr>
              <w:t xml:space="preserve"> </w:t>
            </w:r>
            <w:r>
              <w:t xml:space="preserve"> </w:t>
            </w:r>
            <w:r w:rsidRPr="001E37A1">
              <w:rPr>
                <w:rFonts w:ascii="Times New Roman" w:eastAsia="Times New Roman" w:hAnsi="Times New Roman" w:cs="Times New Roman"/>
                <w:lang w:val="lv-LV" w:eastAsia="lv-LV"/>
              </w:rPr>
              <w:t>un koplietošana (projekta izpildē nerodas aizsargājamais intelektuāl</w:t>
            </w:r>
            <w:r>
              <w:rPr>
                <w:rFonts w:ascii="Times New Roman" w:eastAsia="Times New Roman" w:hAnsi="Times New Roman" w:cs="Times New Roman"/>
                <w:lang w:val="lv-LV" w:eastAsia="lv-LV"/>
              </w:rPr>
              <w:t>ais īpašums), lai šos rezultātus varētu izmantot pēc iespējas lielāks interesentu skaits.</w:t>
            </w:r>
            <w:r w:rsidR="00DE1D99">
              <w:rPr>
                <w:rFonts w:ascii="Times New Roman" w:eastAsia="Times New Roman" w:hAnsi="Times New Roman" w:cs="Times New Roman"/>
                <w:lang w:val="lv-LV" w:eastAsia="lv-LV"/>
              </w:rPr>
              <w:t xml:space="preserve"> </w:t>
            </w:r>
          </w:p>
        </w:tc>
        <w:tc>
          <w:tcPr>
            <w:tcW w:w="3260" w:type="dxa"/>
          </w:tcPr>
          <w:p w:rsidR="00CD11FC" w:rsidRPr="0002494F" w:rsidRDefault="00CD11FC" w:rsidP="006F6AE7">
            <w:pPr>
              <w:pStyle w:val="tv2132"/>
              <w:spacing w:line="240" w:lineRule="auto"/>
              <w:ind w:firstLine="0"/>
              <w:contextualSpacing/>
              <w:jc w:val="both"/>
              <w:rPr>
                <w:rFonts w:cstheme="minorBidi"/>
                <w:color w:val="auto"/>
                <w:sz w:val="22"/>
                <w:szCs w:val="22"/>
                <w:lang w:val="lv-LV"/>
              </w:rPr>
            </w:pP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22.</w:t>
            </w:r>
          </w:p>
        </w:tc>
        <w:tc>
          <w:tcPr>
            <w:tcW w:w="2575" w:type="dxa"/>
            <w:shd w:val="clear" w:color="auto" w:fill="auto"/>
          </w:tcPr>
          <w:p w:rsidR="00CD11FC" w:rsidRPr="0002494F" w:rsidRDefault="00CD11FC" w:rsidP="00CD11F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D11FC" w:rsidRPr="0002494F" w:rsidRDefault="00CD11FC" w:rsidP="009A4F6F">
            <w:pPr>
              <w:spacing w:after="0" w:line="240" w:lineRule="auto"/>
              <w:rPr>
                <w:rFonts w:ascii="Times New Roman" w:hAnsi="Times New Roman" w:cs="Times New Roman"/>
                <w:b/>
              </w:rPr>
            </w:pPr>
            <w:r w:rsidRPr="0002494F">
              <w:rPr>
                <w:rFonts w:ascii="Times New Roman" w:hAnsi="Times New Roman" w:cs="Times New Roman"/>
                <w:b/>
              </w:rPr>
              <w:t>Finanšu ministrija (15.iebildums)</w:t>
            </w:r>
          </w:p>
          <w:p w:rsidR="004437FB" w:rsidRPr="0002494F" w:rsidRDefault="004333CB" w:rsidP="009A4F6F">
            <w:pPr>
              <w:spacing w:after="0" w:line="240" w:lineRule="auto"/>
              <w:jc w:val="both"/>
            </w:pPr>
            <w:r w:rsidRPr="0002494F">
              <w:rPr>
                <w:rFonts w:ascii="Times New Roman" w:eastAsia="Times New Roman" w:hAnsi="Times New Roman" w:cs="Times New Roman"/>
                <w:lang w:val="lv-LV"/>
              </w:rPr>
              <w:t>Lūdzam precizēt noteikumu projekta 20.punktu, izmaksu pozīcijām norādot atsauces un uz konkrētām noteikumu projekta 17.punktā norādītajām pasākuma ietvaros atbalstāmajām darbībām, lai nodrošinātu vienotu izpratni par izmaksu attiecināšanu projektu ietvaros.</w:t>
            </w:r>
          </w:p>
        </w:tc>
        <w:tc>
          <w:tcPr>
            <w:tcW w:w="3119" w:type="dxa"/>
            <w:shd w:val="clear" w:color="auto" w:fill="auto"/>
          </w:tcPr>
          <w:p w:rsidR="00CD11FC" w:rsidRPr="0002494F" w:rsidRDefault="00FA50D4"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CD11FC" w:rsidRPr="0002494F" w:rsidRDefault="00FA50D4" w:rsidP="008936C1">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 precizēto noteikumu projektu.</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23.</w:t>
            </w:r>
          </w:p>
        </w:tc>
        <w:tc>
          <w:tcPr>
            <w:tcW w:w="2575" w:type="dxa"/>
            <w:shd w:val="clear" w:color="auto" w:fill="auto"/>
          </w:tcPr>
          <w:p w:rsidR="00CD11FC" w:rsidRPr="0002494F" w:rsidRDefault="00EF2DAB" w:rsidP="00CD11FC">
            <w:pPr>
              <w:pStyle w:val="tv2132"/>
              <w:spacing w:line="240" w:lineRule="auto"/>
              <w:ind w:firstLine="0"/>
              <w:contextualSpacing/>
              <w:jc w:val="both"/>
              <w:rPr>
                <w:rFonts w:cstheme="minorBidi"/>
                <w:color w:val="auto"/>
                <w:sz w:val="22"/>
                <w:szCs w:val="22"/>
                <w:lang w:val="lv-LV"/>
              </w:rPr>
            </w:pPr>
            <w:r w:rsidRPr="00EF2DAB">
              <w:rPr>
                <w:rFonts w:cstheme="minorBidi"/>
                <w:color w:val="auto"/>
                <w:sz w:val="22"/>
                <w:szCs w:val="22"/>
                <w:lang w:val="lv-LV"/>
              </w:rPr>
              <w:t>20.5. transporta izmaksas (maksa par degvielu, transportlīdzekļu noma, transporta pakalpojumu pirkšana, maksa par sabiedriskā transporta izmantošanu</w:t>
            </w:r>
            <w:r>
              <w:rPr>
                <w:rFonts w:cstheme="minorBidi"/>
                <w:color w:val="auto"/>
                <w:sz w:val="22"/>
                <w:szCs w:val="22"/>
                <w:lang w:val="lv-LV"/>
              </w:rPr>
              <w:t>.</w:t>
            </w:r>
          </w:p>
        </w:tc>
        <w:tc>
          <w:tcPr>
            <w:tcW w:w="3969" w:type="dxa"/>
            <w:shd w:val="clear" w:color="auto" w:fill="auto"/>
          </w:tcPr>
          <w:p w:rsidR="00CD11FC" w:rsidRPr="0002494F" w:rsidRDefault="00CD11FC" w:rsidP="009A4F6F">
            <w:pPr>
              <w:spacing w:after="0" w:line="240" w:lineRule="auto"/>
              <w:rPr>
                <w:rFonts w:ascii="Times New Roman" w:hAnsi="Times New Roman" w:cs="Times New Roman"/>
                <w:b/>
              </w:rPr>
            </w:pPr>
            <w:r w:rsidRPr="0002494F">
              <w:rPr>
                <w:rFonts w:ascii="Times New Roman" w:hAnsi="Times New Roman" w:cs="Times New Roman"/>
                <w:b/>
              </w:rPr>
              <w:t>Finanšu ministrija (1</w:t>
            </w:r>
            <w:r w:rsidR="004333CB" w:rsidRPr="0002494F">
              <w:rPr>
                <w:rFonts w:ascii="Times New Roman" w:hAnsi="Times New Roman" w:cs="Times New Roman"/>
                <w:b/>
              </w:rPr>
              <w:t>6</w:t>
            </w:r>
            <w:r w:rsidRPr="0002494F">
              <w:rPr>
                <w:rFonts w:ascii="Times New Roman" w:hAnsi="Times New Roman" w:cs="Times New Roman"/>
                <w:b/>
              </w:rPr>
              <w:t>.iebildums)</w:t>
            </w:r>
          </w:p>
          <w:p w:rsidR="004333CB" w:rsidRPr="0002494F" w:rsidRDefault="004333CB" w:rsidP="009A4F6F">
            <w:pPr>
              <w:spacing w:after="0" w:line="240" w:lineRule="auto"/>
              <w:jc w:val="both"/>
            </w:pPr>
            <w:r w:rsidRPr="0002494F">
              <w:rPr>
                <w:rFonts w:ascii="Times New Roman" w:eastAsia="Times New Roman" w:hAnsi="Times New Roman" w:cs="Times New Roman"/>
                <w:lang w:val="lv-LV"/>
              </w:rPr>
              <w:t>Lai novērstu interpretācijas iespējas projekta īstenošanas laikā, lūdzam precizēt noteikumu projekta 20.5.apakšpunktu, nosakot, ka iekšzemes transporta izmaksas ir attiecināmas kopā ar iekšzemes komandējuma izmaksām vai skaidrot, kādas transporta izmaksas papildus tiek plānotas, nepieciešamības gadījumā papildinot atbalstāmās darbības.</w:t>
            </w:r>
          </w:p>
        </w:tc>
        <w:tc>
          <w:tcPr>
            <w:tcW w:w="3119" w:type="dxa"/>
            <w:shd w:val="clear" w:color="auto" w:fill="auto"/>
          </w:tcPr>
          <w:p w:rsidR="00CD11FC" w:rsidRDefault="00EF2DAB"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 xml:space="preserve">Ņemts vērā </w:t>
            </w:r>
          </w:p>
          <w:p w:rsidR="00C838AC" w:rsidRDefault="00C838AC" w:rsidP="00CD11FC">
            <w:pPr>
              <w:spacing w:after="0" w:line="240" w:lineRule="auto"/>
              <w:jc w:val="both"/>
              <w:rPr>
                <w:rFonts w:ascii="Times New Roman" w:eastAsia="Times New Roman" w:hAnsi="Times New Roman" w:cs="Times New Roman"/>
                <w:b/>
                <w:lang w:val="lv-LV" w:eastAsia="lv-LV"/>
              </w:rPr>
            </w:pPr>
          </w:p>
          <w:p w:rsidR="00C838AC" w:rsidRPr="0002494F" w:rsidRDefault="00C838AC" w:rsidP="00CD11FC">
            <w:pPr>
              <w:spacing w:after="0" w:line="240" w:lineRule="auto"/>
              <w:jc w:val="both"/>
              <w:rPr>
                <w:rFonts w:ascii="Times New Roman" w:eastAsia="Times New Roman" w:hAnsi="Times New Roman" w:cs="Times New Roman"/>
                <w:b/>
                <w:lang w:val="lv-LV" w:eastAsia="lv-LV"/>
              </w:rPr>
            </w:pPr>
          </w:p>
        </w:tc>
        <w:tc>
          <w:tcPr>
            <w:tcW w:w="3260" w:type="dxa"/>
          </w:tcPr>
          <w:p w:rsidR="00CD11FC" w:rsidRPr="0002494F" w:rsidRDefault="00C307DC" w:rsidP="007F6EE7">
            <w:pPr>
              <w:pStyle w:val="tv2132"/>
              <w:spacing w:line="240" w:lineRule="auto"/>
              <w:ind w:firstLine="0"/>
              <w:contextualSpacing/>
              <w:jc w:val="both"/>
              <w:rPr>
                <w:rFonts w:cstheme="minorBidi"/>
                <w:color w:val="auto"/>
                <w:sz w:val="22"/>
                <w:szCs w:val="22"/>
                <w:lang w:val="lv-LV"/>
              </w:rPr>
            </w:pPr>
            <w:r w:rsidRPr="00C307DC">
              <w:rPr>
                <w:rFonts w:cstheme="minorBidi"/>
                <w:color w:val="auto"/>
                <w:sz w:val="22"/>
                <w:szCs w:val="22"/>
                <w:lang w:val="lv-LV"/>
              </w:rPr>
              <w:t>2</w:t>
            </w:r>
            <w:r w:rsidR="007F6EE7">
              <w:rPr>
                <w:rFonts w:cstheme="minorBidi"/>
                <w:color w:val="auto"/>
                <w:sz w:val="22"/>
                <w:szCs w:val="22"/>
                <w:lang w:val="lv-LV"/>
              </w:rPr>
              <w:t>0</w:t>
            </w:r>
            <w:r w:rsidRPr="00C307DC">
              <w:rPr>
                <w:rFonts w:cstheme="minorBidi"/>
                <w:color w:val="auto"/>
                <w:sz w:val="22"/>
                <w:szCs w:val="22"/>
                <w:lang w:val="lv-LV"/>
              </w:rPr>
              <w:t>.</w:t>
            </w:r>
            <w:r w:rsidR="00FA079F">
              <w:rPr>
                <w:rFonts w:cstheme="minorBidi"/>
                <w:color w:val="auto"/>
                <w:sz w:val="22"/>
                <w:szCs w:val="22"/>
                <w:lang w:val="lv-LV"/>
              </w:rPr>
              <w:t>4</w:t>
            </w:r>
            <w:r w:rsidRPr="00C307DC">
              <w:rPr>
                <w:rFonts w:cstheme="minorBidi"/>
                <w:color w:val="auto"/>
                <w:sz w:val="22"/>
                <w:szCs w:val="22"/>
                <w:lang w:val="lv-LV"/>
              </w:rPr>
              <w:t xml:space="preserve">. transporta izmaksas (maksa par degvielu, transportlīdzekļu noma, transporta pakalpojumu pirkšana, maksa par sabiedriskā transporta izmantošanu), </w:t>
            </w:r>
            <w:r w:rsidRPr="007F6EE7">
              <w:rPr>
                <w:rFonts w:cstheme="minorBidi"/>
                <w:b/>
                <w:color w:val="auto"/>
                <w:sz w:val="22"/>
                <w:szCs w:val="22"/>
                <w:lang w:val="lv-LV"/>
              </w:rPr>
              <w:t xml:space="preserve">kas ir </w:t>
            </w:r>
            <w:r w:rsidRPr="007F6EE7">
              <w:rPr>
                <w:b/>
                <w:color w:val="auto"/>
                <w:sz w:val="28"/>
                <w:szCs w:val="28"/>
                <w:lang w:val="lv-LV"/>
              </w:rPr>
              <w:t xml:space="preserve"> </w:t>
            </w:r>
            <w:r w:rsidRPr="007F6EE7">
              <w:rPr>
                <w:rFonts w:cstheme="minorBidi"/>
                <w:b/>
                <w:color w:val="auto"/>
                <w:sz w:val="22"/>
                <w:szCs w:val="22"/>
                <w:lang w:val="lv-LV"/>
              </w:rPr>
              <w:t xml:space="preserve">daļa no iekšzemes komandējumu </w:t>
            </w:r>
            <w:r w:rsidR="00FA079F" w:rsidRPr="007F6EE7">
              <w:rPr>
                <w:rFonts w:cstheme="minorBidi"/>
                <w:b/>
                <w:color w:val="auto"/>
                <w:sz w:val="22"/>
                <w:szCs w:val="22"/>
                <w:lang w:val="lv-LV"/>
              </w:rPr>
              <w:t xml:space="preserve">vai darba braucienu </w:t>
            </w:r>
            <w:r w:rsidRPr="007F6EE7">
              <w:rPr>
                <w:rFonts w:cstheme="minorBidi"/>
                <w:b/>
                <w:color w:val="auto"/>
                <w:sz w:val="22"/>
                <w:szCs w:val="22"/>
                <w:lang w:val="lv-LV"/>
              </w:rPr>
              <w:t>izmaksām</w:t>
            </w:r>
            <w:r>
              <w:rPr>
                <w:rFonts w:cstheme="minorBidi"/>
                <w:color w:val="auto"/>
                <w:sz w:val="22"/>
                <w:szCs w:val="22"/>
                <w:lang w:val="lv-LV"/>
              </w:rPr>
              <w:t>.</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24.</w:t>
            </w:r>
          </w:p>
        </w:tc>
        <w:tc>
          <w:tcPr>
            <w:tcW w:w="2575" w:type="dxa"/>
            <w:shd w:val="clear" w:color="auto" w:fill="auto"/>
          </w:tcPr>
          <w:p w:rsidR="00CD11FC" w:rsidRPr="0002494F" w:rsidRDefault="007F6EE7" w:rsidP="007F6EE7">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20.6. </w:t>
            </w:r>
            <w:r w:rsidRPr="007F6EE7">
              <w:rPr>
                <w:rFonts w:cstheme="minorBidi"/>
                <w:color w:val="auto"/>
                <w:sz w:val="22"/>
                <w:szCs w:val="22"/>
                <w:lang w:val="lv-LV"/>
              </w:rPr>
              <w:t>projekta ieviešanas dokumentācijas izstrādes izmaksas, tai skaitā tehniskās specifikācijas sagatavošanas izmaksas informācijas sistēmas izstrādei vai iegādei;</w:t>
            </w:r>
          </w:p>
        </w:tc>
        <w:tc>
          <w:tcPr>
            <w:tcW w:w="3969" w:type="dxa"/>
            <w:shd w:val="clear" w:color="auto" w:fill="auto"/>
          </w:tcPr>
          <w:p w:rsidR="00CD11FC" w:rsidRPr="0002494F" w:rsidRDefault="00CD11FC" w:rsidP="009A4F6F">
            <w:pPr>
              <w:spacing w:after="0" w:line="240" w:lineRule="auto"/>
              <w:jc w:val="both"/>
              <w:rPr>
                <w:rFonts w:ascii="Times New Roman" w:hAnsi="Times New Roman" w:cs="Times New Roman"/>
                <w:b/>
              </w:rPr>
            </w:pPr>
            <w:r w:rsidRPr="0002494F">
              <w:rPr>
                <w:rFonts w:ascii="Times New Roman" w:hAnsi="Times New Roman" w:cs="Times New Roman"/>
                <w:b/>
              </w:rPr>
              <w:t>Finanšu ministrija (1</w:t>
            </w:r>
            <w:r w:rsidR="004333CB" w:rsidRPr="0002494F">
              <w:rPr>
                <w:rFonts w:ascii="Times New Roman" w:hAnsi="Times New Roman" w:cs="Times New Roman"/>
                <w:b/>
              </w:rPr>
              <w:t>7</w:t>
            </w:r>
            <w:r w:rsidRPr="0002494F">
              <w:rPr>
                <w:rFonts w:ascii="Times New Roman" w:hAnsi="Times New Roman" w:cs="Times New Roman"/>
                <w:b/>
              </w:rPr>
              <w:t>.iebildums)</w:t>
            </w:r>
          </w:p>
          <w:p w:rsidR="004333CB" w:rsidRPr="0002494F" w:rsidRDefault="00D16C49" w:rsidP="007F6EE7">
            <w:pPr>
              <w:spacing w:after="0" w:line="240" w:lineRule="auto"/>
              <w:jc w:val="both"/>
            </w:pPr>
            <w:r>
              <w:rPr>
                <w:rFonts w:ascii="Times New Roman" w:eastAsia="Times New Roman" w:hAnsi="Times New Roman" w:cs="Times New Roman"/>
                <w:lang w:val="lv-LV"/>
              </w:rPr>
              <w:t xml:space="preserve">(1) </w:t>
            </w:r>
            <w:r w:rsidR="004333CB" w:rsidRPr="0002494F">
              <w:rPr>
                <w:rFonts w:ascii="Times New Roman" w:eastAsia="Times New Roman" w:hAnsi="Times New Roman" w:cs="Times New Roman"/>
                <w:lang w:val="lv-LV"/>
              </w:rPr>
              <w:t>Lūdzam precizēt noteikumu projekta 20.</w:t>
            </w:r>
            <w:r w:rsidR="007F6EE7">
              <w:rPr>
                <w:rFonts w:ascii="Times New Roman" w:eastAsia="Times New Roman" w:hAnsi="Times New Roman" w:cs="Times New Roman"/>
                <w:lang w:val="lv-LV"/>
              </w:rPr>
              <w:t>6</w:t>
            </w:r>
            <w:r w:rsidR="004333CB" w:rsidRPr="0002494F">
              <w:rPr>
                <w:rFonts w:ascii="Times New Roman" w:eastAsia="Times New Roman" w:hAnsi="Times New Roman" w:cs="Times New Roman"/>
                <w:lang w:val="lv-LV"/>
              </w:rPr>
              <w:t>.apakšpunktu vai papildināt anotāciju ar skaidrojumu par 20.</w:t>
            </w:r>
            <w:r w:rsidR="007F6EE7">
              <w:rPr>
                <w:rFonts w:ascii="Times New Roman" w:eastAsia="Times New Roman" w:hAnsi="Times New Roman" w:cs="Times New Roman"/>
                <w:lang w:val="lv-LV"/>
              </w:rPr>
              <w:t>6</w:t>
            </w:r>
            <w:r w:rsidR="004333CB" w:rsidRPr="0002494F">
              <w:rPr>
                <w:rFonts w:ascii="Times New Roman" w:eastAsia="Times New Roman" w:hAnsi="Times New Roman" w:cs="Times New Roman"/>
                <w:lang w:val="lv-LV"/>
              </w:rPr>
              <w:t xml:space="preserve">.apakšpunktā minētajām projekta ieviešanas dokumentācijas izstrādes izmaksām. Ja ar šādām izmaksām plānotas projekta iesnieguma sagatavošanas izmaksas, lūdzam šādas izmaksas svītrot; tehnisko specifikāciju sagatavotājiem lūdzam papildināt </w:t>
            </w:r>
            <w:r w:rsidR="004333CB" w:rsidRPr="000120E7">
              <w:rPr>
                <w:rFonts w:ascii="Times New Roman" w:eastAsia="Times New Roman" w:hAnsi="Times New Roman" w:cs="Times New Roman"/>
                <w:lang w:val="lv-LV"/>
              </w:rPr>
              <w:t xml:space="preserve">īstenošanas personāla vai pakalpojumu aprakstu. </w:t>
            </w:r>
            <w:r w:rsidRPr="000120E7">
              <w:rPr>
                <w:rFonts w:ascii="Times New Roman" w:eastAsia="Times New Roman" w:hAnsi="Times New Roman" w:cs="Times New Roman"/>
                <w:lang w:val="lv-LV"/>
              </w:rPr>
              <w:t xml:space="preserve">(2) </w:t>
            </w:r>
            <w:r w:rsidR="004333CB" w:rsidRPr="000120E7">
              <w:rPr>
                <w:rFonts w:ascii="Times New Roman" w:eastAsia="Times New Roman" w:hAnsi="Times New Roman" w:cs="Times New Roman"/>
                <w:lang w:val="lv-LV"/>
              </w:rPr>
              <w:t xml:space="preserve">Gadījumā, ja plānotas infrastruktūras izmaksas, lūdzam vismaz anotācijā iekļaut rekomendētos izmaksu sliekšņus vai procentuālo sadalījumu starp infrastruktūras iegādes, digitālo tehnoloģisko risinājumu ieviešanas un personāla </w:t>
            </w:r>
            <w:r w:rsidR="004333CB" w:rsidRPr="00D16C49">
              <w:rPr>
                <w:rFonts w:ascii="Times New Roman" w:eastAsia="Times New Roman" w:hAnsi="Times New Roman" w:cs="Times New Roman"/>
                <w:lang w:val="lv-LV"/>
              </w:rPr>
              <w:t xml:space="preserve">apmācību izmaksām. </w:t>
            </w:r>
            <w:r w:rsidRPr="00D16C49">
              <w:rPr>
                <w:rFonts w:ascii="Times New Roman" w:eastAsia="Times New Roman" w:hAnsi="Times New Roman" w:cs="Times New Roman"/>
                <w:lang w:val="lv-LV"/>
              </w:rPr>
              <w:t xml:space="preserve">(3) </w:t>
            </w:r>
            <w:r w:rsidR="004333CB" w:rsidRPr="00D16C49">
              <w:rPr>
                <w:rFonts w:ascii="Times New Roman" w:eastAsia="Times New Roman" w:hAnsi="Times New Roman" w:cs="Times New Roman"/>
                <w:lang w:val="lv-LV"/>
              </w:rPr>
              <w:t>Vienlaikus</w:t>
            </w:r>
            <w:r w:rsidR="004333CB" w:rsidRPr="0002494F">
              <w:rPr>
                <w:rFonts w:ascii="Times New Roman" w:eastAsia="Times New Roman" w:hAnsi="Times New Roman" w:cs="Times New Roman"/>
                <w:lang w:val="lv-LV"/>
              </w:rPr>
              <w:t xml:space="preserve"> lūdzam papildināt anotāciju ar skaidrojumu, kā vērtējama šajā pasākumā plānotās infrastruktūras iegāde ar 8.2.3.SAM otrās projektu iesniegumu kārtas ietvaros paredzēto augstākās izglītības iestāžu konsolidāciju.</w:t>
            </w:r>
          </w:p>
        </w:tc>
        <w:tc>
          <w:tcPr>
            <w:tcW w:w="3119" w:type="dxa"/>
            <w:shd w:val="clear" w:color="auto" w:fill="auto"/>
          </w:tcPr>
          <w:p w:rsidR="00CD11FC" w:rsidRDefault="00D16C49"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D16C49" w:rsidRPr="000120E7" w:rsidRDefault="00D16C49" w:rsidP="00D16C4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(1) </w:t>
            </w:r>
            <w:r w:rsidRPr="00D16C49">
              <w:rPr>
                <w:rFonts w:ascii="Times New Roman" w:eastAsia="Times New Roman" w:hAnsi="Times New Roman" w:cs="Times New Roman"/>
                <w:lang w:val="lv-LV" w:eastAsia="lv-LV"/>
              </w:rPr>
              <w:t>20.6.</w:t>
            </w:r>
            <w:r w:rsidRPr="000120E7">
              <w:rPr>
                <w:rFonts w:ascii="Times New Roman" w:eastAsia="Times New Roman" w:hAnsi="Times New Roman" w:cs="Times New Roman"/>
                <w:lang w:val="lv-LV" w:eastAsia="lv-LV"/>
              </w:rPr>
              <w:t xml:space="preserve">apakšpunktā norādītās izmaksas </w:t>
            </w:r>
            <w:r w:rsidR="007F6EE7">
              <w:rPr>
                <w:rFonts w:ascii="Times New Roman" w:eastAsia="Times New Roman" w:hAnsi="Times New Roman" w:cs="Times New Roman"/>
                <w:lang w:val="lv-LV" w:eastAsia="lv-LV"/>
              </w:rPr>
              <w:t xml:space="preserve">projekta ieviešanas dokumentācijas izstrādes izmaksas </w:t>
            </w:r>
            <w:r w:rsidRPr="000120E7">
              <w:rPr>
                <w:rFonts w:ascii="Times New Roman" w:eastAsia="Times New Roman" w:hAnsi="Times New Roman" w:cs="Times New Roman"/>
                <w:lang w:val="lv-LV" w:eastAsia="lv-LV"/>
              </w:rPr>
              <w:t>ir svītrotas;</w:t>
            </w:r>
          </w:p>
          <w:p w:rsidR="00D16C49" w:rsidRPr="000120E7" w:rsidRDefault="00D16C49" w:rsidP="00CD11FC">
            <w:pPr>
              <w:spacing w:after="0" w:line="240" w:lineRule="auto"/>
              <w:jc w:val="both"/>
              <w:rPr>
                <w:rFonts w:ascii="Times New Roman" w:eastAsia="Times New Roman" w:hAnsi="Times New Roman" w:cs="Times New Roman"/>
                <w:lang w:val="lv-LV" w:eastAsia="lv-LV"/>
              </w:rPr>
            </w:pPr>
            <w:r w:rsidRPr="000120E7">
              <w:rPr>
                <w:rFonts w:ascii="Times New Roman" w:eastAsia="Times New Roman" w:hAnsi="Times New Roman" w:cs="Times New Roman"/>
                <w:lang w:val="lv-LV" w:eastAsia="lv-LV"/>
              </w:rPr>
              <w:t xml:space="preserve">(2) </w:t>
            </w:r>
            <w:r w:rsidR="000120E7" w:rsidRPr="000120E7">
              <w:rPr>
                <w:rFonts w:ascii="Times New Roman" w:eastAsia="Times New Roman" w:hAnsi="Times New Roman" w:cs="Times New Roman"/>
                <w:lang w:val="lv-LV" w:eastAsia="lv-LV"/>
              </w:rPr>
              <w:t>Noteikumu projekts papildināts ar attiecīgu punktu</w:t>
            </w:r>
            <w:r w:rsidR="00FF52A4">
              <w:rPr>
                <w:rFonts w:ascii="Times New Roman" w:eastAsia="Times New Roman" w:hAnsi="Times New Roman" w:cs="Times New Roman"/>
                <w:lang w:val="lv-LV" w:eastAsia="lv-LV"/>
              </w:rPr>
              <w:t xml:space="preserve"> (21. punkts)</w:t>
            </w:r>
            <w:r w:rsidRPr="000120E7">
              <w:rPr>
                <w:rFonts w:ascii="Times New Roman" w:eastAsia="Times New Roman" w:hAnsi="Times New Roman" w:cs="Times New Roman"/>
                <w:lang w:val="lv-LV" w:eastAsia="lv-LV"/>
              </w:rPr>
              <w:t xml:space="preserve">; </w:t>
            </w:r>
          </w:p>
          <w:p w:rsidR="00D16C49" w:rsidRPr="0002494F" w:rsidRDefault="00D16C49" w:rsidP="005105B5">
            <w:pPr>
              <w:spacing w:after="0" w:line="240" w:lineRule="auto"/>
              <w:jc w:val="both"/>
              <w:rPr>
                <w:rFonts w:ascii="Times New Roman" w:eastAsia="Times New Roman" w:hAnsi="Times New Roman" w:cs="Times New Roman"/>
                <w:b/>
                <w:lang w:val="lv-LV" w:eastAsia="lv-LV"/>
              </w:rPr>
            </w:pPr>
            <w:r w:rsidRPr="000120E7">
              <w:rPr>
                <w:rFonts w:ascii="Times New Roman" w:eastAsia="Times New Roman" w:hAnsi="Times New Roman" w:cs="Times New Roman"/>
                <w:lang w:val="lv-LV" w:eastAsia="lv-LV"/>
              </w:rPr>
              <w:t xml:space="preserve">(3) </w:t>
            </w:r>
            <w:r w:rsidR="001949C3" w:rsidRPr="000120E7">
              <w:rPr>
                <w:rFonts w:ascii="Times New Roman" w:eastAsia="Times New Roman" w:hAnsi="Times New Roman" w:cs="Times New Roman"/>
                <w:lang w:val="lv-LV" w:eastAsia="lv-LV"/>
              </w:rPr>
              <w:t>Sk</w:t>
            </w:r>
            <w:r w:rsidR="001641B0" w:rsidRPr="000120E7">
              <w:rPr>
                <w:rFonts w:ascii="Times New Roman" w:eastAsia="Times New Roman" w:hAnsi="Times New Roman" w:cs="Times New Roman"/>
                <w:lang w:val="lv-LV" w:eastAsia="lv-LV"/>
              </w:rPr>
              <w:t>.</w:t>
            </w:r>
            <w:r w:rsidR="001949C3" w:rsidRPr="000120E7">
              <w:rPr>
                <w:rFonts w:ascii="Times New Roman" w:eastAsia="Times New Roman" w:hAnsi="Times New Roman" w:cs="Times New Roman"/>
                <w:lang w:val="lv-LV" w:eastAsia="lv-LV"/>
              </w:rPr>
              <w:t xml:space="preserve"> izziņas </w:t>
            </w:r>
            <w:r w:rsidR="00B32C80">
              <w:rPr>
                <w:rFonts w:ascii="Times New Roman" w:eastAsia="Times New Roman" w:hAnsi="Times New Roman" w:cs="Times New Roman"/>
                <w:lang w:val="lv-LV" w:eastAsia="lv-LV"/>
              </w:rPr>
              <w:t xml:space="preserve">17. </w:t>
            </w:r>
            <w:r w:rsidR="001949C3" w:rsidRPr="000120E7">
              <w:rPr>
                <w:rFonts w:ascii="Times New Roman" w:eastAsia="Times New Roman" w:hAnsi="Times New Roman" w:cs="Times New Roman"/>
                <w:lang w:val="lv-LV" w:eastAsia="lv-LV"/>
              </w:rPr>
              <w:t>punkt</w:t>
            </w:r>
            <w:r w:rsidR="001641B0" w:rsidRPr="000120E7">
              <w:rPr>
                <w:rFonts w:ascii="Times New Roman" w:eastAsia="Times New Roman" w:hAnsi="Times New Roman" w:cs="Times New Roman"/>
                <w:lang w:val="lv-LV" w:eastAsia="lv-LV"/>
              </w:rPr>
              <w:t>a skaidrojumu 2</w:t>
            </w:r>
            <w:r w:rsidR="001641B0">
              <w:rPr>
                <w:rFonts w:ascii="Times New Roman" w:eastAsia="Times New Roman" w:hAnsi="Times New Roman" w:cs="Times New Roman"/>
                <w:lang w:val="lv-LV" w:eastAsia="lv-LV"/>
              </w:rPr>
              <w:t>)</w:t>
            </w:r>
            <w:r w:rsidR="001949C3">
              <w:rPr>
                <w:rFonts w:ascii="Times New Roman" w:eastAsia="Times New Roman" w:hAnsi="Times New Roman" w:cs="Times New Roman"/>
                <w:lang w:val="lv-LV" w:eastAsia="lv-LV"/>
              </w:rPr>
              <w:t>.</w:t>
            </w:r>
          </w:p>
        </w:tc>
        <w:tc>
          <w:tcPr>
            <w:tcW w:w="3260" w:type="dxa"/>
          </w:tcPr>
          <w:p w:rsidR="00CD11FC" w:rsidRPr="0002494F" w:rsidRDefault="00000B6C" w:rsidP="007F6EE7">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(2) </w:t>
            </w:r>
            <w:r w:rsidR="000120E7" w:rsidRPr="00C87FB9">
              <w:rPr>
                <w:rFonts w:cstheme="minorBidi"/>
                <w:color w:val="auto"/>
                <w:sz w:val="22"/>
                <w:szCs w:val="22"/>
                <w:lang w:val="lv-LV"/>
              </w:rPr>
              <w:t>2</w:t>
            </w:r>
            <w:r w:rsidR="007F6EE7">
              <w:rPr>
                <w:rFonts w:cstheme="minorBidi"/>
                <w:color w:val="auto"/>
                <w:sz w:val="22"/>
                <w:szCs w:val="22"/>
                <w:lang w:val="lv-LV"/>
              </w:rPr>
              <w:t>1</w:t>
            </w:r>
            <w:r w:rsidR="000120E7" w:rsidRPr="00C87FB9">
              <w:rPr>
                <w:rFonts w:cstheme="minorBidi"/>
                <w:color w:val="auto"/>
                <w:sz w:val="22"/>
                <w:szCs w:val="22"/>
                <w:lang w:val="lv-LV"/>
              </w:rPr>
              <w:t>.</w:t>
            </w:r>
            <w:r w:rsidR="000120E7">
              <w:rPr>
                <w:rFonts w:cstheme="minorBidi"/>
                <w:color w:val="auto"/>
                <w:sz w:val="22"/>
                <w:szCs w:val="22"/>
                <w:lang w:val="lv-LV"/>
              </w:rPr>
              <w:t xml:space="preserve"> Šo noteikumu 2</w:t>
            </w:r>
            <w:r w:rsidR="007F6EE7">
              <w:rPr>
                <w:rFonts w:cstheme="minorBidi"/>
                <w:color w:val="auto"/>
                <w:sz w:val="22"/>
                <w:szCs w:val="22"/>
                <w:lang w:val="lv-LV"/>
              </w:rPr>
              <w:t>0</w:t>
            </w:r>
            <w:r w:rsidR="000120E7">
              <w:rPr>
                <w:rFonts w:cstheme="minorBidi"/>
                <w:color w:val="auto"/>
                <w:sz w:val="22"/>
                <w:szCs w:val="22"/>
                <w:lang w:val="lv-LV"/>
              </w:rPr>
              <w:t xml:space="preserve">.7. apakšpunktā </w:t>
            </w:r>
            <w:r w:rsidR="000120E7">
              <w:t xml:space="preserve"> </w:t>
            </w:r>
            <w:r w:rsidR="000120E7" w:rsidRPr="000120E7">
              <w:rPr>
                <w:rFonts w:cstheme="minorBidi"/>
                <w:color w:val="auto"/>
                <w:sz w:val="22"/>
                <w:szCs w:val="22"/>
                <w:lang w:val="lv-LV"/>
              </w:rPr>
              <w:t>minētās izmaksas nepārsniedz</w:t>
            </w:r>
            <w:r w:rsidR="000120E7">
              <w:rPr>
                <w:rFonts w:cstheme="minorBidi"/>
                <w:color w:val="auto"/>
                <w:sz w:val="22"/>
                <w:szCs w:val="22"/>
                <w:lang w:val="lv-LV"/>
              </w:rPr>
              <w:t xml:space="preserve"> </w:t>
            </w:r>
            <w:r w:rsidR="00DD25FE" w:rsidRPr="007F6EE7">
              <w:rPr>
                <w:rFonts w:cstheme="minorBidi"/>
                <w:color w:val="auto"/>
                <w:sz w:val="22"/>
                <w:szCs w:val="22"/>
                <w:lang w:val="lv-LV"/>
              </w:rPr>
              <w:t>div</w:t>
            </w:r>
            <w:r w:rsidR="000120E7" w:rsidRPr="007F6EE7">
              <w:rPr>
                <w:rFonts w:cstheme="minorBidi"/>
                <w:color w:val="auto"/>
                <w:sz w:val="22"/>
                <w:szCs w:val="22"/>
                <w:lang w:val="lv-LV"/>
              </w:rPr>
              <w:t>des</w:t>
            </w:r>
            <w:r w:rsidR="000120E7">
              <w:rPr>
                <w:rFonts w:cstheme="minorBidi"/>
                <w:color w:val="auto"/>
                <w:sz w:val="22"/>
                <w:szCs w:val="22"/>
                <w:lang w:val="lv-LV"/>
              </w:rPr>
              <w:t>mit procentus no kopējām attiecināmajām izmaksām.</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25.</w:t>
            </w:r>
          </w:p>
        </w:tc>
        <w:tc>
          <w:tcPr>
            <w:tcW w:w="2575" w:type="dxa"/>
            <w:shd w:val="clear" w:color="auto" w:fill="auto"/>
          </w:tcPr>
          <w:p w:rsidR="00CD11FC" w:rsidRPr="0002494F" w:rsidRDefault="00CD11FC" w:rsidP="00CD11F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D11FC" w:rsidRPr="0002494F" w:rsidRDefault="00CD11FC" w:rsidP="009A4F6F">
            <w:pPr>
              <w:spacing w:after="0" w:line="240" w:lineRule="auto"/>
              <w:rPr>
                <w:rFonts w:ascii="Times New Roman" w:hAnsi="Times New Roman" w:cs="Times New Roman"/>
                <w:b/>
              </w:rPr>
            </w:pPr>
            <w:r w:rsidRPr="0002494F">
              <w:rPr>
                <w:rFonts w:ascii="Times New Roman" w:hAnsi="Times New Roman" w:cs="Times New Roman"/>
                <w:b/>
              </w:rPr>
              <w:t>Finanšu ministrija (1</w:t>
            </w:r>
            <w:r w:rsidR="004333CB" w:rsidRPr="0002494F">
              <w:rPr>
                <w:rFonts w:ascii="Times New Roman" w:hAnsi="Times New Roman" w:cs="Times New Roman"/>
                <w:b/>
              </w:rPr>
              <w:t>8</w:t>
            </w:r>
            <w:r w:rsidRPr="0002494F">
              <w:rPr>
                <w:rFonts w:ascii="Times New Roman" w:hAnsi="Times New Roman" w:cs="Times New Roman"/>
                <w:b/>
              </w:rPr>
              <w:t>.iebildums)</w:t>
            </w:r>
          </w:p>
          <w:p w:rsidR="004333CB" w:rsidRPr="0002494F" w:rsidRDefault="004333CB" w:rsidP="009A4F6F">
            <w:pPr>
              <w:spacing w:after="0" w:line="240" w:lineRule="auto"/>
              <w:jc w:val="both"/>
            </w:pPr>
            <w:r w:rsidRPr="0002494F">
              <w:rPr>
                <w:rFonts w:ascii="Times New Roman" w:eastAsia="Times New Roman" w:hAnsi="Times New Roman" w:cs="Times New Roman"/>
                <w:lang w:val="lv-LV"/>
              </w:rPr>
              <w:t>Vēršam uzmanību, ka noteikumu projekta 20.7., 20.8. un 20.9.apakšpunktos minētās izmaksas nav viennozīmīgi interpretējamas (nav saprotams, vai tās ir īstenošanas personāla atlīdzības izmaksas vai pakalpojuma izmaksas, kas iepriekš noteikumu projekta tekstā jau ir definētas, vai citas izmaksas), lūdzam svītrot vai precizēt šos apakšpunktus, lai izvairītos no interpretācijas iespējām. Atbilstoši lūdzam pēc būtības papildināt atbalstāmo darbību redakcijas.</w:t>
            </w:r>
          </w:p>
        </w:tc>
        <w:tc>
          <w:tcPr>
            <w:tcW w:w="3119" w:type="dxa"/>
            <w:shd w:val="clear" w:color="auto" w:fill="auto"/>
          </w:tcPr>
          <w:p w:rsidR="00CD11FC" w:rsidRPr="0002494F" w:rsidRDefault="00D03F59"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CD11FC" w:rsidRPr="0002494F" w:rsidRDefault="00445945" w:rsidP="008936C1">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 precizēto noteikumu projektu</w:t>
            </w:r>
            <w:r w:rsidR="001A6B99">
              <w:rPr>
                <w:rFonts w:cstheme="minorBidi"/>
                <w:color w:val="auto"/>
                <w:sz w:val="22"/>
                <w:szCs w:val="22"/>
                <w:lang w:val="lv-LV"/>
              </w:rPr>
              <w:t>.</w:t>
            </w:r>
          </w:p>
        </w:tc>
      </w:tr>
      <w:tr w:rsidR="00CD11F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26.</w:t>
            </w:r>
          </w:p>
        </w:tc>
        <w:tc>
          <w:tcPr>
            <w:tcW w:w="2575" w:type="dxa"/>
            <w:shd w:val="clear" w:color="auto" w:fill="auto"/>
          </w:tcPr>
          <w:p w:rsidR="00CD11FC" w:rsidRPr="0002494F" w:rsidRDefault="00CD11FC" w:rsidP="00CD11F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D11FC" w:rsidRPr="0002494F" w:rsidRDefault="00CD11FC" w:rsidP="009A4F6F">
            <w:pPr>
              <w:spacing w:after="0" w:line="240" w:lineRule="auto"/>
              <w:rPr>
                <w:rFonts w:ascii="Times New Roman" w:hAnsi="Times New Roman" w:cs="Times New Roman"/>
                <w:b/>
              </w:rPr>
            </w:pPr>
            <w:r w:rsidRPr="0002494F">
              <w:rPr>
                <w:rFonts w:ascii="Times New Roman" w:hAnsi="Times New Roman" w:cs="Times New Roman"/>
                <w:b/>
              </w:rPr>
              <w:t>Finanšu ministrija (1</w:t>
            </w:r>
            <w:r w:rsidR="004333CB" w:rsidRPr="0002494F">
              <w:rPr>
                <w:rFonts w:ascii="Times New Roman" w:hAnsi="Times New Roman" w:cs="Times New Roman"/>
                <w:b/>
              </w:rPr>
              <w:t>9</w:t>
            </w:r>
            <w:r w:rsidRPr="0002494F">
              <w:rPr>
                <w:rFonts w:ascii="Times New Roman" w:hAnsi="Times New Roman" w:cs="Times New Roman"/>
                <w:b/>
              </w:rPr>
              <w:t>.iebildums)</w:t>
            </w:r>
          </w:p>
          <w:p w:rsidR="004333CB" w:rsidRPr="0002494F" w:rsidRDefault="004333CB" w:rsidP="009A4F6F">
            <w:pPr>
              <w:spacing w:after="0" w:line="240" w:lineRule="auto"/>
              <w:jc w:val="both"/>
            </w:pPr>
            <w:r w:rsidRPr="0002494F">
              <w:rPr>
                <w:rFonts w:ascii="Times New Roman" w:eastAsia="Times New Roman" w:hAnsi="Times New Roman" w:cs="Times New Roman"/>
                <w:lang w:val="lv-LV"/>
              </w:rPr>
              <w:t>Lūdzam skaidrot, kādā apjomā (procentuāli vai absolūtos skaitļos) 14.1.1.1.pasākuma ietvaros plānotas izmaksas noteikumu projekta 20.9.apakšpunktā minētās digitālo tehnoloģisko risinājumu ieviešanai nepieciešamās infrastruktūras iegādes un uzstādīšanas izmaksas, tai skaitā esošo datu centru datu masīvu papildināšanas un esošo datu masīvu veiktspējas palielināšanas izmaksas, iegādātās infrastruktūras uzstādīšanas un konfigurēšanas izmaksas, administratoru un lietotāju apmācību izmaksas, t.i., rosinām pārliecināties, ka, ņemot vērā 14.1.1.1.pasākuma finansējuma avotu (Eiropas Sociālais fonds), informācijas tehnoloģiju infrastruktūras izmaksas neveido proporcionāli lielāko pasākuma izmaksu pozīciju.</w:t>
            </w:r>
          </w:p>
        </w:tc>
        <w:tc>
          <w:tcPr>
            <w:tcW w:w="3119" w:type="dxa"/>
            <w:shd w:val="clear" w:color="auto" w:fill="auto"/>
          </w:tcPr>
          <w:p w:rsidR="00CD11FC" w:rsidRDefault="00D16C49"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D16C49" w:rsidRPr="00D16C49" w:rsidRDefault="00761E34" w:rsidP="005105B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Sk</w:t>
            </w:r>
            <w:r w:rsidR="00FA1C0F">
              <w:rPr>
                <w:rFonts w:ascii="Times New Roman" w:eastAsia="Times New Roman" w:hAnsi="Times New Roman" w:cs="Times New Roman"/>
                <w:lang w:val="lv-LV" w:eastAsia="lv-LV"/>
              </w:rPr>
              <w:t>.</w:t>
            </w:r>
            <w:r>
              <w:rPr>
                <w:rFonts w:ascii="Times New Roman" w:eastAsia="Times New Roman" w:hAnsi="Times New Roman" w:cs="Times New Roman"/>
                <w:lang w:val="lv-LV" w:eastAsia="lv-LV"/>
              </w:rPr>
              <w:t xml:space="preserve"> izziņas </w:t>
            </w:r>
            <w:r w:rsidR="00B32C80">
              <w:rPr>
                <w:rFonts w:ascii="Times New Roman" w:eastAsia="Times New Roman" w:hAnsi="Times New Roman" w:cs="Times New Roman"/>
                <w:lang w:val="lv-LV" w:eastAsia="lv-LV"/>
              </w:rPr>
              <w:t xml:space="preserve">24. </w:t>
            </w:r>
            <w:r>
              <w:rPr>
                <w:rFonts w:ascii="Times New Roman" w:eastAsia="Times New Roman" w:hAnsi="Times New Roman" w:cs="Times New Roman"/>
                <w:lang w:val="lv-LV" w:eastAsia="lv-LV"/>
              </w:rPr>
              <w:t>punktu</w:t>
            </w:r>
            <w:r w:rsidR="00000B6C">
              <w:rPr>
                <w:rFonts w:ascii="Times New Roman" w:eastAsia="Times New Roman" w:hAnsi="Times New Roman" w:cs="Times New Roman"/>
                <w:lang w:val="lv-LV" w:eastAsia="lv-LV"/>
              </w:rPr>
              <w:t xml:space="preserve"> (2)</w:t>
            </w:r>
            <w:r>
              <w:rPr>
                <w:rFonts w:ascii="Times New Roman" w:eastAsia="Times New Roman" w:hAnsi="Times New Roman" w:cs="Times New Roman"/>
                <w:lang w:val="lv-LV" w:eastAsia="lv-LV"/>
              </w:rPr>
              <w:t>.</w:t>
            </w:r>
          </w:p>
        </w:tc>
        <w:tc>
          <w:tcPr>
            <w:tcW w:w="3260" w:type="dxa"/>
          </w:tcPr>
          <w:p w:rsidR="00CD11FC" w:rsidRPr="0002494F" w:rsidRDefault="00CD11FC" w:rsidP="00CD11FC">
            <w:pPr>
              <w:pStyle w:val="tv2132"/>
              <w:spacing w:line="240" w:lineRule="auto"/>
              <w:ind w:firstLine="0"/>
              <w:contextualSpacing/>
              <w:jc w:val="both"/>
              <w:rPr>
                <w:rFonts w:cstheme="minorBidi"/>
                <w:color w:val="auto"/>
                <w:sz w:val="22"/>
                <w:szCs w:val="22"/>
                <w:lang w:val="lv-LV"/>
              </w:rPr>
            </w:pPr>
          </w:p>
        </w:tc>
      </w:tr>
      <w:tr w:rsidR="00FF37CE" w:rsidRPr="0002494F" w:rsidTr="00F70E0C">
        <w:trPr>
          <w:trHeight w:val="274"/>
        </w:trPr>
        <w:tc>
          <w:tcPr>
            <w:tcW w:w="964" w:type="dxa"/>
            <w:shd w:val="clear" w:color="auto" w:fill="auto"/>
          </w:tcPr>
          <w:p w:rsidR="00B32C80" w:rsidRDefault="00B32C80" w:rsidP="000A6480">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27.</w:t>
            </w:r>
          </w:p>
          <w:p w:rsidR="00B32C80" w:rsidRPr="0002494F" w:rsidRDefault="00B32C80" w:rsidP="000A6480">
            <w:p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FF37CE" w:rsidRPr="0002494F" w:rsidRDefault="00FF37CE" w:rsidP="00CD11FC">
            <w:pPr>
              <w:pStyle w:val="tv2132"/>
              <w:spacing w:line="240" w:lineRule="auto"/>
              <w:ind w:firstLine="0"/>
              <w:contextualSpacing/>
              <w:jc w:val="both"/>
              <w:rPr>
                <w:rFonts w:cstheme="minorBidi"/>
                <w:color w:val="auto"/>
                <w:sz w:val="22"/>
                <w:szCs w:val="22"/>
                <w:lang w:val="lv-LV"/>
              </w:rPr>
            </w:pPr>
            <w:r w:rsidRPr="00706DCA">
              <w:rPr>
                <w:rFonts w:cstheme="minorBidi"/>
                <w:color w:val="auto"/>
                <w:sz w:val="22"/>
                <w:szCs w:val="22"/>
                <w:lang w:val="lv-LV"/>
              </w:rPr>
              <w:t>21. Plānojot šo noteikumu 20.1. apakšpunktā minētās tiešās attiecināmās personāla izmaksas, finansējuma saņēmējs un sadarbības partneris veic darba laika uzskaiti par projekta vadības un īstenošanas personāla projekta ietvaros veiktajām funkcijām un nostrādāto laiku un nodrošina, ka personālam, kas nodarbināts</w:t>
            </w:r>
            <w:r>
              <w:rPr>
                <w:rFonts w:cstheme="minorBidi"/>
                <w:color w:val="auto"/>
                <w:sz w:val="22"/>
                <w:szCs w:val="22"/>
                <w:lang w:val="lv-LV"/>
              </w:rPr>
              <w:t>:</w:t>
            </w:r>
          </w:p>
        </w:tc>
        <w:tc>
          <w:tcPr>
            <w:tcW w:w="3969" w:type="dxa"/>
            <w:shd w:val="clear" w:color="auto" w:fill="auto"/>
          </w:tcPr>
          <w:p w:rsidR="00FF37CE" w:rsidRPr="0002494F" w:rsidRDefault="00FF37CE" w:rsidP="009A4F6F">
            <w:pPr>
              <w:spacing w:after="0" w:line="240" w:lineRule="auto"/>
              <w:rPr>
                <w:rFonts w:ascii="Times New Roman" w:hAnsi="Times New Roman" w:cs="Times New Roman"/>
                <w:b/>
              </w:rPr>
            </w:pPr>
            <w:r w:rsidRPr="0002494F">
              <w:rPr>
                <w:rFonts w:ascii="Times New Roman" w:hAnsi="Times New Roman" w:cs="Times New Roman"/>
                <w:b/>
              </w:rPr>
              <w:t>Finanšu ministrija (20.iebildums)</w:t>
            </w:r>
          </w:p>
          <w:p w:rsidR="00FF37CE" w:rsidRPr="0002494F" w:rsidRDefault="00FF37CE" w:rsidP="009A4F6F">
            <w:pPr>
              <w:spacing w:after="0" w:line="240" w:lineRule="auto"/>
              <w:rPr>
                <w:rFonts w:ascii="Times New Roman" w:hAnsi="Times New Roman" w:cs="Times New Roman"/>
                <w:b/>
              </w:rPr>
            </w:pPr>
            <w:r w:rsidRPr="0002494F">
              <w:rPr>
                <w:rFonts w:ascii="Times New Roman" w:eastAsia="Times New Roman" w:hAnsi="Times New Roman" w:cs="Times New Roman"/>
                <w:lang w:val="lv-LV"/>
              </w:rPr>
              <w:t xml:space="preserve">Lūdzam noteikumu projekta 21.punktā svītrot vārdus “veiktajām funkcijām un”. </w:t>
            </w:r>
          </w:p>
        </w:tc>
        <w:tc>
          <w:tcPr>
            <w:tcW w:w="3119" w:type="dxa"/>
            <w:shd w:val="clear" w:color="auto" w:fill="auto"/>
          </w:tcPr>
          <w:p w:rsidR="00FF37CE" w:rsidRDefault="00FA287D"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FF37CE" w:rsidRPr="00A06DC2" w:rsidRDefault="00FF37CE" w:rsidP="00CD11FC">
            <w:pPr>
              <w:spacing w:after="0" w:line="240" w:lineRule="auto"/>
              <w:jc w:val="both"/>
              <w:rPr>
                <w:rFonts w:ascii="Times New Roman" w:eastAsia="Times New Roman" w:hAnsi="Times New Roman" w:cs="Times New Roman"/>
                <w:lang w:val="lv-LV" w:eastAsia="lv-LV"/>
              </w:rPr>
            </w:pPr>
            <w:r w:rsidRPr="00A06DC2">
              <w:rPr>
                <w:rFonts w:ascii="Times New Roman" w:eastAsia="Times New Roman" w:hAnsi="Times New Roman" w:cs="Times New Roman"/>
                <w:lang w:val="lv-LV" w:eastAsia="lv-LV"/>
              </w:rPr>
              <w:t>Sk</w:t>
            </w:r>
            <w:r>
              <w:rPr>
                <w:rFonts w:ascii="Times New Roman" w:eastAsia="Times New Roman" w:hAnsi="Times New Roman" w:cs="Times New Roman"/>
                <w:lang w:val="lv-LV" w:eastAsia="lv-LV"/>
              </w:rPr>
              <w:t>.</w:t>
            </w:r>
            <w:r w:rsidR="00FA287D">
              <w:rPr>
                <w:rFonts w:ascii="Times New Roman" w:eastAsia="Times New Roman" w:hAnsi="Times New Roman" w:cs="Times New Roman"/>
                <w:lang w:val="lv-LV" w:eastAsia="lv-LV"/>
              </w:rPr>
              <w:t xml:space="preserve"> kontekstā ar</w:t>
            </w:r>
            <w:r>
              <w:rPr>
                <w:rFonts w:ascii="Times New Roman" w:eastAsia="Times New Roman" w:hAnsi="Times New Roman" w:cs="Times New Roman"/>
                <w:lang w:val="lv-LV" w:eastAsia="lv-LV"/>
              </w:rPr>
              <w:t xml:space="preserve"> Finanšu ministrijas 21.iebildumu</w:t>
            </w:r>
            <w:r w:rsidR="00B63CE6">
              <w:rPr>
                <w:rFonts w:ascii="Times New Roman" w:eastAsia="Times New Roman" w:hAnsi="Times New Roman" w:cs="Times New Roman"/>
                <w:lang w:val="lv-LV" w:eastAsia="lv-LV"/>
              </w:rPr>
              <w:t xml:space="preserve"> (izziņas 28.punkts)</w:t>
            </w:r>
            <w:r>
              <w:rPr>
                <w:rFonts w:ascii="Times New Roman" w:eastAsia="Times New Roman" w:hAnsi="Times New Roman" w:cs="Times New Roman"/>
                <w:lang w:val="lv-LV" w:eastAsia="lv-LV"/>
              </w:rPr>
              <w:t>.</w:t>
            </w:r>
          </w:p>
        </w:tc>
        <w:tc>
          <w:tcPr>
            <w:tcW w:w="3260" w:type="dxa"/>
            <w:vMerge w:val="restart"/>
          </w:tcPr>
          <w:p w:rsidR="00FF37CE" w:rsidRPr="0002494F" w:rsidRDefault="00FF37CE" w:rsidP="00521769">
            <w:pPr>
              <w:pStyle w:val="tv2132"/>
              <w:spacing w:line="240" w:lineRule="auto"/>
              <w:contextualSpacing/>
              <w:jc w:val="both"/>
              <w:rPr>
                <w:rFonts w:cstheme="minorBidi"/>
                <w:color w:val="auto"/>
                <w:sz w:val="22"/>
                <w:szCs w:val="22"/>
                <w:lang w:val="lv-LV"/>
              </w:rPr>
            </w:pPr>
            <w:r w:rsidRPr="0059141C">
              <w:rPr>
                <w:rFonts w:cstheme="minorBidi"/>
                <w:color w:val="auto"/>
                <w:sz w:val="22"/>
                <w:szCs w:val="22"/>
                <w:lang w:val="lv-LV"/>
              </w:rPr>
              <w:t>2</w:t>
            </w:r>
            <w:r w:rsidR="00521769">
              <w:rPr>
                <w:rFonts w:cstheme="minorBidi"/>
                <w:color w:val="auto"/>
                <w:sz w:val="22"/>
                <w:szCs w:val="22"/>
                <w:lang w:val="lv-LV"/>
              </w:rPr>
              <w:t>2</w:t>
            </w:r>
            <w:r w:rsidRPr="0059141C">
              <w:rPr>
                <w:rFonts w:cstheme="minorBidi"/>
                <w:color w:val="auto"/>
                <w:sz w:val="22"/>
                <w:szCs w:val="22"/>
                <w:lang w:val="lv-LV"/>
              </w:rPr>
              <w:t>. Plānojot šo noteikumu 20.1. apakšpunktā minētās tiešās attiecināmās personāla izmaksas, finansējuma saņēmējs nodrošina, ka projekta vadības un īstenošanas personāls ir nodarbināts pilnu darba laiku vai nepilnu darba laiku ne mazāk kā 30 procentu apmērā no normālā darba laika, attiecīgi veicot projekta vadības un īstenošanas personāla darba laika uzskaiti. Ja personāla iesaiste projektā ir nodrošināta saskaņā ar daļlaika attiecināmības principu, attiecināma ir ne mazāka kā 30 procentu noslodze.</w:t>
            </w:r>
          </w:p>
        </w:tc>
      </w:tr>
      <w:tr w:rsidR="00FF37CE"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28.</w:t>
            </w:r>
          </w:p>
        </w:tc>
        <w:tc>
          <w:tcPr>
            <w:tcW w:w="2575" w:type="dxa"/>
            <w:shd w:val="clear" w:color="auto" w:fill="auto"/>
          </w:tcPr>
          <w:p w:rsidR="00FF37CE" w:rsidRPr="0059141C" w:rsidRDefault="00FF37CE" w:rsidP="0059141C">
            <w:pPr>
              <w:pStyle w:val="tv2132"/>
              <w:spacing w:line="240" w:lineRule="auto"/>
              <w:contextualSpacing/>
              <w:jc w:val="both"/>
              <w:rPr>
                <w:rFonts w:cstheme="minorBidi"/>
                <w:color w:val="auto"/>
                <w:sz w:val="22"/>
                <w:szCs w:val="22"/>
                <w:lang w:val="lv-LV"/>
              </w:rPr>
            </w:pPr>
            <w:r w:rsidRPr="0059141C">
              <w:rPr>
                <w:rFonts w:cstheme="minorBidi"/>
                <w:color w:val="auto"/>
                <w:sz w:val="22"/>
                <w:szCs w:val="22"/>
                <w:lang w:val="lv-LV"/>
              </w:rPr>
              <w:t xml:space="preserve">21.1.  pilnu darba laiku, nepilnu darba laiku vai daļlaiku ne mazāk kā 30 </w:t>
            </w:r>
            <w:r w:rsidRPr="0059141C">
              <w:rPr>
                <w:rFonts w:cstheme="minorBidi"/>
                <w:color w:val="auto"/>
                <w:sz w:val="22"/>
                <w:szCs w:val="22"/>
                <w:lang w:val="lv-LV"/>
              </w:rPr>
              <w:lastRenderedPageBreak/>
              <w:t>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rsidR="00FF37CE" w:rsidRPr="0002494F" w:rsidRDefault="00FF37CE" w:rsidP="0059141C">
            <w:pPr>
              <w:pStyle w:val="tv2132"/>
              <w:spacing w:line="240" w:lineRule="auto"/>
              <w:ind w:firstLine="0"/>
              <w:contextualSpacing/>
              <w:jc w:val="both"/>
              <w:rPr>
                <w:rFonts w:cstheme="minorBidi"/>
                <w:color w:val="auto"/>
                <w:sz w:val="22"/>
                <w:szCs w:val="22"/>
                <w:lang w:val="lv-LV"/>
              </w:rPr>
            </w:pPr>
            <w:r w:rsidRPr="0059141C">
              <w:rPr>
                <w:rFonts w:cstheme="minorBidi"/>
                <w:color w:val="auto"/>
                <w:sz w:val="22"/>
                <w:szCs w:val="22"/>
                <w:lang w:val="lv-LV"/>
              </w:rPr>
              <w:t>21.2. daļlaiku mazāk nekā 30 procentu apmērā no normāla darba laika, atlīdzības izmaksas tiek veiktas saskaņā ar finansējuma saņēmēja un sadarbības partnera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tc>
        <w:tc>
          <w:tcPr>
            <w:tcW w:w="3969" w:type="dxa"/>
            <w:shd w:val="clear" w:color="auto" w:fill="auto"/>
          </w:tcPr>
          <w:p w:rsidR="00FF37CE" w:rsidRPr="0002494F" w:rsidRDefault="00FF37CE" w:rsidP="009A4F6F">
            <w:pPr>
              <w:spacing w:after="0" w:line="240" w:lineRule="auto"/>
              <w:rPr>
                <w:rFonts w:ascii="Times New Roman" w:eastAsia="Times New Roman" w:hAnsi="Times New Roman" w:cs="Times New Roman"/>
                <w:b/>
              </w:rPr>
            </w:pPr>
            <w:r w:rsidRPr="0002494F">
              <w:rPr>
                <w:rFonts w:ascii="Times New Roman" w:eastAsia="Times New Roman" w:hAnsi="Times New Roman" w:cs="Times New Roman"/>
                <w:b/>
              </w:rPr>
              <w:lastRenderedPageBreak/>
              <w:t>Finanšu ministrija (2</w:t>
            </w:r>
            <w:r>
              <w:rPr>
                <w:rFonts w:ascii="Times New Roman" w:eastAsia="Times New Roman" w:hAnsi="Times New Roman" w:cs="Times New Roman"/>
                <w:b/>
              </w:rPr>
              <w:t>1</w:t>
            </w:r>
            <w:r w:rsidRPr="0002494F">
              <w:rPr>
                <w:rFonts w:ascii="Times New Roman" w:eastAsia="Times New Roman" w:hAnsi="Times New Roman" w:cs="Times New Roman"/>
                <w:b/>
              </w:rPr>
              <w:t>.iebildums)</w:t>
            </w:r>
          </w:p>
          <w:p w:rsidR="00FF37CE" w:rsidRPr="0002494F" w:rsidRDefault="00FF37CE" w:rsidP="009A4F6F">
            <w:pPr>
              <w:spacing w:after="0" w:line="240" w:lineRule="auto"/>
              <w:jc w:val="both"/>
              <w:rPr>
                <w:rFonts w:ascii="Times New Roman" w:eastAsia="Times New Roman" w:hAnsi="Times New Roman" w:cs="Times New Roman"/>
                <w:lang w:val="lv-LV"/>
              </w:rPr>
            </w:pPr>
            <w:r w:rsidRPr="0002494F">
              <w:rPr>
                <w:rFonts w:ascii="Times New Roman" w:eastAsia="Times New Roman" w:hAnsi="Times New Roman" w:cs="Times New Roman"/>
                <w:lang w:val="lv-LV"/>
              </w:rPr>
              <w:t xml:space="preserve">Lūdzam precizēt noteikumu projekta 21.1.apakšpunktu un izteikt to šāda </w:t>
            </w:r>
            <w:r w:rsidRPr="0002494F">
              <w:rPr>
                <w:rFonts w:ascii="Times New Roman" w:eastAsia="Times New Roman" w:hAnsi="Times New Roman" w:cs="Times New Roman"/>
                <w:lang w:val="lv-LV"/>
              </w:rPr>
              <w:lastRenderedPageBreak/>
              <w:t>redakcijā: “21.1. pilnu darba laiku vai nepilnu darba laiku ne mazāk kā 30 procentu apmērā no normālā darba laika, attiecīgi veicot projekta vadības un īstenošanas personāla darba laika uzskaiti par veiktajām funkcijām un nostrādāto laiku. Ja personāla iesaiste projektā ir nodrošināta saskaņā ar daļlaika attiecināmības principu, attiecināma ir ne mazāka kā 30 procentu noslodze.</w:t>
            </w:r>
          </w:p>
        </w:tc>
        <w:tc>
          <w:tcPr>
            <w:tcW w:w="3119" w:type="dxa"/>
            <w:shd w:val="clear" w:color="auto" w:fill="auto"/>
          </w:tcPr>
          <w:p w:rsidR="00FF37CE" w:rsidRPr="0002494F" w:rsidRDefault="00FF37CE"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tc>
        <w:tc>
          <w:tcPr>
            <w:tcW w:w="3260" w:type="dxa"/>
            <w:vMerge/>
          </w:tcPr>
          <w:p w:rsidR="00FF37CE" w:rsidRPr="0002494F" w:rsidRDefault="00FF37CE" w:rsidP="00FF37CE">
            <w:pPr>
              <w:pStyle w:val="tv2132"/>
              <w:spacing w:line="240" w:lineRule="auto"/>
              <w:ind w:firstLine="0"/>
              <w:contextualSpacing/>
              <w:jc w:val="both"/>
              <w:rPr>
                <w:rFonts w:cstheme="minorBidi"/>
                <w:color w:val="auto"/>
                <w:sz w:val="22"/>
                <w:szCs w:val="22"/>
                <w:lang w:val="lv-LV"/>
              </w:rPr>
            </w:pPr>
          </w:p>
        </w:tc>
      </w:tr>
      <w:tr w:rsidR="004333CB"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29.</w:t>
            </w:r>
          </w:p>
        </w:tc>
        <w:tc>
          <w:tcPr>
            <w:tcW w:w="2575" w:type="dxa"/>
            <w:shd w:val="clear" w:color="auto" w:fill="auto"/>
          </w:tcPr>
          <w:p w:rsidR="004333CB" w:rsidRPr="0002494F" w:rsidRDefault="00AA57D2" w:rsidP="00CD11FC">
            <w:pPr>
              <w:pStyle w:val="tv2132"/>
              <w:spacing w:line="240" w:lineRule="auto"/>
              <w:ind w:firstLine="0"/>
              <w:contextualSpacing/>
              <w:jc w:val="both"/>
              <w:rPr>
                <w:rFonts w:cstheme="minorBidi"/>
                <w:color w:val="auto"/>
                <w:sz w:val="22"/>
                <w:szCs w:val="22"/>
                <w:lang w:val="lv-LV"/>
              </w:rPr>
            </w:pPr>
            <w:r w:rsidRPr="00AA57D2">
              <w:rPr>
                <w:rFonts w:cstheme="minorBidi"/>
                <w:color w:val="auto"/>
                <w:sz w:val="22"/>
                <w:szCs w:val="22"/>
                <w:lang w:val="lv-LV"/>
              </w:rPr>
              <w:t xml:space="preserve">21.2. daļlaiku mazāk nekā 30 procentu apmērā no normāla darba laika, </w:t>
            </w:r>
            <w:r w:rsidRPr="00AA57D2">
              <w:rPr>
                <w:rFonts w:cstheme="minorBidi"/>
                <w:color w:val="auto"/>
                <w:sz w:val="22"/>
                <w:szCs w:val="22"/>
                <w:lang w:val="lv-LV"/>
              </w:rPr>
              <w:lastRenderedPageBreak/>
              <w:t>atlīdzības izmaksas tiek veiktas saskaņā ar finansējuma saņēmēja un sadarbības partnera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tc>
        <w:tc>
          <w:tcPr>
            <w:tcW w:w="3969" w:type="dxa"/>
            <w:shd w:val="clear" w:color="auto" w:fill="auto"/>
          </w:tcPr>
          <w:p w:rsidR="004333CB" w:rsidRPr="0002494F" w:rsidRDefault="006222DC" w:rsidP="00905EE2">
            <w:pPr>
              <w:spacing w:after="0" w:line="240" w:lineRule="auto"/>
              <w:jc w:val="both"/>
              <w:rPr>
                <w:rFonts w:ascii="Times New Roman" w:eastAsia="Times New Roman" w:hAnsi="Times New Roman" w:cs="Times New Roman"/>
                <w:lang w:val="lv-LV"/>
              </w:rPr>
            </w:pPr>
            <w:r w:rsidRPr="0002494F">
              <w:rPr>
                <w:rFonts w:ascii="Times New Roman" w:eastAsia="Times New Roman" w:hAnsi="Times New Roman" w:cs="Times New Roman"/>
                <w:b/>
              </w:rPr>
              <w:lastRenderedPageBreak/>
              <w:t>Finanšu ministrija (22.iebildums)</w:t>
            </w:r>
            <w:r w:rsidRPr="0002494F">
              <w:rPr>
                <w:rFonts w:ascii="Times New Roman" w:eastAsia="Times New Roman" w:hAnsi="Times New Roman" w:cs="Times New Roman"/>
                <w:lang w:val="lv-LV"/>
              </w:rPr>
              <w:t xml:space="preserve"> Attiecībā uz noteikumu projekta 21.2.apakšpunktu, neatbalstām šāda </w:t>
            </w:r>
            <w:r w:rsidRPr="0002494F">
              <w:rPr>
                <w:rFonts w:ascii="Times New Roman" w:eastAsia="Times New Roman" w:hAnsi="Times New Roman" w:cs="Times New Roman"/>
                <w:lang w:val="lv-LV"/>
              </w:rPr>
              <w:lastRenderedPageBreak/>
              <w:t>regulējuma ietveršanu noteikumos. Skaidrojam, ka, ja darbinieku noslodze projektos ir mazāka kā 30% no normālā darba laika, aicinām izstrādāt vienas vienības stundas likmi vai izmantot Regulas Nr. 1303/2013 68.panta a) apakšpunktā minēto vienoto likmi līdz 20%. Atbilstoši Finanšu ministrijas vadlīniju Nr.2.1. “Vadlīnijas attiecināmo un neattiecināmo izmaksu noteikšanai 2014. – 2020.gada plānošanas periodā” 38.punktam darbinieka daļlaika izmaksas ir iekļaujamas projekta tiešajās attiecināmajās izmaksās, tai skaitā tehniskās palīdzības projektos, ja darbinieks noteiktā laika periodā (min. viens mēnesis) vismaz 30% no normālā darba laika pilda ar ES fondu jautājumiem saistītus amata pienākumus. Ja darbinieka amata pienākumu darba laiks darbam, kas saistīts ar ES fondiem, ir mazāks par 30%, tad darbinieka atlīdzības izmaksas var iekļaut projekta netiešajās attiecināmajās izmaksās atbilstoši šo vadlīniju 6.5.apakšpunktā noteiktajam. Tāpat lūdzam skaidrot vai papildināt anotāciju, skaidrojot kādēļ tik īsos projektos ar tik ambicioziem mērķiem būtu nepieciešama pastāvīga daļlaikā nodarbināta personāla iesaiste mazāka par 30% no normālā darba laika. Ņemot vērā ievērojamo administratīvo slogu finansējuma saņēmējam, sadarbības partnerim un sadarbības iestādei, lūdzam izvērtēt un precīzi definēt, kuru darbību ietvaros ir samērīgi un lietderīgi piesaistīt personālu daļlaikā mazāk kā 30 % no normālā darba laika.</w:t>
            </w:r>
          </w:p>
        </w:tc>
        <w:tc>
          <w:tcPr>
            <w:tcW w:w="3119" w:type="dxa"/>
            <w:shd w:val="clear" w:color="auto" w:fill="auto"/>
          </w:tcPr>
          <w:p w:rsidR="000A2491" w:rsidRDefault="00AA57D2" w:rsidP="00CD11FC">
            <w:pPr>
              <w:spacing w:after="0" w:line="240" w:lineRule="auto"/>
              <w:jc w:val="both"/>
              <w:rPr>
                <w:rFonts w:ascii="Times New Roman" w:eastAsia="Times New Roman" w:hAnsi="Times New Roman" w:cs="Times New Roman"/>
                <w:b/>
                <w:lang w:val="lv-LV" w:eastAsia="lv-LV"/>
              </w:rPr>
            </w:pPr>
            <w:r w:rsidRPr="00AA57D2">
              <w:rPr>
                <w:rFonts w:ascii="Times New Roman" w:eastAsia="Times New Roman" w:hAnsi="Times New Roman" w:cs="Times New Roman"/>
                <w:b/>
                <w:lang w:val="lv-LV" w:eastAsia="lv-LV"/>
              </w:rPr>
              <w:lastRenderedPageBreak/>
              <w:t>Ņ</w:t>
            </w:r>
            <w:r w:rsidR="0021051B">
              <w:rPr>
                <w:rFonts w:ascii="Times New Roman" w:eastAsia="Times New Roman" w:hAnsi="Times New Roman" w:cs="Times New Roman"/>
                <w:b/>
                <w:lang w:val="lv-LV" w:eastAsia="lv-LV"/>
              </w:rPr>
              <w:t>emts vērā</w:t>
            </w:r>
          </w:p>
          <w:p w:rsidR="00AA57D2" w:rsidRPr="00AA57D2" w:rsidRDefault="00AA57D2" w:rsidP="000040FF">
            <w:pPr>
              <w:spacing w:after="0" w:line="240" w:lineRule="auto"/>
              <w:jc w:val="both"/>
              <w:rPr>
                <w:rFonts w:ascii="Times New Roman" w:eastAsia="Times New Roman" w:hAnsi="Times New Roman" w:cs="Times New Roman"/>
                <w:highlight w:val="green"/>
                <w:lang w:val="lv-LV" w:eastAsia="lv-LV"/>
              </w:rPr>
            </w:pPr>
            <w:r w:rsidRPr="00AA57D2">
              <w:rPr>
                <w:rFonts w:ascii="Times New Roman" w:eastAsia="Times New Roman" w:hAnsi="Times New Roman" w:cs="Times New Roman"/>
                <w:lang w:val="lv-LV" w:eastAsia="lv-LV"/>
              </w:rPr>
              <w:t>21.2.</w:t>
            </w:r>
            <w:r w:rsidR="003233A8">
              <w:rPr>
                <w:rFonts w:ascii="Times New Roman" w:eastAsia="Times New Roman" w:hAnsi="Times New Roman" w:cs="Times New Roman"/>
                <w:lang w:val="lv-LV" w:eastAsia="lv-LV"/>
              </w:rPr>
              <w:t xml:space="preserve"> </w:t>
            </w:r>
            <w:r w:rsidRPr="00AA57D2">
              <w:rPr>
                <w:rFonts w:ascii="Times New Roman" w:eastAsia="Times New Roman" w:hAnsi="Times New Roman" w:cs="Times New Roman"/>
                <w:lang w:val="lv-LV" w:eastAsia="lv-LV"/>
              </w:rPr>
              <w:t xml:space="preserve">apakšpunkts </w:t>
            </w:r>
            <w:r w:rsidR="000040FF">
              <w:rPr>
                <w:rFonts w:ascii="Times New Roman" w:eastAsia="Times New Roman" w:hAnsi="Times New Roman" w:cs="Times New Roman"/>
                <w:lang w:val="lv-LV" w:eastAsia="lv-LV"/>
              </w:rPr>
              <w:t>svītrots</w:t>
            </w:r>
            <w:r w:rsidRPr="00AA57D2">
              <w:rPr>
                <w:rFonts w:ascii="Times New Roman" w:eastAsia="Times New Roman" w:hAnsi="Times New Roman" w:cs="Times New Roman"/>
                <w:lang w:val="lv-LV" w:eastAsia="lv-LV"/>
              </w:rPr>
              <w:t>.</w:t>
            </w:r>
          </w:p>
        </w:tc>
        <w:tc>
          <w:tcPr>
            <w:tcW w:w="3260" w:type="dxa"/>
          </w:tcPr>
          <w:p w:rsidR="004333CB" w:rsidRPr="0002494F" w:rsidRDefault="004333CB" w:rsidP="00CD11FC">
            <w:pPr>
              <w:pStyle w:val="tv2132"/>
              <w:spacing w:line="240" w:lineRule="auto"/>
              <w:ind w:firstLine="0"/>
              <w:contextualSpacing/>
              <w:jc w:val="both"/>
              <w:rPr>
                <w:rFonts w:cstheme="minorBidi"/>
                <w:color w:val="auto"/>
                <w:sz w:val="22"/>
                <w:szCs w:val="22"/>
                <w:lang w:val="lv-LV"/>
              </w:rPr>
            </w:pPr>
          </w:p>
        </w:tc>
      </w:tr>
      <w:tr w:rsidR="006222DC" w:rsidRPr="0002494F" w:rsidTr="00F70E0C">
        <w:trPr>
          <w:trHeight w:val="274"/>
        </w:trPr>
        <w:tc>
          <w:tcPr>
            <w:tcW w:w="964" w:type="dxa"/>
            <w:shd w:val="clear" w:color="auto" w:fill="auto"/>
          </w:tcPr>
          <w:p w:rsidR="00B32C80" w:rsidRPr="00FF37CE"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30.</w:t>
            </w:r>
          </w:p>
        </w:tc>
        <w:tc>
          <w:tcPr>
            <w:tcW w:w="2575" w:type="dxa"/>
            <w:shd w:val="clear" w:color="auto" w:fill="auto"/>
          </w:tcPr>
          <w:p w:rsidR="000A2491" w:rsidRPr="00FF37CE" w:rsidRDefault="000A2491" w:rsidP="003D19F0">
            <w:pPr>
              <w:pStyle w:val="tv2132"/>
              <w:spacing w:line="240" w:lineRule="auto"/>
              <w:ind w:firstLine="0"/>
              <w:contextualSpacing/>
              <w:jc w:val="both"/>
              <w:rPr>
                <w:rFonts w:cstheme="minorBidi"/>
                <w:color w:val="auto"/>
                <w:sz w:val="22"/>
                <w:szCs w:val="22"/>
                <w:lang w:val="lv-LV"/>
              </w:rPr>
            </w:pPr>
            <w:r w:rsidRPr="00FF37CE">
              <w:rPr>
                <w:rFonts w:cstheme="minorBidi"/>
                <w:color w:val="auto"/>
                <w:sz w:val="22"/>
                <w:szCs w:val="22"/>
                <w:lang w:val="lv-LV"/>
              </w:rPr>
              <w:t>26. Pasākuma ietvaros finansējuma saņēmējam izmaksas ir attiecināmas, ja tās atbilst šajos noteikumos minētajām izmaksu pozīcijām un ir radušās no šo noteikumu spēkā stāšanās dienas.</w:t>
            </w:r>
          </w:p>
          <w:p w:rsidR="000A2491" w:rsidRPr="00FF37CE" w:rsidRDefault="000A2491" w:rsidP="000A2491">
            <w:pPr>
              <w:pStyle w:val="tv2132"/>
              <w:spacing w:line="240" w:lineRule="auto"/>
              <w:contextualSpacing/>
              <w:jc w:val="both"/>
              <w:rPr>
                <w:rFonts w:cstheme="minorBidi"/>
                <w:color w:val="auto"/>
                <w:sz w:val="22"/>
                <w:szCs w:val="22"/>
                <w:lang w:val="lv-LV"/>
              </w:rPr>
            </w:pPr>
          </w:p>
          <w:p w:rsidR="006222DC" w:rsidRPr="00FF37CE" w:rsidRDefault="000A2491" w:rsidP="000A2491">
            <w:pPr>
              <w:pStyle w:val="tv2132"/>
              <w:spacing w:line="240" w:lineRule="auto"/>
              <w:ind w:firstLine="0"/>
              <w:contextualSpacing/>
              <w:jc w:val="both"/>
              <w:rPr>
                <w:rFonts w:cstheme="minorBidi"/>
                <w:color w:val="auto"/>
                <w:sz w:val="22"/>
                <w:szCs w:val="22"/>
                <w:lang w:val="lv-LV"/>
              </w:rPr>
            </w:pPr>
            <w:r w:rsidRPr="00FF37CE">
              <w:rPr>
                <w:rFonts w:cstheme="minorBidi"/>
                <w:color w:val="auto"/>
                <w:sz w:val="22"/>
                <w:szCs w:val="22"/>
                <w:lang w:val="lv-LV"/>
              </w:rPr>
              <w:t>27. Sadarbības partneriem izmaksas ir attiecināmas pēc šo noteikumu 13. punktā minēto sadarbības līgumu noslēgšanas, bet ne agrāk kā no vienošanās vai līguma par projekta īstenošanu noslēgšanas dienas.</w:t>
            </w:r>
          </w:p>
        </w:tc>
        <w:tc>
          <w:tcPr>
            <w:tcW w:w="3969" w:type="dxa"/>
            <w:shd w:val="clear" w:color="auto" w:fill="auto"/>
          </w:tcPr>
          <w:p w:rsidR="006222DC" w:rsidRPr="0002494F" w:rsidRDefault="006222DC" w:rsidP="009A4F6F">
            <w:pPr>
              <w:spacing w:after="0" w:line="240" w:lineRule="auto"/>
              <w:jc w:val="both"/>
              <w:rPr>
                <w:rFonts w:ascii="Times New Roman" w:eastAsia="Times New Roman" w:hAnsi="Times New Roman" w:cs="Times New Roman"/>
                <w:lang w:val="lv-LV"/>
              </w:rPr>
            </w:pPr>
            <w:r w:rsidRPr="0002494F">
              <w:rPr>
                <w:rFonts w:ascii="Times New Roman" w:eastAsia="Times New Roman" w:hAnsi="Times New Roman" w:cs="Times New Roman"/>
                <w:b/>
              </w:rPr>
              <w:t>Finanšu ministrija (23.iebildums</w:t>
            </w:r>
            <w:r w:rsidRPr="0002494F">
              <w:rPr>
                <w:rFonts w:ascii="Times New Roman" w:eastAsia="Times New Roman" w:hAnsi="Times New Roman" w:cs="Times New Roman"/>
                <w:lang w:val="lv-LV"/>
              </w:rPr>
              <w:t xml:space="preserve">) Lūdzam precizēt noteikumu projekta 26. un 27.punktā notikto izmaksu attiecināmības termiņu, ņemot vērā paredzamo konkurenci starp projektu iesniedzējiem, kopējo pasākumam pieejamo attiecināmo finansējumu (7 860 001 </w:t>
            </w:r>
            <w:r w:rsidRPr="0002494F">
              <w:rPr>
                <w:rFonts w:ascii="Times New Roman" w:eastAsia="Times New Roman" w:hAnsi="Times New Roman" w:cs="Times New Roman"/>
                <w:i/>
                <w:lang w:val="lv-LV"/>
              </w:rPr>
              <w:t>euro</w:t>
            </w:r>
            <w:r w:rsidRPr="0002494F">
              <w:rPr>
                <w:rFonts w:ascii="Times New Roman" w:eastAsia="Times New Roman" w:hAnsi="Times New Roman" w:cs="Times New Roman"/>
                <w:lang w:val="lv-LV"/>
              </w:rPr>
              <w:t xml:space="preserve">) un vienam projekta noteikto maksimālo finansējuma apmēru (2 000 000 </w:t>
            </w:r>
            <w:r w:rsidRPr="0002494F">
              <w:rPr>
                <w:rFonts w:ascii="Times New Roman" w:eastAsia="Times New Roman" w:hAnsi="Times New Roman" w:cs="Times New Roman"/>
                <w:i/>
                <w:lang w:val="lv-LV"/>
              </w:rPr>
              <w:t>euro</w:t>
            </w:r>
            <w:r w:rsidRPr="0002494F">
              <w:rPr>
                <w:rFonts w:ascii="Times New Roman" w:eastAsia="Times New Roman" w:hAnsi="Times New Roman" w:cs="Times New Roman"/>
                <w:lang w:val="lv-LV"/>
              </w:rPr>
              <w:t>). Lūdzam kā izmaksu attiecināmības termiņu noteikt līguma/vienošanās par projekta īstenošanu noslēgšanas brīdi vai ātrākais, piemēram, projekta iesnieguma iesniegšanas brīdi CFLA. Vienlaikus pēdējā gadījumā lūdzam identificēt precīzas darbības, kuru ātrāka uzsākšana ir iespējama, jēgpilna un atbalstāma, kā arī ar vismazāko attiecināmības risku.</w:t>
            </w:r>
          </w:p>
        </w:tc>
        <w:tc>
          <w:tcPr>
            <w:tcW w:w="3119" w:type="dxa"/>
            <w:shd w:val="clear" w:color="auto" w:fill="auto"/>
          </w:tcPr>
          <w:p w:rsidR="006222DC" w:rsidRDefault="009B272B" w:rsidP="00CD11F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7A15D3" w:rsidRPr="009B272B" w:rsidRDefault="007A15D3" w:rsidP="00652828">
            <w:pPr>
              <w:spacing w:after="0" w:line="240" w:lineRule="auto"/>
              <w:jc w:val="both"/>
              <w:rPr>
                <w:rFonts w:ascii="Times New Roman" w:eastAsia="Times New Roman" w:hAnsi="Times New Roman" w:cs="Times New Roman"/>
                <w:lang w:val="lv-LV" w:eastAsia="lv-LV"/>
              </w:rPr>
            </w:pPr>
          </w:p>
        </w:tc>
        <w:tc>
          <w:tcPr>
            <w:tcW w:w="3260" w:type="dxa"/>
          </w:tcPr>
          <w:p w:rsidR="008E7CD5" w:rsidRPr="008E7CD5" w:rsidRDefault="008E7CD5" w:rsidP="003D19F0">
            <w:pPr>
              <w:pStyle w:val="tv2132"/>
              <w:spacing w:line="240" w:lineRule="auto"/>
              <w:ind w:firstLine="0"/>
              <w:contextualSpacing/>
              <w:jc w:val="both"/>
              <w:rPr>
                <w:rFonts w:cstheme="minorBidi"/>
                <w:color w:val="auto"/>
                <w:sz w:val="22"/>
                <w:szCs w:val="22"/>
                <w:lang w:val="lv-LV"/>
              </w:rPr>
            </w:pPr>
            <w:r w:rsidRPr="008E7CD5">
              <w:rPr>
                <w:rFonts w:cstheme="minorBidi"/>
                <w:color w:val="auto"/>
                <w:sz w:val="22"/>
                <w:szCs w:val="22"/>
                <w:lang w:val="lv-LV"/>
              </w:rPr>
              <w:t>2</w:t>
            </w:r>
            <w:r w:rsidR="00521769">
              <w:rPr>
                <w:rFonts w:cstheme="minorBidi"/>
                <w:color w:val="auto"/>
                <w:sz w:val="22"/>
                <w:szCs w:val="22"/>
                <w:lang w:val="lv-LV"/>
              </w:rPr>
              <w:t>6</w:t>
            </w:r>
            <w:r w:rsidRPr="008E7CD5">
              <w:rPr>
                <w:rFonts w:cstheme="minorBidi"/>
                <w:color w:val="auto"/>
                <w:sz w:val="22"/>
                <w:szCs w:val="22"/>
                <w:lang w:val="lv-LV"/>
              </w:rPr>
              <w:t xml:space="preserve">. Pasākuma ietvaros finansējuma saņēmējam izmaksas ir attiecināmas, ja tās atbilst šajos noteikumos minētajām izmaksu pozīcijām un ir radušās no </w:t>
            </w:r>
            <w:r>
              <w:t xml:space="preserve"> </w:t>
            </w:r>
            <w:r w:rsidRPr="008E7CD5">
              <w:rPr>
                <w:rFonts w:cstheme="minorBidi"/>
                <w:color w:val="auto"/>
                <w:sz w:val="22"/>
                <w:szCs w:val="22"/>
                <w:lang w:val="lv-LV"/>
              </w:rPr>
              <w:t>vienošanās vai līguma par projekta īstenošanu noslēgšanas dienas.</w:t>
            </w:r>
          </w:p>
          <w:p w:rsidR="008E7CD5" w:rsidRPr="008E7CD5" w:rsidRDefault="008E7CD5" w:rsidP="008E7CD5">
            <w:pPr>
              <w:pStyle w:val="tv2132"/>
              <w:spacing w:line="240" w:lineRule="auto"/>
              <w:contextualSpacing/>
              <w:jc w:val="both"/>
              <w:rPr>
                <w:rFonts w:cstheme="minorBidi"/>
                <w:color w:val="auto"/>
                <w:sz w:val="22"/>
                <w:szCs w:val="22"/>
                <w:lang w:val="lv-LV"/>
              </w:rPr>
            </w:pPr>
          </w:p>
          <w:p w:rsidR="000A2491" w:rsidRPr="0002494F" w:rsidRDefault="008E7CD5" w:rsidP="00521769">
            <w:pPr>
              <w:pStyle w:val="tv2132"/>
              <w:spacing w:line="240" w:lineRule="auto"/>
              <w:ind w:firstLine="0"/>
              <w:contextualSpacing/>
              <w:jc w:val="both"/>
              <w:rPr>
                <w:rFonts w:cstheme="minorBidi"/>
                <w:color w:val="auto"/>
                <w:sz w:val="22"/>
                <w:szCs w:val="22"/>
                <w:lang w:val="lv-LV"/>
              </w:rPr>
            </w:pPr>
            <w:r w:rsidRPr="008E7CD5">
              <w:rPr>
                <w:rFonts w:cstheme="minorBidi"/>
                <w:color w:val="auto"/>
                <w:sz w:val="22"/>
                <w:szCs w:val="22"/>
                <w:lang w:val="lv-LV"/>
              </w:rPr>
              <w:t>2</w:t>
            </w:r>
            <w:r w:rsidR="00521769">
              <w:rPr>
                <w:rFonts w:cstheme="minorBidi"/>
                <w:color w:val="auto"/>
                <w:sz w:val="22"/>
                <w:szCs w:val="22"/>
                <w:lang w:val="lv-LV"/>
              </w:rPr>
              <w:t>7</w:t>
            </w:r>
            <w:r w:rsidRPr="008E7CD5">
              <w:rPr>
                <w:rFonts w:cstheme="minorBidi"/>
                <w:color w:val="auto"/>
                <w:sz w:val="22"/>
                <w:szCs w:val="22"/>
                <w:lang w:val="lv-LV"/>
              </w:rPr>
              <w:t xml:space="preserve">. Sadarbības partneriem izmaksas ir </w:t>
            </w:r>
            <w:r w:rsidRPr="00D0793E">
              <w:rPr>
                <w:rFonts w:cstheme="minorBidi"/>
                <w:color w:val="auto"/>
                <w:sz w:val="22"/>
                <w:szCs w:val="22"/>
                <w:lang w:val="lv-LV"/>
              </w:rPr>
              <w:t>attiecināmas pēc šo noteikumu 1</w:t>
            </w:r>
            <w:r w:rsidR="00521769">
              <w:rPr>
                <w:rFonts w:cstheme="minorBidi"/>
                <w:color w:val="auto"/>
                <w:sz w:val="22"/>
                <w:szCs w:val="22"/>
                <w:lang w:val="lv-LV"/>
              </w:rPr>
              <w:t>3</w:t>
            </w:r>
            <w:r w:rsidRPr="00D0793E">
              <w:rPr>
                <w:rFonts w:cstheme="minorBidi"/>
                <w:color w:val="auto"/>
                <w:sz w:val="22"/>
                <w:szCs w:val="22"/>
                <w:lang w:val="lv-LV"/>
              </w:rPr>
              <w:t>. punktā minēto sadarbības līgumu noslēgšanas, bet ne agrāk kā</w:t>
            </w:r>
            <w:r w:rsidRPr="008E7CD5">
              <w:rPr>
                <w:rFonts w:cstheme="minorBidi"/>
                <w:color w:val="auto"/>
                <w:sz w:val="22"/>
                <w:szCs w:val="22"/>
                <w:lang w:val="lv-LV"/>
              </w:rPr>
              <w:t xml:space="preserve"> no vienošanās vai līguma par projekta īstenošanu noslēgšanas dienas.</w:t>
            </w:r>
          </w:p>
        </w:tc>
      </w:tr>
      <w:tr w:rsidR="006222D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31.</w:t>
            </w:r>
          </w:p>
        </w:tc>
        <w:tc>
          <w:tcPr>
            <w:tcW w:w="2575" w:type="dxa"/>
            <w:shd w:val="clear" w:color="auto" w:fill="auto"/>
          </w:tcPr>
          <w:p w:rsidR="006222DC" w:rsidRPr="0002494F" w:rsidRDefault="00371AD2" w:rsidP="00371AD2">
            <w:pPr>
              <w:pStyle w:val="tv2132"/>
              <w:spacing w:line="240" w:lineRule="auto"/>
              <w:ind w:firstLine="0"/>
              <w:contextualSpacing/>
              <w:jc w:val="both"/>
              <w:rPr>
                <w:rFonts w:cstheme="minorBidi"/>
                <w:color w:val="auto"/>
                <w:sz w:val="22"/>
                <w:szCs w:val="22"/>
                <w:lang w:val="lv-LV"/>
              </w:rPr>
            </w:pPr>
            <w:r w:rsidRPr="00371AD2">
              <w:rPr>
                <w:rFonts w:cstheme="minorBidi"/>
                <w:color w:val="auto"/>
                <w:sz w:val="22"/>
                <w:szCs w:val="22"/>
                <w:lang w:val="lv-LV"/>
              </w:rPr>
              <w:t>30. Sadarbības iestāde projektu iesniegumu atlasē nodrošina atbilstošu Eiropas Komisijas ekspertu datubāzē iekļautu ekspertu piesaisti, izmantojot šādus atlases kritērijus</w:t>
            </w:r>
          </w:p>
        </w:tc>
        <w:tc>
          <w:tcPr>
            <w:tcW w:w="3969" w:type="dxa"/>
            <w:shd w:val="clear" w:color="auto" w:fill="auto"/>
          </w:tcPr>
          <w:p w:rsidR="006222DC" w:rsidRPr="0002494F" w:rsidRDefault="006222DC" w:rsidP="00632B05">
            <w:pPr>
              <w:spacing w:after="0" w:line="240" w:lineRule="auto"/>
              <w:contextualSpacing/>
              <w:jc w:val="both"/>
              <w:rPr>
                <w:rFonts w:ascii="Times New Roman" w:eastAsia="Times New Roman" w:hAnsi="Times New Roman" w:cs="Times New Roman"/>
                <w:lang w:val="lv-LV"/>
              </w:rPr>
            </w:pPr>
            <w:r w:rsidRPr="0002494F">
              <w:rPr>
                <w:rFonts w:ascii="Times New Roman" w:eastAsia="Times New Roman" w:hAnsi="Times New Roman" w:cs="Times New Roman"/>
                <w:b/>
              </w:rPr>
              <w:t>Finanšu</w:t>
            </w:r>
            <w:r w:rsidR="00632B05">
              <w:rPr>
                <w:rFonts w:ascii="Times New Roman" w:eastAsia="Times New Roman" w:hAnsi="Times New Roman" w:cs="Times New Roman"/>
                <w:b/>
              </w:rPr>
              <w:t xml:space="preserve"> </w:t>
            </w:r>
            <w:r w:rsidRPr="0002494F">
              <w:rPr>
                <w:rFonts w:ascii="Times New Roman" w:eastAsia="Times New Roman" w:hAnsi="Times New Roman" w:cs="Times New Roman"/>
                <w:b/>
              </w:rPr>
              <w:t>ministrija (24.iebildums)</w:t>
            </w:r>
            <w:r w:rsidRPr="0002494F">
              <w:rPr>
                <w:rFonts w:ascii="Times New Roman" w:eastAsia="Times New Roman" w:hAnsi="Times New Roman" w:cs="Times New Roman"/>
                <w:lang w:val="lv-LV"/>
              </w:rPr>
              <w:t xml:space="preserve"> </w:t>
            </w:r>
            <w:r w:rsidRPr="006222DC">
              <w:rPr>
                <w:rFonts w:ascii="Times New Roman" w:eastAsia="Times New Roman" w:hAnsi="Times New Roman" w:cs="Times New Roman"/>
                <w:lang w:val="lv-LV"/>
              </w:rPr>
              <w:t xml:space="preserve">Lūdzam izvērtēt noteikumu projekta 30.punktā norādītās starptautiskās ekspertīzes nepieciešamību pēc būtības, ņemot vērā paredzamo projektu zemo gatavības pakāpi. Ja IZM vērtējumā ekspertīze sniegs būtisku ieguldījumu atlasē, lūdzam precizēt projektu iesniegumu vērtēšanas kritērijus un to piemērošanas metodiku, kā arī papildināt anotāciju, ekonomiski un saturiski pamatojot starptautiskas ekspertīzes nepieciešamību. Ja starptautiska ekspertīze ir pamatoti nepieciešama, projektu jēgpilnai ilgtspējas nodrošināšanai un atbildīgai ieviešanai (kontekstā ar projektu iesniegumu vērtēšanas kritēriju metodikā minēto lūdzam </w:t>
            </w:r>
            <w:r w:rsidRPr="00257395">
              <w:rPr>
                <w:rFonts w:ascii="Times New Roman" w:eastAsia="Times New Roman" w:hAnsi="Times New Roman" w:cs="Times New Roman"/>
                <w:lang w:val="lv-LV"/>
              </w:rPr>
              <w:t xml:space="preserve">izskatīt iespēju paredzēt arī gala rezultātu starptautiskās ekspertīzes veikšanai, kurā tiktu vērtēta projekta </w:t>
            </w:r>
            <w:r w:rsidRPr="00257395">
              <w:rPr>
                <w:rFonts w:ascii="Times New Roman" w:eastAsia="Times New Roman" w:hAnsi="Times New Roman" w:cs="Times New Roman"/>
                <w:lang w:val="lv-LV"/>
              </w:rPr>
              <w:lastRenderedPageBreak/>
              <w:t>iesniegumā aprakstīto plānu izpildes kvalitāte, neizpildes gadījumā paredzot finanšu korekcijas atbilstoši FM vadlīnijām Nr.2.7.“Vadlīnijas</w:t>
            </w:r>
            <w:r w:rsidRPr="006222DC">
              <w:rPr>
                <w:rFonts w:ascii="Times New Roman" w:eastAsia="Times New Roman" w:hAnsi="Times New Roman" w:cs="Times New Roman"/>
                <w:lang w:val="lv-LV"/>
              </w:rPr>
              <w:t xml:space="preserve"> par finanšu korekciju piemērošanu, ziņošanu par Eiropas Savienības fondu ieviešanā konstatētajām neatbilstībām, neatbilstoši veikto izdevumu atgūšanu 2014.-2020.gada plānošanas periodā”. Papildus vēršam uzmanību, ka Eiropas Komisijas ekspertu datu bāzē pēc šādiem izvirzītajiem kritērijiem CFLA nevar garantēt ekspertu atlasi. </w:t>
            </w:r>
          </w:p>
        </w:tc>
        <w:tc>
          <w:tcPr>
            <w:tcW w:w="3119" w:type="dxa"/>
            <w:shd w:val="clear" w:color="auto" w:fill="auto"/>
          </w:tcPr>
          <w:p w:rsidR="00F16993" w:rsidRPr="00F16993" w:rsidRDefault="00F16993" w:rsidP="00F16993">
            <w:pPr>
              <w:spacing w:after="0" w:line="240" w:lineRule="auto"/>
              <w:jc w:val="both"/>
              <w:rPr>
                <w:rFonts w:ascii="Times New Roman" w:eastAsia="Times New Roman" w:hAnsi="Times New Roman" w:cs="Times New Roman"/>
                <w:b/>
                <w:lang w:val="lv-LV" w:eastAsia="lv-LV"/>
              </w:rPr>
            </w:pPr>
            <w:r w:rsidRPr="00F16993">
              <w:rPr>
                <w:rFonts w:ascii="Times New Roman" w:eastAsia="Times New Roman" w:hAnsi="Times New Roman" w:cs="Times New Roman"/>
                <w:b/>
                <w:lang w:val="lv-LV" w:eastAsia="lv-LV"/>
              </w:rPr>
              <w:lastRenderedPageBreak/>
              <w:t>Ņemts vērā</w:t>
            </w:r>
          </w:p>
          <w:p w:rsidR="00C90BCF" w:rsidRPr="00DE7F32" w:rsidRDefault="00F82B72" w:rsidP="00F16993">
            <w:pPr>
              <w:spacing w:after="0" w:line="240" w:lineRule="auto"/>
              <w:jc w:val="both"/>
              <w:rPr>
                <w:rFonts w:ascii="Times New Roman" w:eastAsia="Times New Roman" w:hAnsi="Times New Roman" w:cs="Times New Roman"/>
                <w:lang w:val="lv-LV" w:eastAsia="lv-LV"/>
              </w:rPr>
            </w:pPr>
            <w:r w:rsidRPr="00DE7F32">
              <w:rPr>
                <w:rFonts w:ascii="Times New Roman" w:eastAsia="Times New Roman" w:hAnsi="Times New Roman" w:cs="Times New Roman"/>
                <w:lang w:val="lv-LV" w:eastAsia="lv-LV"/>
              </w:rPr>
              <w:t>Skaidrojam, ka IZM ieskatā projektu iesniegumu vērtēšanā ir nepieciešama starpta</w:t>
            </w:r>
            <w:r w:rsidR="002C4623">
              <w:rPr>
                <w:rFonts w:ascii="Times New Roman" w:eastAsia="Times New Roman" w:hAnsi="Times New Roman" w:cs="Times New Roman"/>
                <w:lang w:val="lv-LV" w:eastAsia="lv-LV"/>
              </w:rPr>
              <w:t xml:space="preserve">utiskās ekspertīzes veikšana, jo </w:t>
            </w:r>
            <w:r w:rsidRPr="00DE7F32">
              <w:rPr>
                <w:rFonts w:ascii="Times New Roman" w:eastAsia="Times New Roman" w:hAnsi="Times New Roman" w:cs="Times New Roman"/>
                <w:lang w:val="lv-LV" w:eastAsia="lv-LV"/>
              </w:rPr>
              <w:t>tā nodrošinās neatkarīgu</w:t>
            </w:r>
            <w:r w:rsidR="003E540E">
              <w:rPr>
                <w:rFonts w:ascii="Times New Roman" w:eastAsia="Times New Roman" w:hAnsi="Times New Roman" w:cs="Times New Roman"/>
                <w:lang w:val="lv-LV" w:eastAsia="lv-LV"/>
              </w:rPr>
              <w:t xml:space="preserve"> un profesionālu</w:t>
            </w:r>
            <w:r w:rsidRPr="00DE7F32">
              <w:rPr>
                <w:rFonts w:ascii="Times New Roman" w:eastAsia="Times New Roman" w:hAnsi="Times New Roman" w:cs="Times New Roman"/>
                <w:lang w:val="lv-LV" w:eastAsia="lv-LV"/>
              </w:rPr>
              <w:t xml:space="preserve"> vērtējumu. Latvijas ietvaros ir problemātiski atrast ekspertus, kas nebūtu saistīti ar Latvijas augstskolām.</w:t>
            </w:r>
          </w:p>
          <w:p w:rsidR="00371AD2" w:rsidRPr="00DE7F32" w:rsidRDefault="00C90BCF" w:rsidP="00F16993">
            <w:pPr>
              <w:spacing w:after="0" w:line="240" w:lineRule="auto"/>
              <w:jc w:val="both"/>
              <w:rPr>
                <w:rFonts w:ascii="Times New Roman" w:eastAsia="Times New Roman" w:hAnsi="Times New Roman" w:cs="Times New Roman"/>
                <w:lang w:val="lv-LV" w:eastAsia="lv-LV"/>
              </w:rPr>
            </w:pPr>
            <w:r w:rsidRPr="00DE7F32">
              <w:rPr>
                <w:rFonts w:ascii="Times New Roman" w:eastAsia="Times New Roman" w:hAnsi="Times New Roman" w:cs="Times New Roman"/>
                <w:lang w:val="lv-LV" w:eastAsia="lv-LV"/>
              </w:rPr>
              <w:t xml:space="preserve">Lai nodrošinātu projektu ilgtspēju un atbildīgu ieviešanu, </w:t>
            </w:r>
            <w:r w:rsidR="00567DBC" w:rsidRPr="00DE7F32">
              <w:rPr>
                <w:rFonts w:ascii="Times New Roman" w:eastAsia="Times New Roman" w:hAnsi="Times New Roman" w:cs="Times New Roman"/>
                <w:lang w:val="lv-LV" w:eastAsia="lv-LV"/>
              </w:rPr>
              <w:t>noteikum</w:t>
            </w:r>
            <w:r w:rsidR="00652828">
              <w:rPr>
                <w:rFonts w:ascii="Times New Roman" w:eastAsia="Times New Roman" w:hAnsi="Times New Roman" w:cs="Times New Roman"/>
                <w:lang w:val="lv-LV" w:eastAsia="lv-LV"/>
              </w:rPr>
              <w:t>u projekts</w:t>
            </w:r>
            <w:r w:rsidR="00567DBC" w:rsidRPr="00DE7F32">
              <w:rPr>
                <w:rFonts w:ascii="Times New Roman" w:eastAsia="Times New Roman" w:hAnsi="Times New Roman" w:cs="Times New Roman"/>
                <w:lang w:val="lv-LV" w:eastAsia="lv-LV"/>
              </w:rPr>
              <w:t xml:space="preserve"> papildināt</w:t>
            </w:r>
            <w:r w:rsidR="00652828">
              <w:rPr>
                <w:rFonts w:ascii="Times New Roman" w:eastAsia="Times New Roman" w:hAnsi="Times New Roman" w:cs="Times New Roman"/>
                <w:lang w:val="lv-LV" w:eastAsia="lv-LV"/>
              </w:rPr>
              <w:t>s</w:t>
            </w:r>
            <w:r w:rsidR="00567DBC" w:rsidRPr="00DE7F32">
              <w:rPr>
                <w:rFonts w:ascii="Times New Roman" w:eastAsia="Times New Roman" w:hAnsi="Times New Roman" w:cs="Times New Roman"/>
                <w:lang w:val="lv-LV" w:eastAsia="lv-LV"/>
              </w:rPr>
              <w:t xml:space="preserve"> ar nosacījumu, ka projektu noslēgumā tiek veikta </w:t>
            </w:r>
            <w:r w:rsidRPr="00DE7F32">
              <w:rPr>
                <w:rFonts w:ascii="Times New Roman" w:eastAsia="Times New Roman" w:hAnsi="Times New Roman" w:cs="Times New Roman"/>
                <w:lang w:val="lv-LV" w:eastAsia="lv-LV"/>
              </w:rPr>
              <w:t>projektu gala rezultātu sasniegšanas starptautiskā ekspertīze</w:t>
            </w:r>
            <w:r w:rsidR="00371AD2" w:rsidRPr="00DE7F32">
              <w:rPr>
                <w:rFonts w:ascii="Times New Roman" w:eastAsia="Times New Roman" w:hAnsi="Times New Roman" w:cs="Times New Roman"/>
                <w:lang w:val="lv-LV" w:eastAsia="lv-LV"/>
              </w:rPr>
              <w:t>.</w:t>
            </w:r>
          </w:p>
          <w:p w:rsidR="002C4623" w:rsidRDefault="002C4623" w:rsidP="00C843BE">
            <w:pPr>
              <w:spacing w:after="0" w:line="240" w:lineRule="auto"/>
              <w:jc w:val="both"/>
              <w:rPr>
                <w:rFonts w:ascii="Times New Roman" w:eastAsia="Times New Roman" w:hAnsi="Times New Roman" w:cs="Times New Roman"/>
                <w:lang w:val="lv-LV" w:eastAsia="lv-LV"/>
              </w:rPr>
            </w:pPr>
          </w:p>
          <w:p w:rsidR="00C838AC" w:rsidRPr="009B272B" w:rsidRDefault="00C843BE" w:rsidP="00C843BE">
            <w:pPr>
              <w:spacing w:after="0" w:line="240" w:lineRule="auto"/>
              <w:jc w:val="both"/>
              <w:rPr>
                <w:rFonts w:ascii="Times New Roman" w:eastAsia="Times New Roman" w:hAnsi="Times New Roman" w:cs="Times New Roman"/>
                <w:lang w:val="lv-LV" w:eastAsia="lv-LV"/>
              </w:rPr>
            </w:pPr>
            <w:r w:rsidRPr="002C4623">
              <w:rPr>
                <w:rFonts w:ascii="Times New Roman" w:eastAsia="Times New Roman" w:hAnsi="Times New Roman" w:cs="Times New Roman"/>
                <w:lang w:val="lv-LV" w:eastAsia="lv-LV"/>
              </w:rPr>
              <w:t>Anotācija papildināta ar attiecīgu skaidrojumu.</w:t>
            </w:r>
            <w:r>
              <w:rPr>
                <w:rFonts w:ascii="Times New Roman" w:eastAsia="Times New Roman" w:hAnsi="Times New Roman" w:cs="Times New Roman"/>
                <w:lang w:val="lv-LV" w:eastAsia="lv-LV"/>
              </w:rPr>
              <w:t xml:space="preserve"> </w:t>
            </w:r>
          </w:p>
        </w:tc>
        <w:tc>
          <w:tcPr>
            <w:tcW w:w="3260" w:type="dxa"/>
          </w:tcPr>
          <w:p w:rsidR="00371AD2" w:rsidRPr="00144916" w:rsidRDefault="00983C0D" w:rsidP="00567DBC">
            <w:pPr>
              <w:pStyle w:val="tv2132"/>
              <w:spacing w:line="240" w:lineRule="auto"/>
              <w:ind w:firstLine="0"/>
              <w:contextualSpacing/>
              <w:jc w:val="both"/>
              <w:rPr>
                <w:rFonts w:cstheme="minorBidi"/>
                <w:b/>
                <w:color w:val="auto"/>
                <w:sz w:val="22"/>
                <w:szCs w:val="22"/>
                <w:lang w:val="lv-LV"/>
              </w:rPr>
            </w:pPr>
            <w:r>
              <w:rPr>
                <w:rFonts w:cstheme="minorBidi"/>
                <w:b/>
                <w:color w:val="auto"/>
                <w:sz w:val="22"/>
                <w:szCs w:val="22"/>
                <w:lang w:val="lv-LV"/>
              </w:rPr>
              <w:t>Anotācija</w:t>
            </w:r>
          </w:p>
          <w:p w:rsidR="00144916" w:rsidRDefault="00983C0D" w:rsidP="00C42645">
            <w:pPr>
              <w:pStyle w:val="tv2132"/>
              <w:spacing w:line="240" w:lineRule="auto"/>
              <w:ind w:firstLine="0"/>
              <w:contextualSpacing/>
              <w:jc w:val="both"/>
              <w:rPr>
                <w:rFonts w:cstheme="minorBidi"/>
                <w:color w:val="auto"/>
                <w:sz w:val="22"/>
                <w:szCs w:val="22"/>
                <w:lang w:val="lv-LV"/>
              </w:rPr>
            </w:pPr>
            <w:r w:rsidRPr="00983C0D">
              <w:rPr>
                <w:rFonts w:cstheme="minorBidi"/>
                <w:color w:val="auto"/>
                <w:sz w:val="22"/>
                <w:szCs w:val="22"/>
                <w:lang w:val="lv-LV"/>
              </w:rPr>
              <w:t xml:space="preserve">Eiropas Komisijas ekspertu datubāzē iekļautu ekspertu </w:t>
            </w:r>
            <w:r w:rsidR="00144916" w:rsidRPr="00144916">
              <w:rPr>
                <w:rFonts w:cstheme="minorBidi"/>
                <w:color w:val="auto"/>
                <w:sz w:val="22"/>
                <w:szCs w:val="22"/>
                <w:lang w:val="lv-LV"/>
              </w:rPr>
              <w:t xml:space="preserve">piesaiste projektu vērtēšanā </w:t>
            </w:r>
            <w:r w:rsidR="00A06DC2">
              <w:rPr>
                <w:rFonts w:cstheme="minorBidi"/>
                <w:color w:val="auto"/>
                <w:sz w:val="22"/>
                <w:szCs w:val="22"/>
                <w:lang w:val="lv-LV"/>
              </w:rPr>
              <w:t xml:space="preserve">nodrošinās </w:t>
            </w:r>
            <w:r w:rsidR="009A6F4E">
              <w:t xml:space="preserve"> </w:t>
            </w:r>
            <w:r w:rsidR="009A6F4E" w:rsidRPr="009A6F4E">
              <w:rPr>
                <w:rFonts w:cstheme="minorBidi"/>
                <w:color w:val="auto"/>
                <w:sz w:val="22"/>
                <w:szCs w:val="22"/>
                <w:lang w:val="lv-LV"/>
              </w:rPr>
              <w:t xml:space="preserve">tādu ekspertu izvēli, kam jau ir pieredze līdzīgu projektu vērtēšanā, un kam ir ne tikai izpratne par IT risinājumiem, bet arī par </w:t>
            </w:r>
            <w:r w:rsidR="00521769">
              <w:rPr>
                <w:rFonts w:cstheme="minorBidi"/>
                <w:color w:val="auto"/>
                <w:sz w:val="22"/>
                <w:szCs w:val="22"/>
                <w:lang w:val="lv-LV"/>
              </w:rPr>
              <w:t xml:space="preserve">digitālajām kompetencēm un digitālo saturu, </w:t>
            </w:r>
            <w:r w:rsidR="009A6F4E" w:rsidRPr="009A6F4E">
              <w:rPr>
                <w:rFonts w:cstheme="minorBidi"/>
                <w:color w:val="auto"/>
                <w:sz w:val="22"/>
                <w:szCs w:val="22"/>
                <w:lang w:val="lv-LV"/>
              </w:rPr>
              <w:t>studiju procesu un augstākās izglītības attīstības tendencēm. Vienlaikus šādu ekspertu piesaiste projektu vērtēšanā nodrošinās neatkarīgu vērtējumu. Latvijas ietvaros ir problemātiski atrast ekspertus, kas nebūtu saistīti ar kādu no Latvijas augstskolām.</w:t>
            </w:r>
          </w:p>
          <w:p w:rsidR="00371AD2" w:rsidRDefault="00371AD2" w:rsidP="00C42645">
            <w:pPr>
              <w:pStyle w:val="tv2132"/>
              <w:spacing w:line="240" w:lineRule="auto"/>
              <w:ind w:firstLine="0"/>
              <w:contextualSpacing/>
              <w:jc w:val="both"/>
              <w:rPr>
                <w:rFonts w:cstheme="minorBidi"/>
                <w:color w:val="auto"/>
                <w:sz w:val="22"/>
                <w:szCs w:val="22"/>
                <w:lang w:val="lv-LV"/>
              </w:rPr>
            </w:pPr>
            <w:r w:rsidRPr="00371AD2">
              <w:rPr>
                <w:rFonts w:cstheme="minorBidi"/>
                <w:color w:val="auto"/>
                <w:sz w:val="22"/>
                <w:szCs w:val="22"/>
                <w:lang w:val="lv-LV"/>
              </w:rPr>
              <w:t>Lai nodrošinātu projektu ilgtspēju un atbildīgu ieviešanu, noteikum</w:t>
            </w:r>
            <w:r w:rsidR="00652828">
              <w:rPr>
                <w:rFonts w:cstheme="minorBidi"/>
                <w:color w:val="auto"/>
                <w:sz w:val="22"/>
                <w:szCs w:val="22"/>
                <w:lang w:val="lv-LV"/>
              </w:rPr>
              <w:t xml:space="preserve">u </w:t>
            </w:r>
            <w:r w:rsidR="00652828">
              <w:rPr>
                <w:rFonts w:cstheme="minorBidi"/>
                <w:color w:val="auto"/>
                <w:sz w:val="22"/>
                <w:szCs w:val="22"/>
                <w:lang w:val="lv-LV"/>
              </w:rPr>
              <w:lastRenderedPageBreak/>
              <w:t>projekts</w:t>
            </w:r>
            <w:r w:rsidRPr="00371AD2">
              <w:rPr>
                <w:rFonts w:cstheme="minorBidi"/>
                <w:color w:val="auto"/>
                <w:sz w:val="22"/>
                <w:szCs w:val="22"/>
                <w:lang w:val="lv-LV"/>
              </w:rPr>
              <w:t xml:space="preserve"> </w:t>
            </w:r>
            <w:r>
              <w:rPr>
                <w:rFonts w:cstheme="minorBidi"/>
                <w:color w:val="auto"/>
                <w:sz w:val="22"/>
                <w:szCs w:val="22"/>
                <w:lang w:val="lv-LV"/>
              </w:rPr>
              <w:t>paredz</w:t>
            </w:r>
            <w:r w:rsidRPr="00371AD2">
              <w:rPr>
                <w:rFonts w:cstheme="minorBidi"/>
                <w:color w:val="auto"/>
                <w:sz w:val="22"/>
                <w:szCs w:val="22"/>
                <w:lang w:val="lv-LV"/>
              </w:rPr>
              <w:t xml:space="preserve"> nosacījumu, ka projekt</w:t>
            </w:r>
            <w:r w:rsidR="004930BC">
              <w:rPr>
                <w:rFonts w:cstheme="minorBidi"/>
                <w:color w:val="auto"/>
                <w:sz w:val="22"/>
                <w:szCs w:val="22"/>
                <w:lang w:val="lv-LV"/>
              </w:rPr>
              <w:t>a</w:t>
            </w:r>
            <w:r w:rsidRPr="00371AD2">
              <w:rPr>
                <w:rFonts w:cstheme="minorBidi"/>
                <w:color w:val="auto"/>
                <w:sz w:val="22"/>
                <w:szCs w:val="22"/>
                <w:lang w:val="lv-LV"/>
              </w:rPr>
              <w:t xml:space="preserve"> noslēgumā tiek veikta projekt</w:t>
            </w:r>
            <w:r w:rsidR="00C42645">
              <w:rPr>
                <w:rFonts w:cstheme="minorBidi"/>
                <w:color w:val="auto"/>
                <w:sz w:val="22"/>
                <w:szCs w:val="22"/>
                <w:lang w:val="lv-LV"/>
              </w:rPr>
              <w:t>a</w:t>
            </w:r>
            <w:r w:rsidRPr="00371AD2">
              <w:rPr>
                <w:rFonts w:cstheme="minorBidi"/>
                <w:color w:val="auto"/>
                <w:sz w:val="22"/>
                <w:szCs w:val="22"/>
                <w:lang w:val="lv-LV"/>
              </w:rPr>
              <w:t xml:space="preserve"> gala rezultātu sasniegšanas starptautiskā ekspertīze, kurā </w:t>
            </w:r>
            <w:r w:rsidR="00C42645">
              <w:rPr>
                <w:rFonts w:cstheme="minorBidi"/>
                <w:color w:val="auto"/>
                <w:sz w:val="22"/>
                <w:szCs w:val="22"/>
                <w:lang w:val="lv-LV"/>
              </w:rPr>
              <w:t>tiks</w:t>
            </w:r>
            <w:r w:rsidRPr="00371AD2">
              <w:rPr>
                <w:rFonts w:cstheme="minorBidi"/>
                <w:color w:val="auto"/>
                <w:sz w:val="22"/>
                <w:szCs w:val="22"/>
                <w:lang w:val="lv-LV"/>
              </w:rPr>
              <w:t xml:space="preserve"> vērtēta projekta iesniegumā aprakstīto plānu izpildes kvalitāte.</w:t>
            </w:r>
          </w:p>
          <w:p w:rsidR="00983C0D" w:rsidRDefault="00983C0D" w:rsidP="00C42645">
            <w:pPr>
              <w:pStyle w:val="tv2132"/>
              <w:spacing w:line="240" w:lineRule="auto"/>
              <w:ind w:firstLine="0"/>
              <w:contextualSpacing/>
              <w:jc w:val="both"/>
              <w:rPr>
                <w:rFonts w:cstheme="minorBidi"/>
                <w:color w:val="auto"/>
                <w:sz w:val="22"/>
                <w:szCs w:val="22"/>
                <w:lang w:val="lv-LV"/>
              </w:rPr>
            </w:pPr>
          </w:p>
          <w:p w:rsidR="002C48DE" w:rsidRPr="002C48DE" w:rsidRDefault="008936C1" w:rsidP="00C42645">
            <w:pPr>
              <w:pStyle w:val="tv2132"/>
              <w:spacing w:line="240" w:lineRule="auto"/>
              <w:ind w:firstLine="0"/>
              <w:contextualSpacing/>
              <w:jc w:val="both"/>
              <w:rPr>
                <w:rFonts w:cstheme="minorBidi"/>
                <w:b/>
                <w:color w:val="auto"/>
                <w:sz w:val="22"/>
                <w:szCs w:val="22"/>
                <w:lang w:val="lv-LV"/>
              </w:rPr>
            </w:pPr>
            <w:r>
              <w:rPr>
                <w:rFonts w:cstheme="minorBidi"/>
                <w:b/>
                <w:color w:val="auto"/>
                <w:sz w:val="22"/>
                <w:szCs w:val="22"/>
                <w:lang w:val="lv-LV"/>
              </w:rPr>
              <w:t>N</w:t>
            </w:r>
            <w:r w:rsidR="002C48DE" w:rsidRPr="002C48DE">
              <w:rPr>
                <w:rFonts w:cstheme="minorBidi"/>
                <w:b/>
                <w:color w:val="auto"/>
                <w:sz w:val="22"/>
                <w:szCs w:val="22"/>
                <w:lang w:val="lv-LV"/>
              </w:rPr>
              <w:t>oteikumu projekts</w:t>
            </w:r>
          </w:p>
          <w:p w:rsidR="00983C0D" w:rsidRPr="00257395" w:rsidRDefault="00257395" w:rsidP="00983C0D">
            <w:pPr>
              <w:pStyle w:val="tv2132"/>
              <w:spacing w:line="240" w:lineRule="auto"/>
              <w:contextualSpacing/>
              <w:jc w:val="both"/>
              <w:rPr>
                <w:rFonts w:cstheme="minorBidi"/>
                <w:color w:val="auto"/>
                <w:sz w:val="22"/>
                <w:szCs w:val="22"/>
                <w:lang w:val="lv-LV"/>
              </w:rPr>
            </w:pPr>
            <w:r w:rsidRPr="00257395">
              <w:rPr>
                <w:rFonts w:cstheme="minorBidi"/>
                <w:color w:val="auto"/>
                <w:sz w:val="22"/>
                <w:szCs w:val="22"/>
                <w:lang w:val="lv-LV"/>
              </w:rPr>
              <w:t>3</w:t>
            </w:r>
            <w:r w:rsidR="00F325F9">
              <w:rPr>
                <w:rFonts w:cstheme="minorBidi"/>
                <w:color w:val="auto"/>
                <w:sz w:val="22"/>
                <w:szCs w:val="22"/>
                <w:lang w:val="lv-LV"/>
              </w:rPr>
              <w:t>1</w:t>
            </w:r>
            <w:r w:rsidR="00983C0D" w:rsidRPr="00257395">
              <w:rPr>
                <w:rFonts w:cstheme="minorBidi"/>
                <w:color w:val="auto"/>
                <w:sz w:val="22"/>
                <w:szCs w:val="22"/>
                <w:lang w:val="lv-LV"/>
              </w:rPr>
              <w:t>. Projektu īstenošanas uzraudzībai Izglītības un zinātnes ministrija sadarbībā ar sadarbības iestādi nodrošina projekta gala rezultātu kvalitātes izvērtējumu, ievērojot šādus nosacījumus:</w:t>
            </w:r>
          </w:p>
          <w:p w:rsidR="00983C0D" w:rsidRPr="00983C0D" w:rsidRDefault="00983C0D" w:rsidP="00983C0D">
            <w:pPr>
              <w:pStyle w:val="tv2132"/>
              <w:spacing w:line="240" w:lineRule="auto"/>
              <w:contextualSpacing/>
              <w:jc w:val="both"/>
              <w:rPr>
                <w:rFonts w:cstheme="minorBidi"/>
                <w:color w:val="auto"/>
                <w:sz w:val="22"/>
                <w:szCs w:val="22"/>
                <w:lang w:val="lv-LV"/>
              </w:rPr>
            </w:pPr>
            <w:r w:rsidRPr="00257395">
              <w:rPr>
                <w:rFonts w:cstheme="minorBidi"/>
                <w:color w:val="auto"/>
                <w:sz w:val="22"/>
                <w:szCs w:val="22"/>
                <w:lang w:val="lv-LV"/>
              </w:rPr>
              <w:t>3</w:t>
            </w:r>
            <w:r w:rsidR="00F325F9">
              <w:rPr>
                <w:rFonts w:cstheme="minorBidi"/>
                <w:color w:val="auto"/>
                <w:sz w:val="22"/>
                <w:szCs w:val="22"/>
                <w:lang w:val="lv-LV"/>
              </w:rPr>
              <w:t>1</w:t>
            </w:r>
            <w:r w:rsidRPr="00257395">
              <w:rPr>
                <w:rFonts w:cstheme="minorBidi"/>
                <w:color w:val="auto"/>
                <w:sz w:val="22"/>
                <w:szCs w:val="22"/>
                <w:lang w:val="lv-LV"/>
              </w:rPr>
              <w:t>.1. izvērtējumu veic Eiropas Komisijas ekspertu datu bāzē iekļauti eksperti</w:t>
            </w:r>
            <w:r w:rsidRPr="00983C0D">
              <w:rPr>
                <w:rFonts w:cstheme="minorBidi"/>
                <w:color w:val="auto"/>
                <w:sz w:val="22"/>
                <w:szCs w:val="22"/>
                <w:lang w:val="lv-LV"/>
              </w:rPr>
              <w:t xml:space="preserve">, kas atbilst šo noteikumu </w:t>
            </w:r>
            <w:r w:rsidR="00CE534C">
              <w:rPr>
                <w:rFonts w:cstheme="minorBidi"/>
                <w:color w:val="auto"/>
                <w:sz w:val="22"/>
                <w:szCs w:val="22"/>
                <w:lang w:val="lv-LV"/>
              </w:rPr>
              <w:t>3</w:t>
            </w:r>
            <w:r w:rsidR="00F325F9">
              <w:rPr>
                <w:rFonts w:cstheme="minorBidi"/>
                <w:color w:val="auto"/>
                <w:sz w:val="22"/>
                <w:szCs w:val="22"/>
                <w:lang w:val="lv-LV"/>
              </w:rPr>
              <w:t>0</w:t>
            </w:r>
            <w:r w:rsidRPr="00983C0D">
              <w:rPr>
                <w:rFonts w:cstheme="minorBidi"/>
                <w:color w:val="auto"/>
                <w:sz w:val="22"/>
                <w:szCs w:val="22"/>
                <w:lang w:val="lv-LV"/>
              </w:rPr>
              <w:t>. punktā minētajiem kritērijiem;</w:t>
            </w:r>
          </w:p>
          <w:p w:rsidR="00983C0D" w:rsidRPr="00983C0D" w:rsidRDefault="00983C0D" w:rsidP="00983C0D">
            <w:pPr>
              <w:pStyle w:val="tv2132"/>
              <w:spacing w:line="240" w:lineRule="auto"/>
              <w:contextualSpacing/>
              <w:jc w:val="both"/>
              <w:rPr>
                <w:rFonts w:cstheme="minorBidi"/>
                <w:color w:val="auto"/>
                <w:sz w:val="22"/>
                <w:szCs w:val="22"/>
                <w:lang w:val="lv-LV"/>
              </w:rPr>
            </w:pPr>
            <w:r w:rsidRPr="00983C0D">
              <w:rPr>
                <w:rFonts w:cstheme="minorBidi"/>
                <w:color w:val="auto"/>
                <w:sz w:val="22"/>
                <w:szCs w:val="22"/>
                <w:lang w:val="lv-LV"/>
              </w:rPr>
              <w:t>3</w:t>
            </w:r>
            <w:r w:rsidR="00F325F9">
              <w:rPr>
                <w:rFonts w:cstheme="minorBidi"/>
                <w:color w:val="auto"/>
                <w:sz w:val="22"/>
                <w:szCs w:val="22"/>
                <w:lang w:val="lv-LV"/>
              </w:rPr>
              <w:t>1</w:t>
            </w:r>
            <w:r w:rsidRPr="00983C0D">
              <w:rPr>
                <w:rFonts w:cstheme="minorBidi"/>
                <w:color w:val="auto"/>
                <w:sz w:val="22"/>
                <w:szCs w:val="22"/>
                <w:lang w:val="lv-LV"/>
              </w:rPr>
              <w:t>.2. atbildīgā iestāde izstrādā izvērtējuma standartformu, tai skaitā ietverot tajā prasību ekspertam izvērtēt un pamatot, cik lielā mērā projekta plānotie rezultāti ir sasniegti</w:t>
            </w:r>
            <w:r w:rsidR="005105B5">
              <w:rPr>
                <w:rFonts w:cstheme="minorBidi"/>
                <w:color w:val="auto"/>
                <w:sz w:val="22"/>
                <w:szCs w:val="22"/>
                <w:lang w:val="lv-LV"/>
              </w:rPr>
              <w:t xml:space="preserve">, </w:t>
            </w:r>
            <w:r w:rsidRPr="00983C0D">
              <w:rPr>
                <w:rFonts w:cstheme="minorBidi"/>
                <w:color w:val="auto"/>
                <w:sz w:val="22"/>
                <w:szCs w:val="22"/>
                <w:lang w:val="lv-LV"/>
              </w:rPr>
              <w:t>novērtējumu izsakot arī procentos;</w:t>
            </w:r>
          </w:p>
          <w:p w:rsidR="00983C0D" w:rsidRPr="0002494F" w:rsidRDefault="00257395" w:rsidP="00F325F9">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    </w:t>
            </w:r>
            <w:r w:rsidR="00983C0D" w:rsidRPr="00983C0D">
              <w:rPr>
                <w:rFonts w:cstheme="minorBidi"/>
                <w:color w:val="auto"/>
                <w:sz w:val="22"/>
                <w:szCs w:val="22"/>
                <w:lang w:val="lv-LV"/>
              </w:rPr>
              <w:t>3</w:t>
            </w:r>
            <w:r w:rsidR="00F325F9">
              <w:rPr>
                <w:rFonts w:cstheme="minorBidi"/>
                <w:color w:val="auto"/>
                <w:sz w:val="22"/>
                <w:szCs w:val="22"/>
                <w:lang w:val="lv-LV"/>
              </w:rPr>
              <w:t>1</w:t>
            </w:r>
            <w:r w:rsidR="00983C0D" w:rsidRPr="00983C0D">
              <w:rPr>
                <w:rFonts w:cstheme="minorBidi"/>
                <w:color w:val="auto"/>
                <w:sz w:val="22"/>
                <w:szCs w:val="22"/>
                <w:lang w:val="lv-LV"/>
              </w:rPr>
              <w:t xml:space="preserve">.3 gala rezultātu izvērtējumu sadarbības iestāde izmanto lēmuma pieņemšanā par projekta mērķa un plānoto rezultātu sasniegšanu. Pamatojoties uz gala izvērtējumu par projektā plānoto rezultātu sasniegšanas līmeni, sadarbības iestāde pieņem lēmumu par finanšu korekcijas piemērošanu atbilstoši vadošās iestādes vadlīnijām par finanšu </w:t>
            </w:r>
            <w:r w:rsidR="00983C0D" w:rsidRPr="00983C0D">
              <w:rPr>
                <w:rFonts w:cstheme="minorBidi"/>
                <w:color w:val="auto"/>
                <w:sz w:val="22"/>
                <w:szCs w:val="22"/>
                <w:lang w:val="lv-LV"/>
              </w:rPr>
              <w:lastRenderedPageBreak/>
              <w:t>korekciju piemērošanu Eiropas Savienības struktūrfondu projektos. Par minēto lēmumu sadarbības iestāde informē atbildīgo iestādi.</w:t>
            </w:r>
          </w:p>
        </w:tc>
      </w:tr>
      <w:tr w:rsidR="006222D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32.</w:t>
            </w:r>
          </w:p>
        </w:tc>
        <w:tc>
          <w:tcPr>
            <w:tcW w:w="2575" w:type="dxa"/>
            <w:shd w:val="clear" w:color="auto" w:fill="auto"/>
          </w:tcPr>
          <w:p w:rsidR="006222DC" w:rsidRPr="0002494F" w:rsidRDefault="00353BCA" w:rsidP="009C2F4C">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33. </w:t>
            </w:r>
            <w:r w:rsidRPr="00353BCA">
              <w:rPr>
                <w:rFonts w:cstheme="minorBidi"/>
                <w:color w:val="auto"/>
                <w:sz w:val="22"/>
                <w:szCs w:val="22"/>
                <w:lang w:val="lv-LV"/>
              </w:rPr>
              <w:t xml:space="preserve">Ja projekta īstenošanas laikā finansējuma saņēmējam ir paredzēts avanss, to var izmaksāt pa daļām. Viens avansa maksājums nepārsniedz 30 procentus no projektam piešķirtā Eiropas Sociālā fonda finansējuma un valsts budžeta līdzfinansējuma kopsummas. Finansējuma saņēmējiem, kuriem ir no valsts budžeta daļēji finansētas atvasinātas publiska personas statuss, un kuri projektu īsteno tiem deleģēto valsts pārvaldes uzdevumu ietvaros, avansa un starpposma maksājumu kopsumma var būt 100 procenti no projektam piešķirtā Eiropas Sociālā fonda finansējuma un valsts budžeta līdzfinansējuma kopsummas. Finansējuma saņēmējiem, kas ir privātpersonu dibinātas augstskolas, avansa un starpposma maksājumu kopsumma var būt 90 </w:t>
            </w:r>
            <w:r w:rsidRPr="00353BCA">
              <w:rPr>
                <w:rFonts w:cstheme="minorBidi"/>
                <w:color w:val="auto"/>
                <w:sz w:val="22"/>
                <w:szCs w:val="22"/>
                <w:lang w:val="lv-LV"/>
              </w:rPr>
              <w:lastRenderedPageBreak/>
              <w:t>procenti no projektā paredzētā Eiropas Sociālā fonda finansējuma un valsts budžeta līdzfinansējuma kopsummas</w:t>
            </w:r>
          </w:p>
        </w:tc>
        <w:tc>
          <w:tcPr>
            <w:tcW w:w="3969" w:type="dxa"/>
            <w:shd w:val="clear" w:color="auto" w:fill="auto"/>
          </w:tcPr>
          <w:p w:rsidR="006222DC" w:rsidRPr="0002494F" w:rsidRDefault="006222DC" w:rsidP="009A4F6F">
            <w:pPr>
              <w:spacing w:after="0" w:line="240" w:lineRule="auto"/>
              <w:jc w:val="both"/>
              <w:rPr>
                <w:rFonts w:ascii="Times New Roman" w:eastAsia="Times New Roman" w:hAnsi="Times New Roman" w:cs="Times New Roman"/>
                <w:b/>
              </w:rPr>
            </w:pPr>
            <w:r w:rsidRPr="0002494F">
              <w:rPr>
                <w:rFonts w:ascii="Times New Roman" w:eastAsia="Times New Roman" w:hAnsi="Times New Roman" w:cs="Times New Roman"/>
                <w:b/>
              </w:rPr>
              <w:lastRenderedPageBreak/>
              <w:t>Finanšu ministrija (25.iebildums)</w:t>
            </w:r>
          </w:p>
          <w:p w:rsidR="006222DC" w:rsidRPr="0002494F" w:rsidRDefault="006222DC" w:rsidP="009A4F6F">
            <w:pPr>
              <w:spacing w:after="0" w:line="240" w:lineRule="auto"/>
              <w:jc w:val="both"/>
            </w:pPr>
            <w:r w:rsidRPr="0002494F">
              <w:rPr>
                <w:rFonts w:ascii="Times New Roman" w:eastAsia="Times New Roman" w:hAnsi="Times New Roman" w:cs="Times New Roman"/>
                <w:lang w:val="lv-LV"/>
              </w:rPr>
              <w:t>Lūdzam noteikumu projekta 33.punkta trešā un ceturtā teikuma sākumu papildināt ar vārdiem “Ievērojot drošas finanšu vadības principus”.</w:t>
            </w:r>
          </w:p>
        </w:tc>
        <w:tc>
          <w:tcPr>
            <w:tcW w:w="3119" w:type="dxa"/>
            <w:shd w:val="clear" w:color="auto" w:fill="auto"/>
          </w:tcPr>
          <w:p w:rsidR="00F16993" w:rsidRPr="00F16993" w:rsidRDefault="00F16993" w:rsidP="00F16993">
            <w:pPr>
              <w:spacing w:after="0" w:line="240" w:lineRule="auto"/>
              <w:jc w:val="both"/>
              <w:rPr>
                <w:rFonts w:ascii="Times New Roman" w:eastAsia="Times New Roman" w:hAnsi="Times New Roman" w:cs="Times New Roman"/>
                <w:b/>
                <w:lang w:val="lv-LV" w:eastAsia="lv-LV"/>
              </w:rPr>
            </w:pPr>
            <w:r w:rsidRPr="00F16993">
              <w:rPr>
                <w:rFonts w:ascii="Times New Roman" w:eastAsia="Times New Roman" w:hAnsi="Times New Roman" w:cs="Times New Roman"/>
                <w:b/>
                <w:lang w:val="lv-LV" w:eastAsia="lv-LV"/>
              </w:rPr>
              <w:t>Ņemts vērā</w:t>
            </w:r>
          </w:p>
          <w:p w:rsidR="006222DC" w:rsidRPr="00F16993" w:rsidRDefault="006222DC" w:rsidP="00353BCA">
            <w:pPr>
              <w:spacing w:after="0" w:line="240" w:lineRule="auto"/>
              <w:jc w:val="both"/>
              <w:rPr>
                <w:rFonts w:ascii="Times New Roman" w:eastAsia="Times New Roman" w:hAnsi="Times New Roman" w:cs="Times New Roman"/>
                <w:lang w:val="lv-LV" w:eastAsia="lv-LV"/>
              </w:rPr>
            </w:pPr>
          </w:p>
        </w:tc>
        <w:tc>
          <w:tcPr>
            <w:tcW w:w="3260" w:type="dxa"/>
          </w:tcPr>
          <w:p w:rsidR="00353BCA" w:rsidRDefault="00353BCA" w:rsidP="006222DC">
            <w:pPr>
              <w:pStyle w:val="tv2132"/>
              <w:spacing w:line="240" w:lineRule="auto"/>
              <w:ind w:firstLine="0"/>
              <w:contextualSpacing/>
              <w:jc w:val="both"/>
              <w:rPr>
                <w:rFonts w:cstheme="minorBidi"/>
                <w:color w:val="auto"/>
                <w:sz w:val="22"/>
                <w:szCs w:val="22"/>
                <w:lang w:val="lv-LV"/>
              </w:rPr>
            </w:pPr>
            <w:r w:rsidRPr="00FA287D">
              <w:rPr>
                <w:rFonts w:cstheme="minorBidi"/>
                <w:color w:val="auto"/>
                <w:sz w:val="22"/>
                <w:szCs w:val="22"/>
                <w:lang w:val="lv-LV"/>
              </w:rPr>
              <w:t>3</w:t>
            </w:r>
            <w:r w:rsidR="005105B5" w:rsidRPr="00FA287D">
              <w:rPr>
                <w:rFonts w:cstheme="minorBidi"/>
                <w:color w:val="auto"/>
                <w:sz w:val="22"/>
                <w:szCs w:val="22"/>
                <w:lang w:val="lv-LV"/>
              </w:rPr>
              <w:t>5</w:t>
            </w:r>
            <w:r w:rsidRPr="00FA287D">
              <w:rPr>
                <w:rFonts w:cstheme="minorBidi"/>
                <w:color w:val="auto"/>
                <w:sz w:val="22"/>
                <w:szCs w:val="22"/>
                <w:lang w:val="lv-LV"/>
              </w:rPr>
              <w:t>. Ja</w:t>
            </w:r>
            <w:r w:rsidRPr="00353BCA">
              <w:rPr>
                <w:rFonts w:cstheme="minorBidi"/>
                <w:color w:val="auto"/>
                <w:sz w:val="22"/>
                <w:szCs w:val="22"/>
                <w:lang w:val="lv-LV"/>
              </w:rPr>
              <w:t xml:space="preserve"> projekta īstenošanas laikā finansējuma saņēmējam ir paredzēts avanss, to var izmaksāt pa daļām. Viens avansa maksājums nepārsniedz 30 procentus no projektam piešķirtā Eiropas Sociālā fonda finansējuma un valsts budžeta līdzfinansējuma kopsummas. </w:t>
            </w:r>
            <w:r w:rsidR="00B16748">
              <w:t xml:space="preserve"> </w:t>
            </w:r>
            <w:r w:rsidR="00B16748" w:rsidRPr="00B16748">
              <w:rPr>
                <w:rFonts w:cstheme="minorBidi"/>
                <w:color w:val="auto"/>
                <w:sz w:val="22"/>
                <w:szCs w:val="22"/>
                <w:lang w:val="lv-LV"/>
              </w:rPr>
              <w:t xml:space="preserve">Ievērojot </w:t>
            </w:r>
            <w:r w:rsidR="00B16748" w:rsidRPr="0021051B">
              <w:rPr>
                <w:rFonts w:cstheme="minorBidi"/>
                <w:b/>
                <w:color w:val="auto"/>
                <w:sz w:val="22"/>
                <w:szCs w:val="22"/>
                <w:lang w:val="lv-LV"/>
              </w:rPr>
              <w:t>drošas finanšu vadības principus</w:t>
            </w:r>
            <w:r w:rsidR="00B16748">
              <w:rPr>
                <w:rFonts w:cstheme="minorBidi"/>
                <w:color w:val="auto"/>
                <w:sz w:val="22"/>
                <w:szCs w:val="22"/>
                <w:lang w:val="lv-LV"/>
              </w:rPr>
              <w:t>, f</w:t>
            </w:r>
            <w:r w:rsidRPr="00353BCA">
              <w:rPr>
                <w:rFonts w:cstheme="minorBidi"/>
                <w:color w:val="auto"/>
                <w:sz w:val="22"/>
                <w:szCs w:val="22"/>
                <w:lang w:val="lv-LV"/>
              </w:rPr>
              <w:t xml:space="preserve">inansējuma saņēmējiem, kuriem ir no valsts budžeta daļēji finansētas atvasinātas publiska personas statuss, un kuri projektu īsteno tiem deleģēto valsts pārvaldes uzdevumu ietvaros, avansa un starpposma maksājumu kopsumma var būt 100 procenti no projektam piešķirtā Eiropas Sociālā fonda finansējuma un valsts budžeta līdzfinansējuma kopsummas. </w:t>
            </w:r>
            <w:r w:rsidR="00B16748">
              <w:t xml:space="preserve"> </w:t>
            </w:r>
            <w:r w:rsidR="00B16748" w:rsidRPr="00B16748">
              <w:rPr>
                <w:rFonts w:cstheme="minorBidi"/>
                <w:color w:val="auto"/>
                <w:sz w:val="22"/>
                <w:szCs w:val="22"/>
                <w:lang w:val="lv-LV"/>
              </w:rPr>
              <w:t xml:space="preserve">Ievērojot </w:t>
            </w:r>
            <w:r w:rsidR="00B16748" w:rsidRPr="0021051B">
              <w:rPr>
                <w:rFonts w:cstheme="minorBidi"/>
                <w:b/>
                <w:color w:val="auto"/>
                <w:sz w:val="22"/>
                <w:szCs w:val="22"/>
                <w:lang w:val="lv-LV"/>
              </w:rPr>
              <w:t>drošas finanšu vadības principus</w:t>
            </w:r>
            <w:r w:rsidR="00B16748">
              <w:rPr>
                <w:rFonts w:cstheme="minorBidi"/>
                <w:color w:val="auto"/>
                <w:sz w:val="22"/>
                <w:szCs w:val="22"/>
                <w:lang w:val="lv-LV"/>
              </w:rPr>
              <w:t>, f</w:t>
            </w:r>
            <w:r w:rsidRPr="00353BCA">
              <w:rPr>
                <w:rFonts w:cstheme="minorBidi"/>
                <w:color w:val="auto"/>
                <w:sz w:val="22"/>
                <w:szCs w:val="22"/>
                <w:lang w:val="lv-LV"/>
              </w:rPr>
              <w:t>inansējuma saņēmējiem, kas ir privātpersonu dibinātas augstskolas, avansa un starpposma maksājumu kopsumma var būt 90 procenti no projektā paredzētā Eiropas Sociālā fonda finansējuma un valsts budžeta līdzfinansējuma kopsummas</w:t>
            </w:r>
            <w:r w:rsidR="003415F9">
              <w:rPr>
                <w:rFonts w:cstheme="minorBidi"/>
                <w:color w:val="auto"/>
                <w:sz w:val="22"/>
                <w:szCs w:val="22"/>
                <w:lang w:val="lv-LV"/>
              </w:rPr>
              <w:t>.</w:t>
            </w:r>
          </w:p>
          <w:p w:rsidR="00353BCA" w:rsidRPr="0002494F" w:rsidRDefault="00353BCA" w:rsidP="006222DC">
            <w:pPr>
              <w:pStyle w:val="tv2132"/>
              <w:spacing w:line="240" w:lineRule="auto"/>
              <w:ind w:firstLine="0"/>
              <w:contextualSpacing/>
              <w:jc w:val="both"/>
              <w:rPr>
                <w:rFonts w:cstheme="minorBidi"/>
                <w:color w:val="auto"/>
                <w:sz w:val="22"/>
                <w:szCs w:val="22"/>
                <w:lang w:val="lv-LV"/>
              </w:rPr>
            </w:pPr>
          </w:p>
        </w:tc>
      </w:tr>
      <w:tr w:rsidR="006222DC"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33.</w:t>
            </w:r>
          </w:p>
        </w:tc>
        <w:tc>
          <w:tcPr>
            <w:tcW w:w="2575" w:type="dxa"/>
            <w:shd w:val="clear" w:color="auto" w:fill="auto"/>
          </w:tcPr>
          <w:p w:rsidR="006222DC" w:rsidRPr="0002494F" w:rsidRDefault="003415F9" w:rsidP="006222DC">
            <w:pPr>
              <w:pStyle w:val="tv2132"/>
              <w:spacing w:line="240" w:lineRule="auto"/>
              <w:ind w:firstLine="0"/>
              <w:contextualSpacing/>
              <w:jc w:val="both"/>
              <w:rPr>
                <w:rFonts w:cstheme="minorBidi"/>
                <w:color w:val="auto"/>
                <w:sz w:val="22"/>
                <w:szCs w:val="22"/>
                <w:lang w:val="lv-LV"/>
              </w:rPr>
            </w:pPr>
            <w:r w:rsidRPr="003415F9">
              <w:rPr>
                <w:rFonts w:cstheme="minorBidi"/>
                <w:color w:val="auto"/>
                <w:sz w:val="22"/>
                <w:szCs w:val="22"/>
                <w:lang w:val="lv-LV"/>
              </w:rPr>
              <w:t>36. Finansējuma saņēmējs un sadarbības partneri projekta īstenošanai nepieciešamo preču un pakalpojumu iegādi veic saskaņā ar publisko iepirkumu reglamentējošajiem normatīvajiem aktiem. Atbalstāma ir vides prasību integrācija preču un pakalpojumu iepirkumos (zaļais publiskais iepirkums).</w:t>
            </w:r>
          </w:p>
        </w:tc>
        <w:tc>
          <w:tcPr>
            <w:tcW w:w="3969" w:type="dxa"/>
            <w:shd w:val="clear" w:color="auto" w:fill="auto"/>
          </w:tcPr>
          <w:p w:rsidR="006222DC" w:rsidRPr="0002494F" w:rsidRDefault="006222DC" w:rsidP="009A4F6F">
            <w:pPr>
              <w:spacing w:after="0" w:line="240" w:lineRule="auto"/>
              <w:rPr>
                <w:rFonts w:ascii="Times New Roman" w:eastAsia="Times New Roman" w:hAnsi="Times New Roman" w:cs="Times New Roman"/>
                <w:b/>
              </w:rPr>
            </w:pPr>
            <w:r w:rsidRPr="0002494F">
              <w:rPr>
                <w:rFonts w:ascii="Times New Roman" w:eastAsia="Times New Roman" w:hAnsi="Times New Roman" w:cs="Times New Roman"/>
                <w:b/>
              </w:rPr>
              <w:t>Finanšu ministrija (26.iebildums)</w:t>
            </w:r>
          </w:p>
          <w:p w:rsidR="009C2F4C" w:rsidRPr="0002494F" w:rsidRDefault="009C2F4C" w:rsidP="009A4F6F">
            <w:pPr>
              <w:spacing w:after="0" w:line="240" w:lineRule="auto"/>
              <w:jc w:val="both"/>
            </w:pPr>
            <w:r w:rsidRPr="0002494F">
              <w:rPr>
                <w:rFonts w:ascii="Times New Roman" w:eastAsia="Times New Roman" w:hAnsi="Times New Roman" w:cs="Times New Roman"/>
                <w:lang w:val="lv-LV"/>
              </w:rPr>
              <w:t>Vēršam uzmanību, ka potenciāla komercdarbības atbalsta sniegšana preču piegādātāju un pakalpojumu sniedzēju līmenī ir izslēdzama tikai tad, ja attiecībā uz šiem subjektiem tiek organizēts iepirkums, kas atbilst publiskā iepirkuma principiem, īstenojot konkurenci nodrošinošu, pārredzamu, nediskriminējošu un beznosacījumu konkursa procedūru (skat. Eiropas Komisijas Paziņojuma par Līguma par Eiropas Savienības darbību 107.panta 1.punktā minēto valsts atbalsta jēdzienu ((2016/C 262/01) 89.-96.punkts). Ņemot vērā minēto, lūdzam precizēt noteikumu projekta 36.punktu, norādot, ka iepirkums (konkrēta pakalpojuma vai preču iegāde) tiks veikts saskaņā ar normatīvajiem aktiem publisko iepirkumu jomā, īstenojot atklātu, pārredzamu, nediskriminējošu un konkurenci nodrošinošu konkursa procedūru.</w:t>
            </w:r>
          </w:p>
        </w:tc>
        <w:tc>
          <w:tcPr>
            <w:tcW w:w="3119" w:type="dxa"/>
            <w:shd w:val="clear" w:color="auto" w:fill="auto"/>
          </w:tcPr>
          <w:p w:rsidR="006222DC" w:rsidRDefault="00F16993" w:rsidP="006222D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F16993" w:rsidRPr="00F16993" w:rsidRDefault="00F16993" w:rsidP="006222DC">
            <w:pPr>
              <w:spacing w:after="0" w:line="240" w:lineRule="auto"/>
              <w:jc w:val="both"/>
              <w:rPr>
                <w:rFonts w:ascii="Times New Roman" w:eastAsia="Times New Roman" w:hAnsi="Times New Roman" w:cs="Times New Roman"/>
                <w:lang w:val="lv-LV" w:eastAsia="lv-LV"/>
              </w:rPr>
            </w:pPr>
          </w:p>
        </w:tc>
        <w:tc>
          <w:tcPr>
            <w:tcW w:w="3260" w:type="dxa"/>
          </w:tcPr>
          <w:p w:rsidR="006222DC" w:rsidRPr="0002494F" w:rsidRDefault="003415F9" w:rsidP="00B63CE6">
            <w:pPr>
              <w:pStyle w:val="tv2132"/>
              <w:spacing w:line="240" w:lineRule="auto"/>
              <w:ind w:firstLine="0"/>
              <w:contextualSpacing/>
              <w:jc w:val="both"/>
              <w:rPr>
                <w:rFonts w:cstheme="minorBidi"/>
                <w:color w:val="auto"/>
                <w:sz w:val="22"/>
                <w:szCs w:val="22"/>
                <w:lang w:val="lv-LV"/>
              </w:rPr>
            </w:pPr>
            <w:r w:rsidRPr="00FA287D">
              <w:rPr>
                <w:rFonts w:cstheme="minorBidi"/>
                <w:color w:val="auto"/>
                <w:sz w:val="22"/>
                <w:szCs w:val="22"/>
                <w:lang w:val="lv-LV"/>
              </w:rPr>
              <w:t>3</w:t>
            </w:r>
            <w:r w:rsidR="00B63CE6" w:rsidRPr="00FA287D">
              <w:rPr>
                <w:rFonts w:cstheme="minorBidi"/>
                <w:color w:val="auto"/>
                <w:sz w:val="22"/>
                <w:szCs w:val="22"/>
                <w:lang w:val="lv-LV"/>
              </w:rPr>
              <w:t>8</w:t>
            </w:r>
            <w:r w:rsidRPr="00FA287D">
              <w:rPr>
                <w:rFonts w:cstheme="minorBidi"/>
                <w:color w:val="auto"/>
                <w:sz w:val="22"/>
                <w:szCs w:val="22"/>
                <w:lang w:val="lv-LV"/>
              </w:rPr>
              <w:t>.</w:t>
            </w:r>
            <w:r w:rsidRPr="003415F9">
              <w:rPr>
                <w:rFonts w:cstheme="minorBidi"/>
                <w:color w:val="auto"/>
                <w:sz w:val="22"/>
                <w:szCs w:val="22"/>
                <w:lang w:val="lv-LV"/>
              </w:rPr>
              <w:t xml:space="preserve"> Finansējuma saņēmējs un sadarbības partneri projekta īstenošanai nepieciešamo preču un pakalpojumu iegādi veic </w:t>
            </w:r>
            <w:r>
              <w:t xml:space="preserve"> </w:t>
            </w:r>
            <w:r w:rsidRPr="003415F9">
              <w:rPr>
                <w:rFonts w:cstheme="minorBidi"/>
                <w:color w:val="auto"/>
                <w:sz w:val="22"/>
                <w:szCs w:val="22"/>
                <w:lang w:val="lv-LV"/>
              </w:rPr>
              <w:t xml:space="preserve">saskaņā ar normatīvajiem aktiem publisko iepirkumu jomā, </w:t>
            </w:r>
            <w:r w:rsidRPr="00A1267E">
              <w:rPr>
                <w:rFonts w:cstheme="minorBidi"/>
                <w:b/>
                <w:color w:val="auto"/>
                <w:sz w:val="22"/>
                <w:szCs w:val="22"/>
                <w:lang w:val="lv-LV"/>
              </w:rPr>
              <w:t>īstenojot atklātu, pārredzamu, nediskriminējošu un konkurenci nodrošinošu konkursa procedūru.</w:t>
            </w:r>
            <w:r>
              <w:rPr>
                <w:rFonts w:cstheme="minorBidi"/>
                <w:color w:val="auto"/>
                <w:sz w:val="22"/>
                <w:szCs w:val="22"/>
                <w:lang w:val="lv-LV"/>
              </w:rPr>
              <w:t xml:space="preserve"> </w:t>
            </w:r>
            <w:r w:rsidRPr="003415F9">
              <w:rPr>
                <w:rFonts w:cstheme="minorBidi"/>
                <w:color w:val="auto"/>
                <w:sz w:val="22"/>
                <w:szCs w:val="22"/>
                <w:lang w:val="lv-LV"/>
              </w:rPr>
              <w:t>Atbalstāma ir vides prasību integrācija preču un pakalpojumu iepirkumos (zaļais publiskais iepirkums).</w:t>
            </w:r>
          </w:p>
        </w:tc>
      </w:tr>
      <w:tr w:rsidR="00366BB3"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34.</w:t>
            </w:r>
          </w:p>
        </w:tc>
        <w:tc>
          <w:tcPr>
            <w:tcW w:w="2575" w:type="dxa"/>
            <w:shd w:val="clear" w:color="auto" w:fill="auto"/>
          </w:tcPr>
          <w:p w:rsidR="00366BB3" w:rsidRPr="00F55A65" w:rsidRDefault="00F16993" w:rsidP="006222DC">
            <w:pPr>
              <w:pStyle w:val="tv2132"/>
              <w:spacing w:line="240" w:lineRule="auto"/>
              <w:ind w:firstLine="0"/>
              <w:contextualSpacing/>
              <w:jc w:val="both"/>
              <w:rPr>
                <w:rFonts w:cstheme="minorBidi"/>
                <w:b/>
                <w:color w:val="auto"/>
                <w:sz w:val="22"/>
                <w:szCs w:val="22"/>
                <w:lang w:val="lv-LV"/>
              </w:rPr>
            </w:pPr>
            <w:r w:rsidRPr="00F55A65">
              <w:rPr>
                <w:rFonts w:cstheme="minorBidi"/>
                <w:b/>
                <w:color w:val="auto"/>
                <w:sz w:val="22"/>
                <w:szCs w:val="22"/>
                <w:lang w:val="lv-LV"/>
              </w:rPr>
              <w:t>Anotācija</w:t>
            </w:r>
          </w:p>
        </w:tc>
        <w:tc>
          <w:tcPr>
            <w:tcW w:w="3969" w:type="dxa"/>
            <w:shd w:val="clear" w:color="auto" w:fill="auto"/>
          </w:tcPr>
          <w:p w:rsidR="00366BB3" w:rsidRDefault="00366BB3" w:rsidP="00366BB3">
            <w:pPr>
              <w:spacing w:after="0" w:line="240" w:lineRule="auto"/>
              <w:rPr>
                <w:rFonts w:ascii="Times New Roman" w:eastAsia="Times New Roman" w:hAnsi="Times New Roman" w:cs="Times New Roman"/>
                <w:b/>
              </w:rPr>
            </w:pPr>
            <w:r w:rsidRPr="0002494F">
              <w:rPr>
                <w:rFonts w:ascii="Times New Roman" w:eastAsia="Times New Roman" w:hAnsi="Times New Roman" w:cs="Times New Roman"/>
                <w:b/>
              </w:rPr>
              <w:t>Finanšu ministrija (2</w:t>
            </w:r>
            <w:r>
              <w:rPr>
                <w:rFonts w:ascii="Times New Roman" w:eastAsia="Times New Roman" w:hAnsi="Times New Roman" w:cs="Times New Roman"/>
                <w:b/>
              </w:rPr>
              <w:t>7</w:t>
            </w:r>
            <w:r w:rsidRPr="0002494F">
              <w:rPr>
                <w:rFonts w:ascii="Times New Roman" w:eastAsia="Times New Roman" w:hAnsi="Times New Roman" w:cs="Times New Roman"/>
                <w:b/>
              </w:rPr>
              <w:t>.iebildums)</w:t>
            </w:r>
          </w:p>
          <w:p w:rsidR="00366BB3" w:rsidRDefault="003415F9" w:rsidP="00366BB3">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 xml:space="preserve">(1) </w:t>
            </w:r>
            <w:r w:rsidR="00366BB3" w:rsidRPr="0002494F">
              <w:rPr>
                <w:rFonts w:ascii="Times New Roman" w:eastAsia="Times New Roman" w:hAnsi="Times New Roman" w:cs="Times New Roman"/>
                <w:lang w:val="lv-LV"/>
              </w:rPr>
              <w:t xml:space="preserve">Lūdzam papildināt anotāciju, detalizētāk skaidrojot analītiķu, konsultantu, digitalizācijas aģentu (mentoru), ekspertu, tai skaitā ārvalstu ekspertu, un speciālistu piesaistes nepieciešamību un to uzdevumus projekta īstenošanā, ņemot vērā, ka atbilstoši noteikumu projekta 20.1.2.apakšpunktam </w:t>
            </w:r>
            <w:r w:rsidR="00366BB3" w:rsidRPr="0002494F">
              <w:rPr>
                <w:rFonts w:ascii="Times New Roman" w:eastAsia="Times New Roman" w:hAnsi="Times New Roman" w:cs="Times New Roman"/>
                <w:lang w:val="lv-LV"/>
              </w:rPr>
              <w:lastRenderedPageBreak/>
              <w:t xml:space="preserve">paredzētas minēto speciālistu atlīdzības izmaksas, kā arī atbilstoši noteikumu projekta 20.3., 20.4. un 20.5. apakšpunktam paredzētas iekšzemes komandējumu un darba braucienu izmaksas un ārvalstu komandējumu izmaksas minētajiem speciālistiem kā projekta īstenošanas personālam, kā arī pakalpojumu un piegādes izmaksas, tai skaitā konsultantu, ekspertu, tai skaitā ārvalstu ekspertu, un speciālistu izmaksas. </w:t>
            </w:r>
            <w:r>
              <w:rPr>
                <w:rFonts w:ascii="Times New Roman" w:eastAsia="Times New Roman" w:hAnsi="Times New Roman" w:cs="Times New Roman"/>
                <w:lang w:val="lv-LV"/>
              </w:rPr>
              <w:t xml:space="preserve">(2) </w:t>
            </w:r>
            <w:r w:rsidR="00366BB3" w:rsidRPr="0002494F">
              <w:rPr>
                <w:rFonts w:ascii="Times New Roman" w:eastAsia="Times New Roman" w:hAnsi="Times New Roman" w:cs="Times New Roman"/>
                <w:lang w:val="lv-LV"/>
              </w:rPr>
              <w:t>Vienlaikus vēršam uzmanību, ka, ja komandējumu izdevumi saistīti ar ekspertu ierašanos no mītnes zemes uz projekta īstenošanas vietu, lūdzam izmaksu pozīciju svītrot, jo šādām izmaksām vajadzētu būt ietvertām pakalpojuma izmaksās.</w:t>
            </w:r>
          </w:p>
        </w:tc>
        <w:tc>
          <w:tcPr>
            <w:tcW w:w="3119" w:type="dxa"/>
            <w:shd w:val="clear" w:color="auto" w:fill="auto"/>
          </w:tcPr>
          <w:p w:rsidR="00366BB3" w:rsidRPr="008936C1" w:rsidRDefault="00F16993" w:rsidP="006222DC">
            <w:pPr>
              <w:spacing w:after="0" w:line="240" w:lineRule="auto"/>
              <w:jc w:val="both"/>
              <w:rPr>
                <w:rFonts w:ascii="Times New Roman" w:eastAsia="Times New Roman" w:hAnsi="Times New Roman" w:cs="Times New Roman"/>
                <w:b/>
                <w:lang w:val="lv-LV" w:eastAsia="lv-LV"/>
              </w:rPr>
            </w:pPr>
            <w:r w:rsidRPr="008936C1">
              <w:rPr>
                <w:rFonts w:ascii="Times New Roman" w:eastAsia="Times New Roman" w:hAnsi="Times New Roman" w:cs="Times New Roman"/>
                <w:b/>
                <w:lang w:val="lv-LV" w:eastAsia="lv-LV"/>
              </w:rPr>
              <w:lastRenderedPageBreak/>
              <w:t>Ņemts vērā</w:t>
            </w:r>
          </w:p>
          <w:p w:rsidR="00F16993" w:rsidRPr="008936C1" w:rsidRDefault="00B745AF" w:rsidP="00B745AF">
            <w:pPr>
              <w:spacing w:after="0" w:line="240" w:lineRule="auto"/>
              <w:jc w:val="both"/>
              <w:rPr>
                <w:rFonts w:ascii="Times New Roman" w:eastAsia="Times New Roman" w:hAnsi="Times New Roman" w:cs="Times New Roman"/>
                <w:lang w:val="lv-LV" w:eastAsia="lv-LV"/>
              </w:rPr>
            </w:pPr>
            <w:r w:rsidRPr="008936C1">
              <w:rPr>
                <w:rFonts w:ascii="Times New Roman" w:eastAsia="Times New Roman" w:hAnsi="Times New Roman" w:cs="Times New Roman"/>
                <w:lang w:val="lv-LV" w:eastAsia="lv-LV"/>
              </w:rPr>
              <w:t>(1)</w:t>
            </w:r>
            <w:r w:rsidR="008936C1">
              <w:rPr>
                <w:rFonts w:ascii="Times New Roman" w:eastAsia="Times New Roman" w:hAnsi="Times New Roman" w:cs="Times New Roman"/>
                <w:lang w:val="lv-LV" w:eastAsia="lv-LV"/>
              </w:rPr>
              <w:t xml:space="preserve"> </w:t>
            </w:r>
            <w:r w:rsidR="00F16993" w:rsidRPr="008936C1">
              <w:rPr>
                <w:rFonts w:ascii="Times New Roman" w:eastAsia="Times New Roman" w:hAnsi="Times New Roman" w:cs="Times New Roman"/>
                <w:lang w:val="lv-LV" w:eastAsia="lv-LV"/>
              </w:rPr>
              <w:t>Anotācija papildināta ar skaidrojumu.</w:t>
            </w:r>
          </w:p>
          <w:p w:rsidR="003415F9" w:rsidRPr="008936C1" w:rsidRDefault="003415F9" w:rsidP="006222DC">
            <w:pPr>
              <w:spacing w:after="0" w:line="240" w:lineRule="auto"/>
              <w:jc w:val="both"/>
              <w:rPr>
                <w:rFonts w:ascii="Times New Roman" w:eastAsia="Times New Roman" w:hAnsi="Times New Roman" w:cs="Times New Roman"/>
                <w:lang w:val="lv-LV" w:eastAsia="lv-LV"/>
              </w:rPr>
            </w:pPr>
          </w:p>
          <w:p w:rsidR="003415F9" w:rsidRPr="008936C1" w:rsidRDefault="003415F9" w:rsidP="006222DC">
            <w:pPr>
              <w:spacing w:after="0" w:line="240" w:lineRule="auto"/>
              <w:jc w:val="both"/>
              <w:rPr>
                <w:rFonts w:ascii="Times New Roman" w:eastAsia="Times New Roman" w:hAnsi="Times New Roman" w:cs="Times New Roman"/>
                <w:lang w:val="lv-LV" w:eastAsia="lv-LV"/>
              </w:rPr>
            </w:pPr>
          </w:p>
          <w:p w:rsidR="003415F9" w:rsidRPr="008936C1" w:rsidRDefault="003415F9" w:rsidP="00FE26D1">
            <w:pPr>
              <w:spacing w:after="0" w:line="240" w:lineRule="auto"/>
              <w:jc w:val="both"/>
              <w:rPr>
                <w:rFonts w:ascii="Times New Roman" w:eastAsia="Times New Roman" w:hAnsi="Times New Roman" w:cs="Times New Roman"/>
                <w:lang w:val="lv-LV" w:eastAsia="lv-LV"/>
              </w:rPr>
            </w:pPr>
            <w:r w:rsidRPr="008936C1">
              <w:rPr>
                <w:rFonts w:ascii="Times New Roman" w:eastAsia="Times New Roman" w:hAnsi="Times New Roman" w:cs="Times New Roman"/>
                <w:lang w:val="lv-LV" w:eastAsia="lv-LV"/>
              </w:rPr>
              <w:t xml:space="preserve">(2) </w:t>
            </w:r>
            <w:r w:rsidR="004930BC" w:rsidRPr="00FE26D1">
              <w:rPr>
                <w:rFonts w:ascii="Times New Roman" w:eastAsia="Times New Roman" w:hAnsi="Times New Roman" w:cs="Times New Roman"/>
                <w:lang w:val="lv-LV" w:eastAsia="lv-LV"/>
              </w:rPr>
              <w:t>N</w:t>
            </w:r>
            <w:r w:rsidRPr="00FE26D1">
              <w:rPr>
                <w:rFonts w:ascii="Times New Roman" w:eastAsia="Times New Roman" w:hAnsi="Times New Roman" w:cs="Times New Roman"/>
                <w:lang w:val="lv-LV" w:eastAsia="lv-LV"/>
              </w:rPr>
              <w:t>oteikumu</w:t>
            </w:r>
            <w:r w:rsidR="004930BC" w:rsidRPr="00FE26D1">
              <w:rPr>
                <w:rFonts w:ascii="Times New Roman" w:eastAsia="Times New Roman" w:hAnsi="Times New Roman" w:cs="Times New Roman"/>
                <w:lang w:val="lv-LV" w:eastAsia="lv-LV"/>
              </w:rPr>
              <w:t xml:space="preserve"> projekt</w:t>
            </w:r>
            <w:r w:rsidR="00FE26D1" w:rsidRPr="00FE26D1">
              <w:rPr>
                <w:rFonts w:ascii="Times New Roman" w:eastAsia="Times New Roman" w:hAnsi="Times New Roman" w:cs="Times New Roman"/>
                <w:lang w:val="lv-LV" w:eastAsia="lv-LV"/>
              </w:rPr>
              <w:t>ā</w:t>
            </w:r>
            <w:r w:rsidRPr="00FE26D1">
              <w:rPr>
                <w:rFonts w:ascii="Times New Roman" w:eastAsia="Times New Roman" w:hAnsi="Times New Roman" w:cs="Times New Roman"/>
                <w:lang w:val="lv-LV" w:eastAsia="lv-LV"/>
              </w:rPr>
              <w:t xml:space="preserve"> </w:t>
            </w:r>
            <w:r w:rsidR="000A04B6" w:rsidRPr="00FE26D1">
              <w:rPr>
                <w:rFonts w:ascii="Times New Roman" w:eastAsia="Times New Roman" w:hAnsi="Times New Roman" w:cs="Times New Roman"/>
                <w:lang w:val="lv-LV" w:eastAsia="lv-LV"/>
              </w:rPr>
              <w:t xml:space="preserve">iekļauts papildu punkts, kas </w:t>
            </w:r>
            <w:r w:rsidR="004477AB" w:rsidRPr="00FE26D1">
              <w:rPr>
                <w:rFonts w:ascii="Times New Roman" w:eastAsia="Times New Roman" w:hAnsi="Times New Roman" w:cs="Times New Roman"/>
                <w:lang w:val="lv-LV" w:eastAsia="lv-LV"/>
              </w:rPr>
              <w:t xml:space="preserve">paredz ārvalstu personāla </w:t>
            </w:r>
            <w:r w:rsidR="000A04B6" w:rsidRPr="00FE26D1">
              <w:rPr>
                <w:rFonts w:ascii="Times New Roman" w:eastAsia="Times New Roman" w:hAnsi="Times New Roman" w:cs="Times New Roman"/>
                <w:lang w:val="lv-LV" w:eastAsia="lv-LV"/>
              </w:rPr>
              <w:t>piesaistes izmaksas</w:t>
            </w:r>
            <w:r w:rsidR="00632B05" w:rsidRPr="00FE26D1">
              <w:rPr>
                <w:rFonts w:ascii="Times New Roman" w:eastAsia="Times New Roman" w:hAnsi="Times New Roman" w:cs="Times New Roman"/>
                <w:lang w:val="lv-LV" w:eastAsia="lv-LV"/>
              </w:rPr>
              <w:t>.</w:t>
            </w:r>
          </w:p>
        </w:tc>
        <w:tc>
          <w:tcPr>
            <w:tcW w:w="3260" w:type="dxa"/>
          </w:tcPr>
          <w:p w:rsidR="00366BB3" w:rsidRDefault="008936C1" w:rsidP="006222DC">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 precizēto anotāciju.</w:t>
            </w:r>
          </w:p>
          <w:p w:rsidR="00F75DF1" w:rsidRDefault="00F75DF1" w:rsidP="006222DC">
            <w:pPr>
              <w:pStyle w:val="tv2132"/>
              <w:spacing w:line="240" w:lineRule="auto"/>
              <w:ind w:firstLine="0"/>
              <w:contextualSpacing/>
              <w:jc w:val="both"/>
              <w:rPr>
                <w:rFonts w:cstheme="minorBidi"/>
                <w:color w:val="auto"/>
                <w:sz w:val="22"/>
                <w:szCs w:val="22"/>
                <w:lang w:val="lv-LV"/>
              </w:rPr>
            </w:pPr>
          </w:p>
          <w:p w:rsidR="00F75DF1" w:rsidRPr="0002494F" w:rsidRDefault="00F75DF1" w:rsidP="006222DC">
            <w:pPr>
              <w:pStyle w:val="tv2132"/>
              <w:spacing w:line="240" w:lineRule="auto"/>
              <w:ind w:firstLine="0"/>
              <w:contextualSpacing/>
              <w:jc w:val="both"/>
              <w:rPr>
                <w:rFonts w:cstheme="minorBidi"/>
                <w:color w:val="auto"/>
                <w:sz w:val="22"/>
                <w:szCs w:val="22"/>
                <w:lang w:val="lv-LV"/>
              </w:rPr>
            </w:pPr>
          </w:p>
        </w:tc>
      </w:tr>
      <w:tr w:rsidR="00366BB3"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35.</w:t>
            </w:r>
          </w:p>
        </w:tc>
        <w:tc>
          <w:tcPr>
            <w:tcW w:w="2575" w:type="dxa"/>
            <w:shd w:val="clear" w:color="auto" w:fill="auto"/>
          </w:tcPr>
          <w:p w:rsidR="00366BB3" w:rsidRPr="0002494F" w:rsidRDefault="00366BB3" w:rsidP="00366BB3">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366BB3" w:rsidRPr="0002494F" w:rsidRDefault="00366BB3" w:rsidP="00366BB3">
            <w:pPr>
              <w:spacing w:after="0" w:line="240" w:lineRule="auto"/>
              <w:rPr>
                <w:rFonts w:ascii="Times New Roman" w:eastAsia="Times New Roman" w:hAnsi="Times New Roman" w:cs="Times New Roman"/>
                <w:b/>
              </w:rPr>
            </w:pPr>
            <w:r w:rsidRPr="0002494F">
              <w:rPr>
                <w:rFonts w:ascii="Times New Roman" w:eastAsia="Times New Roman" w:hAnsi="Times New Roman" w:cs="Times New Roman"/>
                <w:b/>
              </w:rPr>
              <w:t>Finanšu ministrija (28.iebildums)</w:t>
            </w:r>
          </w:p>
          <w:p w:rsidR="00366BB3" w:rsidRPr="0002494F" w:rsidRDefault="00366BB3" w:rsidP="00366BB3">
            <w:pPr>
              <w:spacing w:after="0" w:line="240" w:lineRule="auto"/>
              <w:jc w:val="both"/>
            </w:pPr>
            <w:r w:rsidRPr="0002494F">
              <w:rPr>
                <w:rFonts w:ascii="Times New Roman" w:eastAsia="Times New Roman" w:hAnsi="Times New Roman" w:cs="Times New Roman"/>
                <w:lang w:val="lv-LV"/>
              </w:rPr>
              <w:t xml:space="preserve">Lūdzam papildināt anotāciju ar informāciju par plānoto datu apmaiņu ar ārējām sistēmām, minot piemērus šādām sistēmām, kā arī minot, kādām informācijas sistēmām tiks nodrošināta sadarbsēpja ar valsts informācijas sistēmu savietotāju. Vēršam uzmanību, ka izmaksas, kas saistītas ar saskarnes izveidi datu apmaiņai ar ārējām sistēmām un informācijas sistēmas sadarbspējas nodrošināšanas izmaksas ar valsts informācijas sistēmu savietotāju, var būt attiecināmas gadījumā, ja sistēmas, ar kurām tiek veidota saskarne (savietošana) atrodas publiskas iestādes īpašumā (pirmkodi, tiesības uz attiecīgo intelektuālo īpašumu), vai arī saskarne (savietošana) tiek veikta ar visām attiecīgās jomas/ nozares sistēmām/ augstskolām, pretējā gadījumā atsevišķu </w:t>
            </w:r>
            <w:r w:rsidRPr="0002494F">
              <w:rPr>
                <w:rFonts w:ascii="Times New Roman" w:eastAsia="Times New Roman" w:hAnsi="Times New Roman" w:cs="Times New Roman"/>
                <w:lang w:val="lv-LV"/>
              </w:rPr>
              <w:lastRenderedPageBreak/>
              <w:t>konkrētu saskarņu izveides apmaksa var tikt uzskatīta par vienlīdzīgas konkurences kropļošanu.</w:t>
            </w:r>
          </w:p>
        </w:tc>
        <w:tc>
          <w:tcPr>
            <w:tcW w:w="3119" w:type="dxa"/>
            <w:shd w:val="clear" w:color="auto" w:fill="auto"/>
          </w:tcPr>
          <w:p w:rsidR="00683837" w:rsidRPr="00683837" w:rsidRDefault="00AE7756" w:rsidP="00366BB3">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366BB3" w:rsidRPr="009A4F6F" w:rsidRDefault="004930BC" w:rsidP="004930BC">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N</w:t>
            </w:r>
            <w:r w:rsidR="00366BB3" w:rsidRPr="009A4F6F">
              <w:rPr>
                <w:rFonts w:ascii="Times New Roman" w:eastAsia="Times New Roman" w:hAnsi="Times New Roman" w:cs="Times New Roman"/>
                <w:lang w:val="lv-LV" w:eastAsia="lv-LV"/>
              </w:rPr>
              <w:t xml:space="preserve">oteikumu </w:t>
            </w:r>
            <w:r w:rsidR="00B745AF">
              <w:rPr>
                <w:rFonts w:ascii="Times New Roman" w:eastAsia="Times New Roman" w:hAnsi="Times New Roman" w:cs="Times New Roman"/>
                <w:lang w:val="lv-LV" w:eastAsia="lv-LV"/>
              </w:rPr>
              <w:t xml:space="preserve">projekta </w:t>
            </w:r>
            <w:r w:rsidR="00366BB3" w:rsidRPr="009A4F6F">
              <w:rPr>
                <w:rFonts w:ascii="Times New Roman" w:eastAsia="Times New Roman" w:hAnsi="Times New Roman" w:cs="Times New Roman"/>
                <w:lang w:val="lv-LV" w:eastAsia="lv-LV"/>
              </w:rPr>
              <w:t xml:space="preserve">punkts </w:t>
            </w:r>
            <w:r w:rsidR="00B745AF">
              <w:rPr>
                <w:rFonts w:ascii="Times New Roman" w:eastAsia="Times New Roman" w:hAnsi="Times New Roman" w:cs="Times New Roman"/>
                <w:lang w:val="lv-LV" w:eastAsia="lv-LV"/>
              </w:rPr>
              <w:t xml:space="preserve">par saskarnes izveidi ar valsts informācijas sistēmu ir </w:t>
            </w:r>
            <w:r w:rsidR="000040FF">
              <w:rPr>
                <w:rFonts w:ascii="Times New Roman" w:eastAsia="Times New Roman" w:hAnsi="Times New Roman" w:cs="Times New Roman"/>
                <w:lang w:val="lv-LV" w:eastAsia="lv-LV"/>
              </w:rPr>
              <w:t>svītrots</w:t>
            </w:r>
            <w:r w:rsidR="00366BB3">
              <w:rPr>
                <w:rFonts w:ascii="Times New Roman" w:eastAsia="Times New Roman" w:hAnsi="Times New Roman" w:cs="Times New Roman"/>
                <w:lang w:val="lv-LV" w:eastAsia="lv-LV"/>
              </w:rPr>
              <w:t>.</w:t>
            </w:r>
          </w:p>
        </w:tc>
        <w:tc>
          <w:tcPr>
            <w:tcW w:w="3260" w:type="dxa"/>
          </w:tcPr>
          <w:p w:rsidR="00366BB3" w:rsidRPr="0002494F" w:rsidRDefault="00366BB3" w:rsidP="00366BB3">
            <w:pPr>
              <w:pStyle w:val="tv2132"/>
              <w:spacing w:line="240" w:lineRule="auto"/>
              <w:ind w:firstLine="0"/>
              <w:contextualSpacing/>
              <w:jc w:val="both"/>
              <w:rPr>
                <w:rFonts w:cstheme="minorBidi"/>
                <w:color w:val="auto"/>
                <w:sz w:val="22"/>
                <w:szCs w:val="22"/>
                <w:lang w:val="lv-LV"/>
              </w:rPr>
            </w:pPr>
          </w:p>
        </w:tc>
      </w:tr>
      <w:tr w:rsidR="00366BB3"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36.</w:t>
            </w:r>
          </w:p>
        </w:tc>
        <w:tc>
          <w:tcPr>
            <w:tcW w:w="2575" w:type="dxa"/>
            <w:shd w:val="clear" w:color="auto" w:fill="auto"/>
          </w:tcPr>
          <w:p w:rsidR="00366BB3" w:rsidRPr="00F55A65" w:rsidRDefault="00F16993" w:rsidP="00366BB3">
            <w:pPr>
              <w:pStyle w:val="tv2132"/>
              <w:spacing w:line="240" w:lineRule="auto"/>
              <w:ind w:firstLine="0"/>
              <w:contextualSpacing/>
              <w:jc w:val="both"/>
              <w:rPr>
                <w:rFonts w:cstheme="minorBidi"/>
                <w:b/>
                <w:color w:val="auto"/>
                <w:sz w:val="22"/>
                <w:szCs w:val="22"/>
                <w:lang w:val="lv-LV"/>
              </w:rPr>
            </w:pPr>
            <w:r w:rsidRPr="00F55A65">
              <w:rPr>
                <w:rFonts w:cstheme="minorBidi"/>
                <w:b/>
                <w:color w:val="auto"/>
                <w:sz w:val="22"/>
                <w:szCs w:val="22"/>
                <w:lang w:val="lv-LV"/>
              </w:rPr>
              <w:t>Anotācija</w:t>
            </w:r>
          </w:p>
        </w:tc>
        <w:tc>
          <w:tcPr>
            <w:tcW w:w="3969" w:type="dxa"/>
            <w:shd w:val="clear" w:color="auto" w:fill="auto"/>
          </w:tcPr>
          <w:p w:rsidR="00366BB3" w:rsidRPr="00366BB3" w:rsidRDefault="00366BB3" w:rsidP="00366BB3">
            <w:pPr>
              <w:spacing w:after="0" w:line="240" w:lineRule="auto"/>
              <w:jc w:val="both"/>
              <w:rPr>
                <w:rFonts w:ascii="Times New Roman" w:eastAsia="Times New Roman" w:hAnsi="Times New Roman" w:cs="Times New Roman"/>
                <w:b/>
              </w:rPr>
            </w:pPr>
            <w:r w:rsidRPr="00366BB3">
              <w:rPr>
                <w:rFonts w:ascii="Times New Roman" w:eastAsia="Times New Roman" w:hAnsi="Times New Roman" w:cs="Times New Roman"/>
                <w:b/>
              </w:rPr>
              <w:t>Finanšu ministrija (29.iebildums)</w:t>
            </w:r>
          </w:p>
          <w:p w:rsidR="00366BB3" w:rsidRDefault="00366BB3" w:rsidP="00366BB3">
            <w:pPr>
              <w:spacing w:after="0" w:line="240" w:lineRule="auto"/>
              <w:jc w:val="both"/>
            </w:pPr>
            <w:r w:rsidRPr="00366BB3">
              <w:rPr>
                <w:rFonts w:ascii="Times New Roman" w:eastAsia="Times New Roman" w:hAnsi="Times New Roman" w:cs="Times New Roman"/>
                <w:lang w:val="lv-LV"/>
              </w:rPr>
              <w:t>Lūdzam papildināt anotāciju ar informāciju par to, kā tiks nodrošināta pasākuma ievaros veikto ieguldījumu ilgtspēja, ņemot vērā, ka 14.1.1.1.pasākumā plānotās darbības paredz dažādu tehnoloģisko risinājumu izstrādi.</w:t>
            </w:r>
          </w:p>
        </w:tc>
        <w:tc>
          <w:tcPr>
            <w:tcW w:w="3119" w:type="dxa"/>
            <w:shd w:val="clear" w:color="auto" w:fill="auto"/>
          </w:tcPr>
          <w:p w:rsidR="00366BB3" w:rsidRDefault="00F16993" w:rsidP="00366BB3">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9A6F4E" w:rsidRPr="009A6F4E" w:rsidRDefault="009A6F4E" w:rsidP="00366BB3">
            <w:pPr>
              <w:spacing w:after="0" w:line="240" w:lineRule="auto"/>
              <w:jc w:val="both"/>
              <w:rPr>
                <w:rFonts w:ascii="Times New Roman" w:eastAsia="Times New Roman" w:hAnsi="Times New Roman" w:cs="Times New Roman"/>
                <w:lang w:val="lv-LV" w:eastAsia="lv-LV"/>
              </w:rPr>
            </w:pPr>
            <w:r w:rsidRPr="009A6F4E">
              <w:rPr>
                <w:rFonts w:ascii="Times New Roman" w:eastAsia="Times New Roman" w:hAnsi="Times New Roman" w:cs="Times New Roman"/>
                <w:lang w:val="lv-LV" w:eastAsia="lv-LV"/>
              </w:rPr>
              <w:t>Anotācija ir papildināta ar informāciju.</w:t>
            </w:r>
          </w:p>
          <w:p w:rsidR="009A6F4E" w:rsidRPr="009A6F4E" w:rsidRDefault="009A6F4E" w:rsidP="00366BB3">
            <w:pPr>
              <w:spacing w:after="0" w:line="240" w:lineRule="auto"/>
              <w:jc w:val="both"/>
              <w:rPr>
                <w:rFonts w:ascii="Times New Roman" w:eastAsia="Times New Roman" w:hAnsi="Times New Roman" w:cs="Times New Roman"/>
                <w:lang w:val="lv-LV" w:eastAsia="lv-LV"/>
              </w:rPr>
            </w:pPr>
            <w:r w:rsidRPr="009A6F4E">
              <w:rPr>
                <w:rFonts w:ascii="Times New Roman" w:eastAsia="Times New Roman" w:hAnsi="Times New Roman" w:cs="Times New Roman"/>
                <w:lang w:val="lv-LV" w:eastAsia="lv-LV"/>
              </w:rPr>
              <w:t>Vienlaikus šāds nosacījums ir iekļauts projektu iesniegumu vērtēšanas kritērijos.</w:t>
            </w:r>
          </w:p>
          <w:p w:rsidR="003630FC" w:rsidRPr="0002494F" w:rsidRDefault="003630FC" w:rsidP="00366BB3">
            <w:pPr>
              <w:spacing w:after="0" w:line="240" w:lineRule="auto"/>
              <w:jc w:val="both"/>
              <w:rPr>
                <w:rFonts w:ascii="Times New Roman" w:eastAsia="Times New Roman" w:hAnsi="Times New Roman" w:cs="Times New Roman"/>
                <w:b/>
                <w:lang w:val="lv-LV" w:eastAsia="lv-LV"/>
              </w:rPr>
            </w:pPr>
          </w:p>
        </w:tc>
        <w:tc>
          <w:tcPr>
            <w:tcW w:w="3260" w:type="dxa"/>
          </w:tcPr>
          <w:p w:rsidR="003828CE" w:rsidRPr="003828CE" w:rsidRDefault="003828CE" w:rsidP="00366BB3">
            <w:pPr>
              <w:pStyle w:val="tv2132"/>
              <w:spacing w:line="240" w:lineRule="auto"/>
              <w:ind w:firstLine="0"/>
              <w:contextualSpacing/>
              <w:jc w:val="both"/>
              <w:rPr>
                <w:rFonts w:cstheme="minorBidi"/>
                <w:b/>
                <w:color w:val="auto"/>
                <w:sz w:val="22"/>
                <w:szCs w:val="22"/>
                <w:lang w:val="lv-LV"/>
              </w:rPr>
            </w:pPr>
            <w:r w:rsidRPr="003828CE">
              <w:rPr>
                <w:rFonts w:cstheme="minorBidi"/>
                <w:b/>
                <w:color w:val="auto"/>
                <w:sz w:val="22"/>
                <w:szCs w:val="22"/>
                <w:lang w:val="lv-LV"/>
              </w:rPr>
              <w:t>Anotācija</w:t>
            </w:r>
          </w:p>
          <w:p w:rsidR="00366BB3" w:rsidRPr="00FA287D" w:rsidRDefault="00FA287D" w:rsidP="009A6F4E">
            <w:pPr>
              <w:pStyle w:val="tv2132"/>
              <w:spacing w:line="240" w:lineRule="auto"/>
              <w:ind w:firstLine="0"/>
              <w:contextualSpacing/>
              <w:jc w:val="both"/>
              <w:rPr>
                <w:rFonts w:cstheme="minorBidi"/>
                <w:color w:val="auto"/>
                <w:sz w:val="22"/>
                <w:szCs w:val="22"/>
                <w:lang w:val="lv-LV"/>
              </w:rPr>
            </w:pPr>
            <w:r w:rsidRPr="00FA287D">
              <w:rPr>
                <w:color w:val="auto"/>
                <w:sz w:val="22"/>
                <w:szCs w:val="22"/>
                <w:lang w:val="lv-LV" w:eastAsia="en-GB"/>
              </w:rPr>
              <w:t>Finansējuma saņēmējam ir jānodrošina projekta ietvaros veikto pasākumu un rezultātu ilgtspēja pēc projekta noslēguma, tai skaitā jāparedz, ka iegādātā tehniskā aprīkojuma uzturēšanas izmaksas un iegādāto licenču atjauninājuma izmaksas pēc projekta pabeigšanas tiks segtas no finansējuma saņēmēju pašu līdzekļiem.</w:t>
            </w:r>
          </w:p>
        </w:tc>
      </w:tr>
      <w:tr w:rsidR="00366BB3"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37.</w:t>
            </w:r>
          </w:p>
        </w:tc>
        <w:tc>
          <w:tcPr>
            <w:tcW w:w="2575" w:type="dxa"/>
            <w:shd w:val="clear" w:color="auto" w:fill="auto"/>
          </w:tcPr>
          <w:p w:rsidR="00366BB3" w:rsidRPr="0002494F" w:rsidRDefault="00366BB3" w:rsidP="006222D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366BB3" w:rsidRPr="00366BB3" w:rsidRDefault="00366BB3" w:rsidP="00366BB3">
            <w:pPr>
              <w:spacing w:after="0" w:line="240" w:lineRule="auto"/>
              <w:contextualSpacing/>
              <w:jc w:val="both"/>
              <w:rPr>
                <w:rFonts w:ascii="Times New Roman" w:eastAsia="Times New Roman" w:hAnsi="Times New Roman" w:cs="Times New Roman"/>
                <w:b/>
                <w:lang w:val="lv-LV"/>
              </w:rPr>
            </w:pPr>
            <w:r w:rsidRPr="00366BB3">
              <w:rPr>
                <w:rFonts w:ascii="Times New Roman" w:eastAsia="Times New Roman" w:hAnsi="Times New Roman" w:cs="Times New Roman"/>
                <w:b/>
                <w:lang w:val="lv-LV"/>
              </w:rPr>
              <w:t>Finanšu ministrija (30.iebildums)</w:t>
            </w:r>
          </w:p>
          <w:p w:rsidR="00366BB3" w:rsidRPr="00366BB3" w:rsidRDefault="000B6849" w:rsidP="00366BB3">
            <w:pPr>
              <w:spacing w:after="0" w:line="240" w:lineRule="auto"/>
              <w:contextualSpacing/>
              <w:jc w:val="both"/>
              <w:rPr>
                <w:rFonts w:ascii="Times New Roman" w:eastAsia="Times New Roman" w:hAnsi="Times New Roman" w:cs="Times New Roman"/>
                <w:lang w:val="lv-LV"/>
              </w:rPr>
            </w:pPr>
            <w:r w:rsidRPr="000B6849">
              <w:rPr>
                <w:rFonts w:ascii="Times New Roman" w:hAnsi="Times New Roman" w:cs="Times New Roman"/>
                <w:szCs w:val="24"/>
                <w:lang w:val="lv-LV"/>
              </w:rPr>
              <w:t xml:space="preserve">Lūdzam anotācijā skaidri identificēt sinerģiju </w:t>
            </w:r>
            <w:r w:rsidR="00366BB3" w:rsidRPr="00366BB3">
              <w:rPr>
                <w:rFonts w:ascii="Times New Roman" w:eastAsia="Times New Roman" w:hAnsi="Times New Roman" w:cs="Times New Roman"/>
                <w:lang w:val="lv-LV"/>
              </w:rPr>
              <w:t>un demarkāciju šajā pasākumā plānotajām atbalstāmajām darbībām ar:</w:t>
            </w:r>
          </w:p>
          <w:p w:rsidR="00366BB3" w:rsidRPr="00366BB3" w:rsidRDefault="00366BB3" w:rsidP="00366BB3">
            <w:pPr>
              <w:numPr>
                <w:ilvl w:val="0"/>
                <w:numId w:val="15"/>
              </w:numPr>
              <w:spacing w:after="0" w:line="240" w:lineRule="auto"/>
              <w:contextualSpacing/>
              <w:jc w:val="both"/>
              <w:rPr>
                <w:rFonts w:ascii="Times New Roman" w:eastAsia="Calibri" w:hAnsi="Times New Roman" w:cs="Times New Roman"/>
                <w:lang w:val="lv-LV"/>
              </w:rPr>
            </w:pPr>
            <w:r w:rsidRPr="00366BB3">
              <w:rPr>
                <w:rFonts w:ascii="Times New Roman" w:eastAsia="Times New Roman" w:hAnsi="Times New Roman" w:cs="Times New Roman"/>
                <w:lang w:val="lv-LV"/>
              </w:rPr>
              <w:t>8.2.3.SAM pirmajā projektu iesniegumu atlases kārtā īstenoto esošo studiju programmu satura pilnveidi un salāgošanu ar nozares attīstības vajadzībām (inovatīvu mācību metožu, studiju kursu un prakses izstrāde);</w:t>
            </w:r>
          </w:p>
          <w:p w:rsidR="00366BB3" w:rsidRPr="00366BB3" w:rsidRDefault="00366BB3" w:rsidP="00366BB3">
            <w:pPr>
              <w:numPr>
                <w:ilvl w:val="0"/>
                <w:numId w:val="15"/>
              </w:numPr>
              <w:spacing w:after="0" w:line="240" w:lineRule="auto"/>
              <w:contextualSpacing/>
              <w:jc w:val="both"/>
              <w:rPr>
                <w:rFonts w:ascii="Times New Roman" w:eastAsia="Times New Roman" w:hAnsi="Times New Roman" w:cs="Times New Roman"/>
                <w:lang w:val="lv-LV"/>
              </w:rPr>
            </w:pPr>
            <w:r w:rsidRPr="00366BB3">
              <w:rPr>
                <w:rFonts w:ascii="Times New Roman" w:eastAsia="Times New Roman" w:hAnsi="Times New Roman" w:cs="Times New Roman"/>
                <w:lang w:val="lv-LV"/>
              </w:rPr>
              <w:t>8.2.3.SAM pirmajā projektu iesniegumu atlases kārtā īstenoto e-risinājumu izstrādi, pilnveidi un ieviešanu (e-koplietošanas risinājumu, e-mācību un digitalizācijas risinājumu, [..] studentu pašnovērtējuma e-risinājumu izstrāde vai pilnveide studiju efektivitātes un kvalitātes paaugstināšanai, koplietošanas risinājumu attīstībai un pārvaldības struktūras stiprināšanai, tai skaitā tehniskā aprīkojuma iegāde attālināta studiju procesa nodrošināšanai);</w:t>
            </w:r>
          </w:p>
          <w:p w:rsidR="00366BB3" w:rsidRPr="00366BB3" w:rsidRDefault="00366BB3" w:rsidP="00366BB3">
            <w:pPr>
              <w:numPr>
                <w:ilvl w:val="0"/>
                <w:numId w:val="15"/>
              </w:numPr>
              <w:spacing w:after="0" w:line="240" w:lineRule="auto"/>
              <w:contextualSpacing/>
              <w:jc w:val="both"/>
              <w:rPr>
                <w:rFonts w:ascii="Times New Roman" w:eastAsia="Times New Roman" w:hAnsi="Times New Roman" w:cs="Times New Roman"/>
                <w:lang w:val="lv-LV"/>
              </w:rPr>
            </w:pPr>
            <w:r w:rsidRPr="00366BB3">
              <w:rPr>
                <w:rFonts w:ascii="Times New Roman" w:eastAsia="Times New Roman" w:hAnsi="Times New Roman" w:cs="Times New Roman"/>
                <w:lang w:val="lv-LV"/>
              </w:rPr>
              <w:lastRenderedPageBreak/>
              <w:t xml:space="preserve">8.2.3.SAM otrajā projektu iesniegumu atlases kārtā plānotajām augstākās izglītības iestāžu konsolidācijām (valsts dibinātu augstskolu institucionālās attīstības un konsolidācijas plānu izstrāde). </w:t>
            </w:r>
          </w:p>
          <w:p w:rsidR="00366BB3" w:rsidRPr="00366BB3" w:rsidRDefault="00366BB3" w:rsidP="00366BB3">
            <w:pPr>
              <w:spacing w:after="0" w:line="240" w:lineRule="auto"/>
              <w:jc w:val="both"/>
              <w:rPr>
                <w:rFonts w:ascii="Times New Roman" w:eastAsia="Times New Roman" w:hAnsi="Times New Roman" w:cs="Times New Roman"/>
                <w:b/>
              </w:rPr>
            </w:pPr>
            <w:r w:rsidRPr="00366BB3">
              <w:rPr>
                <w:rFonts w:ascii="Times New Roman" w:eastAsia="Times New Roman" w:hAnsi="Times New Roman" w:cs="Times New Roman"/>
                <w:lang w:val="lv-LV"/>
              </w:rPr>
              <w:t>Vienlaikus lūdzam papildināt anotācijas I sadaļas “Tiesību akta projekta izstrādes nepieciešamība” (turpmāk – anotācijas I sadaļa) 8.lp. 2.rindkopu ar informāciju, ka 14.1.1.1. pasākuma ieviešanā tiks nodrošināta ne tikai sinerģija un papildinātība, bet arī tiks nodrošināta darbību nepārklāšanās ar anotācijā minētajiem specifiskajiem atbalsta mērķiem un pasākumiem</w:t>
            </w:r>
          </w:p>
        </w:tc>
        <w:tc>
          <w:tcPr>
            <w:tcW w:w="3119" w:type="dxa"/>
            <w:shd w:val="clear" w:color="auto" w:fill="auto"/>
          </w:tcPr>
          <w:p w:rsidR="00366BB3" w:rsidRDefault="000B6849" w:rsidP="006222D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586189" w:rsidRPr="00C5789D" w:rsidRDefault="005F5185" w:rsidP="00C5789D">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Attiecībā uz 1) </w:t>
            </w:r>
            <w:r w:rsidR="00C5789D">
              <w:rPr>
                <w:rFonts w:ascii="Times New Roman" w:eastAsia="Times New Roman" w:hAnsi="Times New Roman" w:cs="Times New Roman"/>
                <w:lang w:val="lv-LV" w:eastAsia="lv-LV"/>
              </w:rPr>
              <w:t>u</w:t>
            </w:r>
            <w:r w:rsidR="00C5789D" w:rsidRPr="00C5789D">
              <w:rPr>
                <w:rFonts w:ascii="Times New Roman" w:eastAsia="Times New Roman" w:hAnsi="Times New Roman" w:cs="Times New Roman"/>
                <w:lang w:val="lv-LV" w:eastAsia="lv-LV"/>
              </w:rPr>
              <w:t xml:space="preserve">n </w:t>
            </w:r>
            <w:r w:rsidR="00586189" w:rsidRPr="00C5789D">
              <w:rPr>
                <w:rFonts w:ascii="Times New Roman" w:eastAsia="Times New Roman" w:hAnsi="Times New Roman" w:cs="Times New Roman"/>
                <w:lang w:val="lv-LV" w:eastAsia="lv-LV"/>
              </w:rPr>
              <w:t>2)</w:t>
            </w:r>
            <w:r>
              <w:rPr>
                <w:rFonts w:ascii="Times New Roman" w:eastAsia="Times New Roman" w:hAnsi="Times New Roman" w:cs="Times New Roman"/>
                <w:lang w:val="lv-LV" w:eastAsia="lv-LV"/>
              </w:rPr>
              <w:t xml:space="preserve">, skaidrojam, ka </w:t>
            </w:r>
            <w:r w:rsidR="00283209" w:rsidRPr="00C5789D">
              <w:rPr>
                <w:rFonts w:ascii="Times New Roman" w:eastAsia="Times New Roman" w:hAnsi="Times New Roman" w:cs="Times New Roman"/>
                <w:lang w:val="lv-LV" w:eastAsia="lv-LV"/>
              </w:rPr>
              <w:t>projektu iesniegumu vērtēšanas metodikā 2.</w:t>
            </w:r>
            <w:r w:rsidR="004A7AA3">
              <w:rPr>
                <w:rFonts w:ascii="Times New Roman" w:eastAsia="Times New Roman" w:hAnsi="Times New Roman" w:cs="Times New Roman"/>
                <w:lang w:val="lv-LV" w:eastAsia="lv-LV"/>
              </w:rPr>
              <w:t>4</w:t>
            </w:r>
            <w:r w:rsidR="00283209" w:rsidRPr="00C5789D">
              <w:rPr>
                <w:rFonts w:ascii="Times New Roman" w:eastAsia="Times New Roman" w:hAnsi="Times New Roman" w:cs="Times New Roman"/>
                <w:lang w:val="lv-LV" w:eastAsia="lv-LV"/>
              </w:rPr>
              <w:t xml:space="preserve">. kritērija piemērošanas skaidrojums </w:t>
            </w:r>
            <w:r w:rsidR="00283209">
              <w:t xml:space="preserve"> </w:t>
            </w:r>
            <w:r w:rsidR="00283209" w:rsidRPr="00C5789D">
              <w:rPr>
                <w:rFonts w:ascii="Times New Roman" w:eastAsia="Times New Roman" w:hAnsi="Times New Roman" w:cs="Times New Roman"/>
                <w:lang w:val="lv-LV" w:eastAsia="lv-LV"/>
              </w:rPr>
              <w:t>papildināts ar sekojošu prasību:</w:t>
            </w:r>
            <w:r w:rsidR="00586189" w:rsidRPr="00C5789D">
              <w:rPr>
                <w:rFonts w:ascii="Times New Roman" w:eastAsia="Times New Roman" w:hAnsi="Times New Roman" w:cs="Times New Roman"/>
                <w:lang w:val="lv-LV" w:eastAsia="lv-LV"/>
              </w:rPr>
              <w:t xml:space="preserve"> </w:t>
            </w:r>
          </w:p>
          <w:p w:rsidR="00F16993" w:rsidRDefault="00283209" w:rsidP="006222DC">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w:t>
            </w:r>
            <w:r w:rsidRPr="00283209">
              <w:rPr>
                <w:rFonts w:ascii="Times New Roman" w:eastAsia="Times New Roman" w:hAnsi="Times New Roman" w:cs="Times New Roman"/>
                <w:lang w:val="lv-LV" w:eastAsia="lv-LV"/>
              </w:rPr>
              <w:t xml:space="preserve">Projekta iesniegumā ir norādīts, kas tika veikts </w:t>
            </w:r>
            <w:r>
              <w:rPr>
                <w:rFonts w:ascii="Times New Roman" w:eastAsia="Times New Roman" w:hAnsi="Times New Roman" w:cs="Times New Roman"/>
                <w:lang w:val="lv-LV" w:eastAsia="lv-LV"/>
              </w:rPr>
              <w:t xml:space="preserve">projekta iesniedzēja un sadarbības partnera </w:t>
            </w:r>
            <w:r w:rsidRPr="00283209">
              <w:rPr>
                <w:rFonts w:ascii="Times New Roman" w:eastAsia="Times New Roman" w:hAnsi="Times New Roman" w:cs="Times New Roman"/>
                <w:lang w:val="lv-LV" w:eastAsia="lv-LV"/>
              </w:rPr>
              <w:t>8.2.</w:t>
            </w:r>
            <w:r w:rsidR="003104D7">
              <w:rPr>
                <w:rFonts w:ascii="Times New Roman" w:eastAsia="Times New Roman" w:hAnsi="Times New Roman" w:cs="Times New Roman"/>
                <w:lang w:val="lv-LV" w:eastAsia="lv-LV"/>
              </w:rPr>
              <w:t>3</w:t>
            </w:r>
            <w:r w:rsidRPr="00283209">
              <w:rPr>
                <w:rFonts w:ascii="Times New Roman" w:eastAsia="Times New Roman" w:hAnsi="Times New Roman" w:cs="Times New Roman"/>
                <w:lang w:val="lv-LV" w:eastAsia="lv-LV"/>
              </w:rPr>
              <w:t xml:space="preserve">. SAM 1. kārtas projektā, īstenojot darbības: (1) esošo studiju programmu satura pilnveide un salāgošanu ar nozares attīstības vajadzībām (inovatīvu mācību metožu, studiju kursu un prakses izstrāde); (2) e-risinājumu izstrādi, pilnveidi un ieviešanu (e-koplietošanas risinājumu, e-mācību un digitalizācijas risinājumu, [..] studentu pašnovērtējuma e-risinājumu izstrāde vai pilnveide studiju </w:t>
            </w:r>
            <w:r w:rsidRPr="00283209">
              <w:rPr>
                <w:rFonts w:ascii="Times New Roman" w:eastAsia="Times New Roman" w:hAnsi="Times New Roman" w:cs="Times New Roman"/>
                <w:lang w:val="lv-LV" w:eastAsia="lv-LV"/>
              </w:rPr>
              <w:lastRenderedPageBreak/>
              <w:t xml:space="preserve">efektivitātes un kvalitātes paaugstināšanai, koplietošanas risinājumu attīstībai un pārvaldības struktūras stiprināšanai, tai skaitā tehniskā aprīkojuma iegāde attālināta studiju procesa nodrošināšanai, pamatojot to </w:t>
            </w:r>
            <w:r>
              <w:rPr>
                <w:rFonts w:ascii="Times New Roman" w:eastAsia="Times New Roman" w:hAnsi="Times New Roman" w:cs="Times New Roman"/>
                <w:lang w:val="lv-LV" w:eastAsia="lv-LV"/>
              </w:rPr>
              <w:t xml:space="preserve">sinerģiju un demarkāciju </w:t>
            </w:r>
            <w:r w:rsidRPr="00283209">
              <w:rPr>
                <w:rFonts w:ascii="Times New Roman" w:eastAsia="Times New Roman" w:hAnsi="Times New Roman" w:cs="Times New Roman"/>
                <w:lang w:val="lv-LV" w:eastAsia="lv-LV"/>
              </w:rPr>
              <w:t>ar 14.1.1.1. SAM pasākuma projektā plānotajām darbībām</w:t>
            </w:r>
            <w:r>
              <w:rPr>
                <w:rFonts w:ascii="Times New Roman" w:eastAsia="Times New Roman" w:hAnsi="Times New Roman" w:cs="Times New Roman"/>
                <w:lang w:val="lv-LV" w:eastAsia="lv-LV"/>
              </w:rPr>
              <w:t>”.</w:t>
            </w:r>
          </w:p>
          <w:p w:rsidR="00F16993" w:rsidRPr="007E0CD7" w:rsidRDefault="00A321C2" w:rsidP="00A321C2">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3)</w:t>
            </w:r>
            <w:r w:rsidR="007E0CD7">
              <w:rPr>
                <w:rFonts w:ascii="Times New Roman" w:eastAsia="Times New Roman" w:hAnsi="Times New Roman" w:cs="Times New Roman"/>
                <w:lang w:val="lv-LV" w:eastAsia="lv-LV"/>
              </w:rPr>
              <w:t xml:space="preserve"> </w:t>
            </w:r>
            <w:r w:rsidRPr="007E0CD7">
              <w:rPr>
                <w:rFonts w:ascii="Times New Roman" w:eastAsia="Times New Roman" w:hAnsi="Times New Roman" w:cs="Times New Roman"/>
                <w:lang w:val="lv-LV" w:eastAsia="lv-LV"/>
              </w:rPr>
              <w:t>sk</w:t>
            </w:r>
            <w:r w:rsidR="006B7987">
              <w:rPr>
                <w:rFonts w:ascii="Times New Roman" w:eastAsia="Times New Roman" w:hAnsi="Times New Roman" w:cs="Times New Roman"/>
                <w:lang w:val="lv-LV" w:eastAsia="lv-LV"/>
              </w:rPr>
              <w:t xml:space="preserve">. </w:t>
            </w:r>
            <w:r w:rsidRPr="007E0CD7">
              <w:rPr>
                <w:rFonts w:ascii="Times New Roman" w:eastAsia="Times New Roman" w:hAnsi="Times New Roman" w:cs="Times New Roman"/>
                <w:lang w:val="lv-LV" w:eastAsia="lv-LV"/>
              </w:rPr>
              <w:t xml:space="preserve">skaidrojumu izziņas </w:t>
            </w:r>
            <w:r w:rsidR="00B61645">
              <w:rPr>
                <w:rFonts w:ascii="Times New Roman" w:eastAsia="Times New Roman" w:hAnsi="Times New Roman" w:cs="Times New Roman"/>
                <w:lang w:val="lv-LV" w:eastAsia="lv-LV"/>
              </w:rPr>
              <w:t>17</w:t>
            </w:r>
            <w:r w:rsidR="007E0CD7" w:rsidRPr="007E0CD7">
              <w:rPr>
                <w:rFonts w:ascii="Times New Roman" w:eastAsia="Times New Roman" w:hAnsi="Times New Roman" w:cs="Times New Roman"/>
                <w:lang w:val="lv-LV" w:eastAsia="lv-LV"/>
              </w:rPr>
              <w:t xml:space="preserve">. </w:t>
            </w:r>
            <w:r w:rsidRPr="007E0CD7">
              <w:rPr>
                <w:rFonts w:ascii="Times New Roman" w:eastAsia="Times New Roman" w:hAnsi="Times New Roman" w:cs="Times New Roman"/>
                <w:lang w:val="lv-LV" w:eastAsia="lv-LV"/>
              </w:rPr>
              <w:t>punktā</w:t>
            </w:r>
            <w:r w:rsidR="00AE7756">
              <w:rPr>
                <w:rFonts w:ascii="Times New Roman" w:eastAsia="Times New Roman" w:hAnsi="Times New Roman" w:cs="Times New Roman"/>
                <w:lang w:val="lv-LV" w:eastAsia="lv-LV"/>
              </w:rPr>
              <w:t>.</w:t>
            </w:r>
          </w:p>
          <w:p w:rsidR="00F16993" w:rsidRPr="00586189" w:rsidRDefault="00F16993" w:rsidP="006222DC">
            <w:pPr>
              <w:spacing w:after="0" w:line="240" w:lineRule="auto"/>
              <w:jc w:val="both"/>
              <w:rPr>
                <w:rFonts w:ascii="Times New Roman" w:eastAsia="Times New Roman" w:hAnsi="Times New Roman" w:cs="Times New Roman"/>
                <w:lang w:val="lv-LV" w:eastAsia="lv-LV"/>
              </w:rPr>
            </w:pPr>
            <w:r w:rsidRPr="007E0CD7">
              <w:rPr>
                <w:rFonts w:ascii="Times New Roman" w:eastAsia="Times New Roman" w:hAnsi="Times New Roman" w:cs="Times New Roman"/>
                <w:lang w:val="lv-LV" w:eastAsia="lv-LV"/>
              </w:rPr>
              <w:t>Anotācija</w:t>
            </w:r>
            <w:r>
              <w:rPr>
                <w:rFonts w:ascii="Times New Roman" w:eastAsia="Times New Roman" w:hAnsi="Times New Roman" w:cs="Times New Roman"/>
                <w:lang w:val="lv-LV" w:eastAsia="lv-LV"/>
              </w:rPr>
              <w:t xml:space="preserve"> papildināta</w:t>
            </w:r>
            <w:r w:rsidR="00A321C2">
              <w:rPr>
                <w:rFonts w:ascii="Times New Roman" w:eastAsia="Times New Roman" w:hAnsi="Times New Roman" w:cs="Times New Roman"/>
                <w:lang w:val="lv-LV" w:eastAsia="lv-LV"/>
              </w:rPr>
              <w:t xml:space="preserve"> ar informāciju, ka 14.1.1.1. pasākuma ieviešanā tiks nodrošināta arī darbību nepārklāšanās ar anotācijā minētajiem </w:t>
            </w:r>
            <w:r w:rsidR="00A321C2">
              <w:t xml:space="preserve"> </w:t>
            </w:r>
            <w:r w:rsidR="00A321C2" w:rsidRPr="00A321C2">
              <w:rPr>
                <w:rFonts w:ascii="Times New Roman" w:eastAsia="Times New Roman" w:hAnsi="Times New Roman" w:cs="Times New Roman"/>
                <w:lang w:val="lv-LV" w:eastAsia="lv-LV"/>
              </w:rPr>
              <w:t>specifiskajiem atbalsta mērķiem un pasākumiem</w:t>
            </w:r>
          </w:p>
        </w:tc>
        <w:tc>
          <w:tcPr>
            <w:tcW w:w="3260" w:type="dxa"/>
          </w:tcPr>
          <w:p w:rsidR="00366BB3" w:rsidRPr="0002494F" w:rsidRDefault="00366BB3" w:rsidP="006222DC">
            <w:pPr>
              <w:pStyle w:val="tv2132"/>
              <w:spacing w:line="240" w:lineRule="auto"/>
              <w:ind w:firstLine="0"/>
              <w:contextualSpacing/>
              <w:jc w:val="both"/>
              <w:rPr>
                <w:rFonts w:cstheme="minorBidi"/>
                <w:color w:val="auto"/>
                <w:sz w:val="22"/>
                <w:szCs w:val="22"/>
                <w:lang w:val="lv-LV"/>
              </w:rPr>
            </w:pPr>
          </w:p>
        </w:tc>
      </w:tr>
      <w:tr w:rsidR="00E237DA" w:rsidRPr="0002494F" w:rsidTr="00F70E0C">
        <w:trPr>
          <w:trHeight w:val="2057"/>
        </w:trPr>
        <w:tc>
          <w:tcPr>
            <w:tcW w:w="964" w:type="dxa"/>
            <w:shd w:val="clear" w:color="auto" w:fill="auto"/>
          </w:tcPr>
          <w:p w:rsidR="00E237DA"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38.</w:t>
            </w:r>
          </w:p>
        </w:tc>
        <w:tc>
          <w:tcPr>
            <w:tcW w:w="2575" w:type="dxa"/>
            <w:shd w:val="clear" w:color="auto" w:fill="auto"/>
          </w:tcPr>
          <w:p w:rsidR="00E237DA" w:rsidRDefault="00E237DA" w:rsidP="006222DC">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E237DA" w:rsidRPr="00C66AEF" w:rsidRDefault="00E237DA" w:rsidP="00E237DA">
            <w:pPr>
              <w:spacing w:after="0" w:line="240" w:lineRule="auto"/>
              <w:contextualSpacing/>
              <w:jc w:val="both"/>
              <w:rPr>
                <w:rFonts w:ascii="Times New Roman" w:eastAsia="Times New Roman" w:hAnsi="Times New Roman" w:cs="Times New Roman"/>
                <w:b/>
                <w:lang w:val="lv-LV"/>
              </w:rPr>
            </w:pPr>
            <w:r w:rsidRPr="00C66AEF">
              <w:rPr>
                <w:rFonts w:ascii="Times New Roman" w:eastAsia="Times New Roman" w:hAnsi="Times New Roman" w:cs="Times New Roman"/>
                <w:b/>
                <w:lang w:val="lv-LV"/>
              </w:rPr>
              <w:t>Finanšu ministrija</w:t>
            </w:r>
          </w:p>
          <w:p w:rsidR="00E237DA" w:rsidRPr="00C66AEF" w:rsidRDefault="00E237DA" w:rsidP="00E237DA">
            <w:pPr>
              <w:spacing w:after="0" w:line="240" w:lineRule="auto"/>
              <w:contextualSpacing/>
              <w:jc w:val="both"/>
              <w:rPr>
                <w:rFonts w:ascii="Times New Roman" w:eastAsia="Times New Roman" w:hAnsi="Times New Roman" w:cs="Times New Roman"/>
                <w:b/>
                <w:lang w:val="lv-LV"/>
              </w:rPr>
            </w:pPr>
            <w:r w:rsidRPr="00C66AEF">
              <w:rPr>
                <w:rFonts w:ascii="Times New Roman" w:eastAsia="Times New Roman" w:hAnsi="Times New Roman" w:cs="Times New Roman"/>
                <w:b/>
                <w:lang w:val="lv-LV"/>
              </w:rPr>
              <w:t>19.oktobra elektroniskās saskaņošanas laikā izteiktais iebildums</w:t>
            </w:r>
          </w:p>
          <w:p w:rsidR="00E237DA" w:rsidRPr="00C66AEF" w:rsidRDefault="00E237DA" w:rsidP="00E237DA">
            <w:pPr>
              <w:spacing w:after="0" w:line="240" w:lineRule="auto"/>
              <w:contextualSpacing/>
              <w:jc w:val="both"/>
              <w:rPr>
                <w:rFonts w:ascii="Times New Roman" w:eastAsia="Times New Roman" w:hAnsi="Times New Roman" w:cs="Times New Roman"/>
                <w:lang w:val="lv-LV"/>
              </w:rPr>
            </w:pPr>
            <w:r w:rsidRPr="00C66AEF">
              <w:rPr>
                <w:rFonts w:ascii="Times New Roman" w:eastAsia="Times New Roman" w:hAnsi="Times New Roman" w:cs="Times New Roman"/>
                <w:lang w:val="lv-LV"/>
              </w:rPr>
              <w:t xml:space="preserve">Atkārtoti lūdzam </w:t>
            </w:r>
            <w:r w:rsidRPr="00C66AEF">
              <w:rPr>
                <w:rFonts w:ascii="Times New Roman" w:eastAsia="Times New Roman" w:hAnsi="Times New Roman" w:cs="Times New Roman"/>
                <w:u w:val="single"/>
                <w:lang w:val="lv-LV"/>
              </w:rPr>
              <w:t xml:space="preserve">anotācijā </w:t>
            </w:r>
            <w:r w:rsidRPr="00C66AEF">
              <w:rPr>
                <w:rFonts w:ascii="Times New Roman" w:eastAsia="Times New Roman" w:hAnsi="Times New Roman" w:cs="Times New Roman"/>
                <w:lang w:val="lv-LV"/>
              </w:rPr>
              <w:t>skaidri norādīt, ka 14.1.1.1.pasākums ir cieši saistīts ar 8.2.3.SAM, kā arī identificēt papildināmību un demarkāciju šajā pasākumā plānotajām atbalstāmajām darbībām ar:</w:t>
            </w:r>
          </w:p>
          <w:p w:rsidR="00E237DA" w:rsidRPr="00C66AEF" w:rsidRDefault="00E237DA" w:rsidP="00E237DA">
            <w:pPr>
              <w:numPr>
                <w:ilvl w:val="0"/>
                <w:numId w:val="21"/>
              </w:numPr>
              <w:spacing w:after="0" w:line="240" w:lineRule="auto"/>
              <w:contextualSpacing/>
              <w:jc w:val="both"/>
              <w:rPr>
                <w:rFonts w:ascii="Times New Roman" w:eastAsia="Times New Roman" w:hAnsi="Times New Roman" w:cs="Times New Roman"/>
                <w:lang w:val="lv-LV"/>
              </w:rPr>
            </w:pPr>
            <w:r w:rsidRPr="00C66AEF">
              <w:rPr>
                <w:rFonts w:ascii="Times New Roman" w:eastAsia="Times New Roman" w:hAnsi="Times New Roman" w:cs="Times New Roman"/>
                <w:lang w:val="lv-LV"/>
              </w:rPr>
              <w:t>8.2.3.SAM pirmajā projektu iesniegumu atlases kārtā īstenoto esošo studiju programmu satura pilnveidi un salāgošanu ar nozares attīstības vajadzībām (inovatīvu mācību metožu, studiju kursu un prakses izstrāde);</w:t>
            </w:r>
          </w:p>
          <w:p w:rsidR="00E237DA" w:rsidRPr="00C66AEF" w:rsidRDefault="00E237DA" w:rsidP="00E237DA">
            <w:pPr>
              <w:numPr>
                <w:ilvl w:val="0"/>
                <w:numId w:val="21"/>
              </w:numPr>
              <w:spacing w:after="0" w:line="240" w:lineRule="auto"/>
              <w:contextualSpacing/>
              <w:jc w:val="both"/>
              <w:rPr>
                <w:rFonts w:ascii="Times New Roman" w:eastAsia="Times New Roman" w:hAnsi="Times New Roman" w:cs="Times New Roman"/>
                <w:lang w:val="lv-LV"/>
              </w:rPr>
            </w:pPr>
            <w:r w:rsidRPr="00C66AEF">
              <w:rPr>
                <w:rFonts w:ascii="Times New Roman" w:eastAsia="Times New Roman" w:hAnsi="Times New Roman" w:cs="Times New Roman"/>
                <w:lang w:val="lv-LV"/>
              </w:rPr>
              <w:t>8.2.3.SAM pirmajā projektu iesniegumu atlases kārtā īstenoto e-</w:t>
            </w:r>
            <w:r w:rsidRPr="00C66AEF">
              <w:rPr>
                <w:rFonts w:ascii="Times New Roman" w:eastAsia="Times New Roman" w:hAnsi="Times New Roman" w:cs="Times New Roman"/>
                <w:lang w:val="lv-LV"/>
              </w:rPr>
              <w:lastRenderedPageBreak/>
              <w:t>risinājumu izstrādi, pilnveidi un ieviešanu (e-koplietošanas risinājumu, e-mācību un digitalizācijas risinājumu, [..] studentu pašnovērtējuma e-risinājumu izstrāde vai pilnveide studiju efektivitātes un kvalitātes paaugstināšanai, koplietošanas risinājumu attīstībai un pārvaldības struktūras stiprināšanai, tai skaitā tehniskā aprīkojuma iegāde attālināta studiju procesa nodrošināšanai);</w:t>
            </w:r>
          </w:p>
          <w:p w:rsidR="00E237DA" w:rsidRPr="00C66AEF" w:rsidRDefault="00E237DA" w:rsidP="00E237DA">
            <w:pPr>
              <w:numPr>
                <w:ilvl w:val="0"/>
                <w:numId w:val="21"/>
              </w:numPr>
              <w:spacing w:after="0" w:line="240" w:lineRule="auto"/>
              <w:contextualSpacing/>
              <w:jc w:val="both"/>
              <w:rPr>
                <w:rFonts w:ascii="Times New Roman" w:eastAsia="Times New Roman" w:hAnsi="Times New Roman" w:cs="Times New Roman"/>
                <w:lang w:val="lv-LV"/>
              </w:rPr>
            </w:pPr>
            <w:r w:rsidRPr="00C66AEF">
              <w:rPr>
                <w:rFonts w:ascii="Times New Roman" w:eastAsia="Times New Roman" w:hAnsi="Times New Roman" w:cs="Times New Roman"/>
                <w:lang w:val="lv-LV"/>
              </w:rPr>
              <w:t xml:space="preserve">8.2.3.SAM otrajā projektu iesniegumu atlases kārtā plānotajām augstākās izglītības iestāžu konsolidācijām (valsts dibinātu augstskolu institucionālās attīstības un konsolidācijas plānu izstrāde). </w:t>
            </w:r>
          </w:p>
          <w:p w:rsidR="00E237DA" w:rsidRPr="00C66AEF" w:rsidRDefault="00E237DA" w:rsidP="00366BB3">
            <w:pPr>
              <w:spacing w:after="0" w:line="240" w:lineRule="auto"/>
              <w:contextualSpacing/>
              <w:jc w:val="both"/>
              <w:rPr>
                <w:rFonts w:ascii="Times New Roman" w:eastAsia="Times New Roman" w:hAnsi="Times New Roman" w:cs="Times New Roman"/>
                <w:b/>
                <w:lang w:val="lv-LV"/>
              </w:rPr>
            </w:pPr>
          </w:p>
        </w:tc>
        <w:tc>
          <w:tcPr>
            <w:tcW w:w="3119" w:type="dxa"/>
            <w:shd w:val="clear" w:color="auto" w:fill="auto"/>
          </w:tcPr>
          <w:p w:rsidR="00E237DA" w:rsidRDefault="00E237DA" w:rsidP="006222DC">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4D0184" w:rsidRPr="004D0184" w:rsidRDefault="004D0184" w:rsidP="006222DC">
            <w:pPr>
              <w:spacing w:after="0" w:line="240" w:lineRule="auto"/>
              <w:jc w:val="both"/>
              <w:rPr>
                <w:rFonts w:ascii="Times New Roman" w:eastAsia="Times New Roman" w:hAnsi="Times New Roman" w:cs="Times New Roman"/>
                <w:lang w:val="lv-LV" w:eastAsia="lv-LV"/>
              </w:rPr>
            </w:pPr>
            <w:r w:rsidRPr="004D0184">
              <w:rPr>
                <w:rFonts w:ascii="Times New Roman" w:eastAsia="Times New Roman" w:hAnsi="Times New Roman" w:cs="Times New Roman"/>
                <w:lang w:val="lv-LV" w:eastAsia="lv-LV"/>
              </w:rPr>
              <w:t>Anotācija papildināta</w:t>
            </w:r>
            <w:r>
              <w:rPr>
                <w:rFonts w:ascii="Times New Roman" w:eastAsia="Times New Roman" w:hAnsi="Times New Roman" w:cs="Times New Roman"/>
                <w:lang w:val="lv-LV" w:eastAsia="lv-LV"/>
              </w:rPr>
              <w:t xml:space="preserve"> ar attiecīgu skaidrojumu.</w:t>
            </w:r>
          </w:p>
        </w:tc>
        <w:tc>
          <w:tcPr>
            <w:tcW w:w="3260" w:type="dxa"/>
          </w:tcPr>
          <w:p w:rsidR="004D0184" w:rsidRPr="004D0184" w:rsidRDefault="004D0184" w:rsidP="004D0184">
            <w:pPr>
              <w:pStyle w:val="tv2132"/>
              <w:spacing w:line="240" w:lineRule="auto"/>
              <w:ind w:firstLine="0"/>
              <w:contextualSpacing/>
              <w:jc w:val="both"/>
              <w:rPr>
                <w:rFonts w:cstheme="minorBidi"/>
                <w:b/>
                <w:color w:val="auto"/>
                <w:sz w:val="22"/>
                <w:szCs w:val="22"/>
                <w:lang w:val="lv-LV"/>
              </w:rPr>
            </w:pPr>
            <w:r w:rsidRPr="004D0184">
              <w:rPr>
                <w:rFonts w:cstheme="minorBidi"/>
                <w:b/>
                <w:color w:val="auto"/>
                <w:sz w:val="22"/>
                <w:szCs w:val="22"/>
                <w:lang w:val="lv-LV"/>
              </w:rPr>
              <w:t>Anotācija</w:t>
            </w:r>
          </w:p>
          <w:p w:rsidR="004D0184" w:rsidRPr="004D0184" w:rsidRDefault="004D0184" w:rsidP="004D0184">
            <w:pPr>
              <w:pStyle w:val="tv2132"/>
              <w:spacing w:line="240" w:lineRule="auto"/>
              <w:contextualSpacing/>
              <w:jc w:val="both"/>
              <w:rPr>
                <w:rFonts w:cstheme="minorBidi"/>
                <w:color w:val="auto"/>
                <w:sz w:val="22"/>
                <w:szCs w:val="22"/>
                <w:lang w:val="lv-LV"/>
              </w:rPr>
            </w:pPr>
            <w:r w:rsidRPr="004D0184">
              <w:rPr>
                <w:rFonts w:cstheme="minorBidi"/>
                <w:color w:val="auto"/>
                <w:sz w:val="22"/>
                <w:szCs w:val="22"/>
                <w:lang w:val="lv-LV"/>
              </w:rPr>
              <w:t>14.1.1.1. pasākums tiks īstenots ciešā sasaistītē ar 8.2.3. specifisko atbalsta mērķi (turpmāk</w:t>
            </w:r>
            <w:r w:rsidR="003233A8">
              <w:rPr>
                <w:rFonts w:cstheme="minorBidi"/>
                <w:color w:val="auto"/>
                <w:sz w:val="22"/>
                <w:szCs w:val="22"/>
                <w:lang w:val="lv-LV"/>
              </w:rPr>
              <w:t> </w:t>
            </w:r>
            <w:r w:rsidRPr="004D0184">
              <w:rPr>
                <w:rFonts w:cstheme="minorBidi"/>
                <w:color w:val="auto"/>
                <w:sz w:val="22"/>
                <w:szCs w:val="22"/>
                <w:lang w:val="lv-LV"/>
              </w:rPr>
              <w:t>– SAM) “Nodrošināt labāku pārvaldību augstākās izglītības institūcijās” (turpmāk</w:t>
            </w:r>
            <w:r w:rsidR="003233A8">
              <w:rPr>
                <w:rFonts w:cstheme="minorBidi"/>
                <w:color w:val="auto"/>
                <w:sz w:val="22"/>
                <w:szCs w:val="22"/>
                <w:lang w:val="lv-LV"/>
              </w:rPr>
              <w:t> </w:t>
            </w:r>
            <w:r w:rsidRPr="004D0184">
              <w:rPr>
                <w:rFonts w:cstheme="minorBidi"/>
                <w:color w:val="auto"/>
                <w:sz w:val="22"/>
                <w:szCs w:val="22"/>
                <w:lang w:val="lv-LV"/>
              </w:rPr>
              <w:t>–</w:t>
            </w:r>
            <w:r w:rsidR="003233A8">
              <w:rPr>
                <w:rFonts w:cstheme="minorBidi"/>
                <w:color w:val="auto"/>
                <w:sz w:val="22"/>
                <w:szCs w:val="22"/>
                <w:lang w:val="lv-LV"/>
              </w:rPr>
              <w:t> </w:t>
            </w:r>
            <w:r w:rsidRPr="004D0184">
              <w:rPr>
                <w:rFonts w:cstheme="minorBidi"/>
                <w:color w:val="auto"/>
                <w:sz w:val="22"/>
                <w:szCs w:val="22"/>
                <w:lang w:val="lv-LV"/>
              </w:rPr>
              <w:t xml:space="preserve"> 8.2.3. SAM). </w:t>
            </w:r>
          </w:p>
          <w:p w:rsidR="00E237DA" w:rsidRPr="0002494F" w:rsidRDefault="004D0184" w:rsidP="004D0184">
            <w:pPr>
              <w:pStyle w:val="tv2132"/>
              <w:spacing w:line="240" w:lineRule="auto"/>
              <w:ind w:firstLine="0"/>
              <w:contextualSpacing/>
              <w:jc w:val="both"/>
              <w:rPr>
                <w:rFonts w:cstheme="minorBidi"/>
                <w:color w:val="auto"/>
                <w:sz w:val="22"/>
                <w:szCs w:val="22"/>
                <w:lang w:val="lv-LV"/>
              </w:rPr>
            </w:pPr>
            <w:r w:rsidRPr="004D0184">
              <w:rPr>
                <w:rFonts w:cstheme="minorBidi"/>
                <w:color w:val="auto"/>
                <w:sz w:val="22"/>
                <w:szCs w:val="22"/>
                <w:lang w:val="lv-LV"/>
              </w:rPr>
              <w:t xml:space="preserve">14.1.1.1. pasākuma ietvaros tiks uzlabots studiju saturs, mācību metodes un ieviesti attiecīgi digitālie tehnoloģiskie risinājumi, tādā veidā papildinot 8.2.3. SAM pirmajā kārtā paredzēto esošo studiju programmu satura pilnveidi, tai skaitā inovatīvu mācību metožu, studiju kursu un </w:t>
            </w:r>
            <w:r w:rsidRPr="004D0184">
              <w:rPr>
                <w:rFonts w:cstheme="minorBidi"/>
                <w:color w:val="auto"/>
                <w:sz w:val="22"/>
                <w:szCs w:val="22"/>
                <w:lang w:val="lv-LV"/>
              </w:rPr>
              <w:lastRenderedPageBreak/>
              <w:t>prakses izstrādi; e-mācību un digitalizācijas risinājumu, [..] studentu pašnovērtējuma e-risinājumu izstrādi vai pilnveidi studiju efektivitātes un kvalitātes paaugstināšanai. Vienlaikus, lai nodrošinātu 14.1.1.1. pasākuma projektos plānoto darbību nepārklāšanos ar 8.2.3. SAM pirmās kārtas projektos īstenotajām darbībām, viens no projektu iesniegumu vērtēšanas kritērijiem nosaka, ka projekta iesniegumā ir jānorāda,  kas tika veikts projekta iesniedzēja un sadarbības partnera 8.2.3. SAM pirmās kārtas projektā, īstenojot minētās darbības, kā arī jāpamato to sinerģija un demarkācija ar 14.1.1.1. SAM pasākuma projektā plānotajām darbībām.</w:t>
            </w:r>
          </w:p>
        </w:tc>
      </w:tr>
      <w:tr w:rsidR="00366BB3" w:rsidRPr="0002494F" w:rsidTr="00F70E0C">
        <w:trPr>
          <w:trHeight w:val="274"/>
        </w:trPr>
        <w:tc>
          <w:tcPr>
            <w:tcW w:w="964" w:type="dxa"/>
            <w:shd w:val="clear" w:color="auto" w:fill="auto"/>
          </w:tcPr>
          <w:p w:rsidR="00B32C80" w:rsidRPr="00F55A65" w:rsidRDefault="00B32C80" w:rsidP="000A6480">
            <w:pPr>
              <w:tabs>
                <w:tab w:val="center" w:pos="284"/>
              </w:tabs>
              <w:spacing w:after="0" w:line="240" w:lineRule="auto"/>
              <w:ind w:left="360" w:right="22"/>
              <w:rPr>
                <w:rFonts w:ascii="Times New Roman" w:eastAsia="Calibri" w:hAnsi="Times New Roman" w:cs="Times New Roman"/>
                <w:lang w:val="lv-LV"/>
              </w:rPr>
            </w:pPr>
            <w:r w:rsidRPr="00F55A65">
              <w:rPr>
                <w:rFonts w:ascii="Times New Roman" w:eastAsia="Calibri" w:hAnsi="Times New Roman" w:cs="Times New Roman"/>
                <w:lang w:val="lv-LV"/>
              </w:rPr>
              <w:lastRenderedPageBreak/>
              <w:t>39.</w:t>
            </w:r>
          </w:p>
        </w:tc>
        <w:tc>
          <w:tcPr>
            <w:tcW w:w="2575" w:type="dxa"/>
            <w:shd w:val="clear" w:color="auto" w:fill="auto"/>
          </w:tcPr>
          <w:p w:rsidR="00366BB3" w:rsidRPr="00F55A65" w:rsidRDefault="00A321C2" w:rsidP="00366BB3">
            <w:pPr>
              <w:pStyle w:val="tv2132"/>
              <w:spacing w:line="240" w:lineRule="auto"/>
              <w:ind w:firstLine="0"/>
              <w:contextualSpacing/>
              <w:jc w:val="both"/>
              <w:rPr>
                <w:rFonts w:cstheme="minorBidi"/>
                <w:b/>
                <w:color w:val="auto"/>
                <w:sz w:val="22"/>
                <w:szCs w:val="22"/>
                <w:lang w:val="lv-LV"/>
              </w:rPr>
            </w:pPr>
            <w:r w:rsidRPr="00F55A65">
              <w:rPr>
                <w:rFonts w:cstheme="minorBidi"/>
                <w:b/>
                <w:color w:val="auto"/>
                <w:sz w:val="22"/>
                <w:szCs w:val="22"/>
                <w:lang w:val="lv-LV"/>
              </w:rPr>
              <w:t>Anotācija</w:t>
            </w:r>
          </w:p>
        </w:tc>
        <w:tc>
          <w:tcPr>
            <w:tcW w:w="3969" w:type="dxa"/>
            <w:shd w:val="clear" w:color="auto" w:fill="auto"/>
          </w:tcPr>
          <w:p w:rsidR="00366BB3" w:rsidRPr="00366BB3" w:rsidRDefault="00366BB3" w:rsidP="00366BB3">
            <w:pPr>
              <w:spacing w:after="0" w:line="240" w:lineRule="auto"/>
              <w:rPr>
                <w:rFonts w:ascii="Times New Roman" w:hAnsi="Times New Roman" w:cs="Times New Roman"/>
                <w:b/>
              </w:rPr>
            </w:pPr>
            <w:r w:rsidRPr="00366BB3">
              <w:rPr>
                <w:rFonts w:ascii="Times New Roman" w:hAnsi="Times New Roman" w:cs="Times New Roman"/>
                <w:b/>
              </w:rPr>
              <w:t>Finanšu ministrija (31.iebildums)</w:t>
            </w:r>
          </w:p>
          <w:p w:rsidR="00366BB3" w:rsidRPr="00366BB3" w:rsidRDefault="00366BB3" w:rsidP="00366BB3">
            <w:pPr>
              <w:spacing w:after="0" w:line="240" w:lineRule="auto"/>
            </w:pPr>
            <w:r w:rsidRPr="00366BB3">
              <w:rPr>
                <w:rFonts w:ascii="Times New Roman" w:eastAsia="Times New Roman" w:hAnsi="Times New Roman" w:cs="Times New Roman"/>
                <w:lang w:val="lv-LV"/>
              </w:rPr>
              <w:t xml:space="preserve">Lūdzam papildināt anotāciju ar skaidrojumu, kādēļ 14.1.1.1.pasākumā </w:t>
            </w:r>
            <w:bookmarkStart w:id="6" w:name="_Hlk78963934"/>
            <w:r w:rsidRPr="00366BB3">
              <w:rPr>
                <w:rFonts w:ascii="Times New Roman" w:eastAsia="Times New Roman" w:hAnsi="Times New Roman" w:cs="Times New Roman"/>
                <w:lang w:val="lv-LV"/>
              </w:rPr>
              <w:t>nav iespējams vai paredzēts piemērot vienkāršotās izmaksas</w:t>
            </w:r>
            <w:bookmarkEnd w:id="6"/>
            <w:r w:rsidRPr="00366BB3">
              <w:rPr>
                <w:rFonts w:ascii="Times New Roman" w:eastAsia="Times New Roman" w:hAnsi="Times New Roman" w:cs="Times New Roman"/>
                <w:lang w:val="lv-LV"/>
              </w:rPr>
              <w:t>.</w:t>
            </w:r>
          </w:p>
        </w:tc>
        <w:tc>
          <w:tcPr>
            <w:tcW w:w="3119" w:type="dxa"/>
            <w:shd w:val="clear" w:color="auto" w:fill="auto"/>
          </w:tcPr>
          <w:p w:rsidR="00366BB3" w:rsidRDefault="003104D7" w:rsidP="008E31F4">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366BB3" w:rsidRPr="00E93061" w:rsidRDefault="00A321C2" w:rsidP="00366BB3">
            <w:pPr>
              <w:pStyle w:val="tv2132"/>
              <w:spacing w:line="240" w:lineRule="auto"/>
              <w:ind w:firstLine="0"/>
              <w:contextualSpacing/>
              <w:jc w:val="both"/>
              <w:rPr>
                <w:rFonts w:cstheme="minorBidi"/>
                <w:b/>
                <w:color w:val="auto"/>
                <w:sz w:val="22"/>
                <w:szCs w:val="22"/>
                <w:lang w:val="lv-LV"/>
              </w:rPr>
            </w:pPr>
            <w:r w:rsidRPr="00E93061">
              <w:rPr>
                <w:rFonts w:cstheme="minorBidi"/>
                <w:b/>
                <w:color w:val="auto"/>
                <w:sz w:val="22"/>
                <w:szCs w:val="22"/>
                <w:lang w:val="lv-LV"/>
              </w:rPr>
              <w:t>Anotācija</w:t>
            </w:r>
          </w:p>
          <w:p w:rsidR="00A321C2" w:rsidRPr="0002494F" w:rsidRDefault="00DD25FE" w:rsidP="00DD25FE">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Ņ</w:t>
            </w:r>
            <w:r w:rsidR="00E93061" w:rsidRPr="00DC00CA">
              <w:rPr>
                <w:rFonts w:cstheme="minorBidi"/>
                <w:color w:val="auto"/>
                <w:sz w:val="22"/>
                <w:szCs w:val="22"/>
                <w:lang w:val="lv-LV"/>
              </w:rPr>
              <w:t xml:space="preserve">emot vērā </w:t>
            </w:r>
            <w:r w:rsidR="00DC00CA">
              <w:rPr>
                <w:rFonts w:cstheme="minorBidi"/>
                <w:color w:val="auto"/>
                <w:sz w:val="22"/>
                <w:szCs w:val="22"/>
                <w:lang w:val="lv-LV"/>
              </w:rPr>
              <w:t>to, ka projektu īstenošana ir jāuzsāk pēc iespējas ātr</w:t>
            </w:r>
            <w:r w:rsidR="00730E3F">
              <w:rPr>
                <w:rFonts w:cstheme="minorBidi"/>
                <w:color w:val="auto"/>
                <w:sz w:val="22"/>
                <w:szCs w:val="22"/>
                <w:lang w:val="lv-LV"/>
              </w:rPr>
              <w:t xml:space="preserve">āk (tos īsteno līdz 31.12.2023.), </w:t>
            </w:r>
            <w:r w:rsidR="00E93061" w:rsidRPr="00DC00CA">
              <w:rPr>
                <w:rFonts w:cstheme="minorBidi"/>
                <w:color w:val="auto"/>
                <w:sz w:val="22"/>
                <w:szCs w:val="22"/>
                <w:lang w:val="lv-LV"/>
              </w:rPr>
              <w:t>n</w:t>
            </w:r>
            <w:r w:rsidR="00A42DDE" w:rsidRPr="00DC00CA">
              <w:rPr>
                <w:rFonts w:cstheme="minorBidi"/>
                <w:color w:val="auto"/>
                <w:sz w:val="22"/>
                <w:szCs w:val="22"/>
                <w:lang w:val="lv-LV"/>
              </w:rPr>
              <w:t>av identificētas tādas izmaksas</w:t>
            </w:r>
            <w:r w:rsidR="00A42DDE">
              <w:rPr>
                <w:rFonts w:cstheme="minorBidi"/>
                <w:color w:val="auto"/>
                <w:sz w:val="22"/>
                <w:szCs w:val="22"/>
                <w:lang w:val="lv-LV"/>
              </w:rPr>
              <w:t xml:space="preserve">, </w:t>
            </w:r>
            <w:r w:rsidR="00E93061">
              <w:rPr>
                <w:rFonts w:cstheme="minorBidi"/>
                <w:color w:val="auto"/>
                <w:sz w:val="22"/>
                <w:szCs w:val="22"/>
                <w:lang w:val="lv-LV"/>
              </w:rPr>
              <w:t xml:space="preserve">kuru vienkāršākai uzskaitei </w:t>
            </w:r>
            <w:r w:rsidR="00A42DDE" w:rsidRPr="00A42DDE">
              <w:rPr>
                <w:rFonts w:cstheme="minorBidi"/>
                <w:color w:val="auto"/>
                <w:sz w:val="22"/>
                <w:szCs w:val="22"/>
                <w:lang w:val="lv-LV"/>
              </w:rPr>
              <w:t>atbildīgajai iestāde</w:t>
            </w:r>
            <w:r w:rsidR="00A42DDE">
              <w:rPr>
                <w:rFonts w:cstheme="minorBidi"/>
                <w:color w:val="auto"/>
                <w:sz w:val="22"/>
                <w:szCs w:val="22"/>
                <w:lang w:val="lv-LV"/>
              </w:rPr>
              <w:t>i būtu lietderīgi izstrādāt vienkāršoto izmaksu metodiku.</w:t>
            </w:r>
          </w:p>
        </w:tc>
      </w:tr>
      <w:tr w:rsidR="00366BB3"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40.</w:t>
            </w:r>
          </w:p>
        </w:tc>
        <w:tc>
          <w:tcPr>
            <w:tcW w:w="2575" w:type="dxa"/>
            <w:shd w:val="clear" w:color="auto" w:fill="auto"/>
          </w:tcPr>
          <w:p w:rsidR="00366BB3" w:rsidRDefault="00366BB3" w:rsidP="00366BB3">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366BB3" w:rsidRPr="00366BB3" w:rsidRDefault="00366BB3" w:rsidP="000B6849">
            <w:pPr>
              <w:spacing w:after="0" w:line="240" w:lineRule="auto"/>
              <w:jc w:val="both"/>
              <w:rPr>
                <w:rFonts w:ascii="Times New Roman" w:hAnsi="Times New Roman" w:cs="Times New Roman"/>
                <w:b/>
              </w:rPr>
            </w:pPr>
            <w:r w:rsidRPr="00366BB3">
              <w:rPr>
                <w:rFonts w:ascii="Times New Roman" w:hAnsi="Times New Roman" w:cs="Times New Roman"/>
                <w:b/>
              </w:rPr>
              <w:t>Finanšu ministrija (32.iebildums)</w:t>
            </w:r>
          </w:p>
          <w:p w:rsidR="00366BB3" w:rsidRPr="00366BB3" w:rsidRDefault="00366BB3" w:rsidP="000B6849">
            <w:pPr>
              <w:spacing w:after="0" w:line="240" w:lineRule="auto"/>
              <w:jc w:val="both"/>
            </w:pPr>
            <w:r w:rsidRPr="00366BB3">
              <w:rPr>
                <w:rFonts w:ascii="Times New Roman" w:eastAsia="Times New Roman" w:hAnsi="Times New Roman" w:cs="Times New Roman"/>
                <w:lang w:val="lv-LV"/>
              </w:rPr>
              <w:t xml:space="preserve">Lūdzam papildināt anotāciju ar pamatojumu, kas nosaka finanšu plūsmas pirms projekta apstiprināšanas nodrošināšanas nosacījumus, kā arī atbildīgās iestādes pienākumus un atbildību gadījumos, ja pirms projekta apstiprināšanas radušās izmaksas, kas nav </w:t>
            </w:r>
            <w:r w:rsidRPr="00366BB3">
              <w:rPr>
                <w:rFonts w:ascii="Times New Roman" w:eastAsia="Times New Roman" w:hAnsi="Times New Roman" w:cs="Times New Roman"/>
                <w:lang w:val="lv-LV"/>
              </w:rPr>
              <w:lastRenderedPageBreak/>
              <w:t>attiecināmas no ES fondu līdzekļiem, ņemot vērā, ka noteikumu projekta 26.punkts paredz, ka pasākuma ietvaros finansējuma saņēmējam izmaksas ir attiecināmas, ja tās atbilst šajos noteikumos minētajām izmaksu pozīcijām un ir radušās no šo noteikumu spēkā stāšanās dienas.</w:t>
            </w:r>
          </w:p>
        </w:tc>
        <w:tc>
          <w:tcPr>
            <w:tcW w:w="3119" w:type="dxa"/>
            <w:shd w:val="clear" w:color="auto" w:fill="auto"/>
          </w:tcPr>
          <w:p w:rsidR="00366BB3" w:rsidRDefault="000B6849" w:rsidP="00366BB3">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E93061" w:rsidRDefault="008E31F4" w:rsidP="00366BB3">
            <w:pPr>
              <w:spacing w:after="0" w:line="240" w:lineRule="auto"/>
              <w:jc w:val="both"/>
              <w:rPr>
                <w:rFonts w:ascii="Times New Roman" w:eastAsia="Times New Roman" w:hAnsi="Times New Roman" w:cs="Times New Roman"/>
                <w:lang w:val="lv-LV" w:eastAsia="lv-LV"/>
              </w:rPr>
            </w:pPr>
            <w:r w:rsidRPr="00E93061">
              <w:rPr>
                <w:rFonts w:ascii="Times New Roman" w:eastAsia="Times New Roman" w:hAnsi="Times New Roman" w:cs="Times New Roman"/>
                <w:lang w:val="lv-LV" w:eastAsia="lv-LV"/>
              </w:rPr>
              <w:t xml:space="preserve">Iebildums nav aktuāls, tā kā </w:t>
            </w:r>
            <w:r w:rsidR="00E93061" w:rsidRPr="00E93061">
              <w:rPr>
                <w:rFonts w:ascii="Times New Roman" w:eastAsia="Times New Roman" w:hAnsi="Times New Roman" w:cs="Times New Roman"/>
                <w:lang w:val="lv-LV" w:eastAsia="lv-LV"/>
              </w:rPr>
              <w:t xml:space="preserve">ir </w:t>
            </w:r>
            <w:r w:rsidRPr="00E93061">
              <w:rPr>
                <w:rFonts w:ascii="Times New Roman" w:eastAsia="Times New Roman" w:hAnsi="Times New Roman" w:cs="Times New Roman"/>
                <w:lang w:val="lv-LV" w:eastAsia="lv-LV"/>
              </w:rPr>
              <w:t xml:space="preserve">mainīts </w:t>
            </w:r>
            <w:r w:rsidR="00E93061" w:rsidRPr="00E93061">
              <w:rPr>
                <w:rFonts w:ascii="Times New Roman" w:eastAsia="Times New Roman" w:hAnsi="Times New Roman" w:cs="Times New Roman"/>
                <w:lang w:val="lv-LV" w:eastAsia="lv-LV"/>
              </w:rPr>
              <w:t>izmaksu attiecināmības sākuma periods.</w:t>
            </w:r>
          </w:p>
          <w:p w:rsidR="008E31F4" w:rsidRPr="000B6849" w:rsidRDefault="00E93061" w:rsidP="005105B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Sk. izziņas</w:t>
            </w:r>
            <w:r w:rsidR="007E0CD7">
              <w:rPr>
                <w:rFonts w:ascii="Times New Roman" w:eastAsia="Times New Roman" w:hAnsi="Times New Roman" w:cs="Times New Roman"/>
                <w:lang w:val="lv-LV" w:eastAsia="lv-LV"/>
              </w:rPr>
              <w:t xml:space="preserve"> </w:t>
            </w:r>
            <w:r w:rsidR="00B32C80">
              <w:rPr>
                <w:rFonts w:ascii="Times New Roman" w:eastAsia="Times New Roman" w:hAnsi="Times New Roman" w:cs="Times New Roman"/>
                <w:lang w:val="lv-LV" w:eastAsia="lv-LV"/>
              </w:rPr>
              <w:t xml:space="preserve">30. </w:t>
            </w:r>
            <w:r w:rsidR="007E0CD7">
              <w:rPr>
                <w:rFonts w:ascii="Times New Roman" w:eastAsia="Times New Roman" w:hAnsi="Times New Roman" w:cs="Times New Roman"/>
                <w:lang w:val="lv-LV" w:eastAsia="lv-LV"/>
              </w:rPr>
              <w:t>p</w:t>
            </w:r>
            <w:r>
              <w:rPr>
                <w:rFonts w:ascii="Times New Roman" w:eastAsia="Times New Roman" w:hAnsi="Times New Roman" w:cs="Times New Roman"/>
                <w:lang w:val="lv-LV" w:eastAsia="lv-LV"/>
              </w:rPr>
              <w:t>unktu.</w:t>
            </w:r>
          </w:p>
        </w:tc>
        <w:tc>
          <w:tcPr>
            <w:tcW w:w="3260" w:type="dxa"/>
          </w:tcPr>
          <w:p w:rsidR="00366BB3" w:rsidRPr="0002494F" w:rsidRDefault="00366BB3" w:rsidP="00366BB3">
            <w:pPr>
              <w:pStyle w:val="tv2132"/>
              <w:spacing w:line="240" w:lineRule="auto"/>
              <w:ind w:firstLine="0"/>
              <w:contextualSpacing/>
              <w:jc w:val="both"/>
              <w:rPr>
                <w:rFonts w:cstheme="minorBidi"/>
                <w:color w:val="auto"/>
                <w:sz w:val="22"/>
                <w:szCs w:val="22"/>
                <w:lang w:val="lv-LV"/>
              </w:rPr>
            </w:pPr>
          </w:p>
        </w:tc>
      </w:tr>
      <w:tr w:rsidR="00366BB3"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41.</w:t>
            </w:r>
          </w:p>
        </w:tc>
        <w:tc>
          <w:tcPr>
            <w:tcW w:w="2575" w:type="dxa"/>
            <w:shd w:val="clear" w:color="auto" w:fill="auto"/>
          </w:tcPr>
          <w:p w:rsidR="00366BB3" w:rsidRDefault="00366BB3" w:rsidP="00366BB3">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0B6849" w:rsidRPr="000B6849" w:rsidRDefault="000B6849" w:rsidP="000B6849">
            <w:pPr>
              <w:spacing w:after="0" w:line="240" w:lineRule="auto"/>
              <w:jc w:val="both"/>
              <w:rPr>
                <w:rFonts w:ascii="Times New Roman" w:eastAsia="Times New Roman" w:hAnsi="Times New Roman" w:cs="Times New Roman"/>
                <w:b/>
                <w:lang w:val="lv-LV"/>
              </w:rPr>
            </w:pPr>
            <w:r w:rsidRPr="000B6849">
              <w:rPr>
                <w:rFonts w:ascii="Times New Roman" w:eastAsia="Times New Roman" w:hAnsi="Times New Roman" w:cs="Times New Roman"/>
                <w:b/>
                <w:lang w:val="lv-LV"/>
              </w:rPr>
              <w:t>Finanšu ministrija (3</w:t>
            </w:r>
            <w:r>
              <w:rPr>
                <w:rFonts w:ascii="Times New Roman" w:eastAsia="Times New Roman" w:hAnsi="Times New Roman" w:cs="Times New Roman"/>
                <w:b/>
                <w:lang w:val="lv-LV"/>
              </w:rPr>
              <w:t>3</w:t>
            </w:r>
            <w:r w:rsidRPr="000B6849">
              <w:rPr>
                <w:rFonts w:ascii="Times New Roman" w:eastAsia="Times New Roman" w:hAnsi="Times New Roman" w:cs="Times New Roman"/>
                <w:b/>
                <w:lang w:val="lv-LV"/>
              </w:rPr>
              <w:t>.iebildums)</w:t>
            </w:r>
          </w:p>
          <w:p w:rsidR="00366BB3" w:rsidRPr="00366BB3" w:rsidRDefault="00366BB3" w:rsidP="000B6849">
            <w:pPr>
              <w:spacing w:after="0" w:line="240" w:lineRule="auto"/>
              <w:jc w:val="both"/>
            </w:pPr>
            <w:r w:rsidRPr="00366BB3">
              <w:rPr>
                <w:rFonts w:ascii="Times New Roman" w:eastAsia="Times New Roman" w:hAnsi="Times New Roman" w:cs="Times New Roman"/>
                <w:lang w:val="lv-LV"/>
              </w:rPr>
              <w:t>Lūdzam papildināt anotāciju ar skaidrojumu par 16.punktā norādītā projekta maksimālā kopējā attiecināmā finansējuma apmēra noteikšanu pret kopējo 14.1.1.1.pasākuma pieejamo finansējumu, lai sasniegtu rezultāta rādītājus. Vēršam uzmanību, ka, vairākiem finansējuma saņēmējiem iesniedzot projektus par maksimālo iespējamo finansējumu, pastāv risks nesasniegt noteiktos rezultāta rādītājus.</w:t>
            </w:r>
          </w:p>
        </w:tc>
        <w:tc>
          <w:tcPr>
            <w:tcW w:w="3119" w:type="dxa"/>
            <w:shd w:val="clear" w:color="auto" w:fill="auto"/>
          </w:tcPr>
          <w:p w:rsidR="00366BB3" w:rsidRPr="00500D8D" w:rsidRDefault="00314375" w:rsidP="00366BB3">
            <w:pPr>
              <w:spacing w:after="0" w:line="240" w:lineRule="auto"/>
              <w:jc w:val="both"/>
              <w:rPr>
                <w:rFonts w:ascii="Times New Roman" w:eastAsia="Times New Roman" w:hAnsi="Times New Roman" w:cs="Times New Roman"/>
                <w:b/>
                <w:lang w:val="lv-LV" w:eastAsia="lv-LV"/>
              </w:rPr>
            </w:pPr>
            <w:r w:rsidRPr="00500D8D">
              <w:rPr>
                <w:rFonts w:ascii="Times New Roman" w:eastAsia="Times New Roman" w:hAnsi="Times New Roman" w:cs="Times New Roman"/>
                <w:b/>
                <w:lang w:val="lv-LV" w:eastAsia="lv-LV"/>
              </w:rPr>
              <w:t>Ņemts vērā</w:t>
            </w:r>
          </w:p>
          <w:p w:rsidR="000B6849" w:rsidRPr="00500D8D" w:rsidRDefault="000B6849" w:rsidP="00366BB3">
            <w:pPr>
              <w:spacing w:after="0" w:line="240" w:lineRule="auto"/>
              <w:jc w:val="both"/>
              <w:rPr>
                <w:rFonts w:ascii="Times New Roman" w:eastAsia="Times New Roman" w:hAnsi="Times New Roman" w:cs="Times New Roman"/>
                <w:lang w:val="lv-LV" w:eastAsia="lv-LV"/>
              </w:rPr>
            </w:pPr>
            <w:r w:rsidRPr="00500D8D">
              <w:rPr>
                <w:rFonts w:ascii="Times New Roman" w:eastAsia="Times New Roman" w:hAnsi="Times New Roman" w:cs="Times New Roman"/>
                <w:lang w:val="lv-LV" w:eastAsia="lv-LV"/>
              </w:rPr>
              <w:t>Anotācija papildināta</w:t>
            </w:r>
            <w:r w:rsidR="00C25C25" w:rsidRPr="00500D8D">
              <w:rPr>
                <w:rFonts w:ascii="Times New Roman" w:eastAsia="Times New Roman" w:hAnsi="Times New Roman" w:cs="Times New Roman"/>
                <w:lang w:val="lv-LV" w:eastAsia="lv-LV"/>
              </w:rPr>
              <w:t>.</w:t>
            </w:r>
          </w:p>
          <w:p w:rsidR="00C31DF6" w:rsidRPr="00500D8D" w:rsidRDefault="00C31DF6" w:rsidP="00366BB3">
            <w:pPr>
              <w:spacing w:after="0" w:line="240" w:lineRule="auto"/>
              <w:jc w:val="both"/>
              <w:rPr>
                <w:rFonts w:ascii="Times New Roman" w:eastAsia="Times New Roman" w:hAnsi="Times New Roman" w:cs="Times New Roman"/>
                <w:lang w:val="lv-LV" w:eastAsia="lv-LV"/>
              </w:rPr>
            </w:pPr>
          </w:p>
        </w:tc>
        <w:tc>
          <w:tcPr>
            <w:tcW w:w="3260" w:type="dxa"/>
          </w:tcPr>
          <w:p w:rsidR="00F23916" w:rsidRPr="00500D8D" w:rsidRDefault="00F23916" w:rsidP="00F23916">
            <w:pPr>
              <w:pStyle w:val="tv2132"/>
              <w:spacing w:line="240" w:lineRule="auto"/>
              <w:ind w:firstLine="0"/>
              <w:contextualSpacing/>
              <w:jc w:val="both"/>
              <w:rPr>
                <w:rFonts w:cstheme="minorBidi"/>
                <w:b/>
                <w:color w:val="auto"/>
                <w:sz w:val="22"/>
                <w:szCs w:val="22"/>
                <w:lang w:val="lv-LV"/>
              </w:rPr>
            </w:pPr>
            <w:r w:rsidRPr="00500D8D">
              <w:rPr>
                <w:rFonts w:cstheme="minorBidi"/>
                <w:b/>
                <w:color w:val="auto"/>
                <w:sz w:val="22"/>
                <w:szCs w:val="22"/>
                <w:lang w:val="lv-LV"/>
              </w:rPr>
              <w:t>Anotācija</w:t>
            </w:r>
            <w:r w:rsidR="00891EE0" w:rsidRPr="00500D8D">
              <w:rPr>
                <w:rFonts w:cstheme="minorBidi"/>
                <w:b/>
                <w:color w:val="auto"/>
                <w:sz w:val="22"/>
                <w:szCs w:val="22"/>
                <w:lang w:val="lv-LV"/>
              </w:rPr>
              <w:t xml:space="preserve"> </w:t>
            </w:r>
          </w:p>
          <w:p w:rsidR="00366BB3" w:rsidRPr="00500D8D" w:rsidRDefault="00500D8D" w:rsidP="00C31DF6">
            <w:pPr>
              <w:pStyle w:val="tv2132"/>
              <w:spacing w:line="240" w:lineRule="auto"/>
              <w:ind w:firstLine="0"/>
              <w:contextualSpacing/>
              <w:jc w:val="both"/>
              <w:rPr>
                <w:rFonts w:cstheme="minorBidi"/>
                <w:color w:val="auto"/>
                <w:sz w:val="22"/>
                <w:szCs w:val="22"/>
                <w:lang w:val="lv-LV"/>
              </w:rPr>
            </w:pPr>
            <w:r w:rsidRPr="00500D8D">
              <w:rPr>
                <w:rFonts w:cstheme="minorBidi"/>
                <w:color w:val="auto"/>
                <w:sz w:val="22"/>
                <w:szCs w:val="22"/>
                <w:lang w:val="lv-LV"/>
              </w:rPr>
              <w:t>Nosakot iznākuma un rezultāta rādītāju, tajā tiek ieskaitītas arī sadarbības partneru augstskolas (Latvijas augstskolas), ievērojot nosacījumu, ka katra augstskola tiek ieskaitīta vienu reizi (rādītājā tiek iekļautas unikālās augstskolas).</w:t>
            </w:r>
          </w:p>
        </w:tc>
      </w:tr>
      <w:tr w:rsidR="00366BB3" w:rsidRPr="0002494F" w:rsidTr="00F70E0C">
        <w:trPr>
          <w:trHeight w:val="274"/>
        </w:trPr>
        <w:tc>
          <w:tcPr>
            <w:tcW w:w="964" w:type="dxa"/>
            <w:shd w:val="clear" w:color="auto" w:fill="auto"/>
          </w:tcPr>
          <w:p w:rsidR="00B32C80" w:rsidRPr="001D23C7"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42.</w:t>
            </w:r>
          </w:p>
        </w:tc>
        <w:tc>
          <w:tcPr>
            <w:tcW w:w="2575" w:type="dxa"/>
            <w:shd w:val="clear" w:color="auto" w:fill="auto"/>
          </w:tcPr>
          <w:p w:rsidR="001D23C7" w:rsidRPr="001D23C7" w:rsidRDefault="001D23C7" w:rsidP="001D23C7">
            <w:pPr>
              <w:pStyle w:val="tv2132"/>
              <w:spacing w:line="240" w:lineRule="auto"/>
              <w:ind w:firstLine="0"/>
              <w:contextualSpacing/>
              <w:jc w:val="both"/>
              <w:rPr>
                <w:rFonts w:cstheme="minorBidi"/>
                <w:color w:val="auto"/>
                <w:sz w:val="22"/>
                <w:szCs w:val="22"/>
                <w:lang w:val="lv-LV"/>
              </w:rPr>
            </w:pPr>
            <w:r w:rsidRPr="001D23C7">
              <w:rPr>
                <w:rFonts w:cstheme="minorBidi"/>
                <w:color w:val="auto"/>
                <w:sz w:val="22"/>
                <w:szCs w:val="22"/>
                <w:lang w:val="lv-LV"/>
              </w:rPr>
              <w:t>17.1. studentu digitālo prasmju apguves satura, metožu un tehnoloģiju izstrāde, pielāgošana un ieviešana;</w:t>
            </w:r>
          </w:p>
          <w:p w:rsidR="00366BB3" w:rsidRPr="001D23C7" w:rsidRDefault="001D23C7" w:rsidP="001D23C7">
            <w:pPr>
              <w:pStyle w:val="tv2132"/>
              <w:spacing w:line="240" w:lineRule="auto"/>
              <w:ind w:firstLine="0"/>
              <w:contextualSpacing/>
              <w:jc w:val="both"/>
              <w:rPr>
                <w:rFonts w:cstheme="minorBidi"/>
                <w:color w:val="auto"/>
                <w:sz w:val="22"/>
                <w:szCs w:val="22"/>
                <w:lang w:val="lv-LV"/>
              </w:rPr>
            </w:pPr>
            <w:r w:rsidRPr="001D23C7">
              <w:rPr>
                <w:rFonts w:cstheme="minorBidi"/>
                <w:color w:val="auto"/>
                <w:sz w:val="22"/>
                <w:szCs w:val="22"/>
                <w:lang w:val="lv-LV"/>
              </w:rPr>
              <w:t>17.2. augstskolu digitālās kapacitātes stiprināšana, izstrādājot un ieviešot inovatīvus digitālus tehnoloģiskus risinājumus studiju procesā, mācību rezultātu analīzē, tai skaitā starpinstitūciju sadarbības un koplietošanas risinājumus;</w:t>
            </w:r>
          </w:p>
        </w:tc>
        <w:tc>
          <w:tcPr>
            <w:tcW w:w="3969" w:type="dxa"/>
            <w:shd w:val="clear" w:color="auto" w:fill="auto"/>
          </w:tcPr>
          <w:p w:rsidR="00366BB3" w:rsidRPr="001D23C7" w:rsidRDefault="00366BB3" w:rsidP="000B6849">
            <w:pPr>
              <w:spacing w:after="0" w:line="240" w:lineRule="auto"/>
              <w:jc w:val="both"/>
              <w:rPr>
                <w:rFonts w:ascii="Times New Roman" w:hAnsi="Times New Roman" w:cs="Times New Roman"/>
                <w:b/>
              </w:rPr>
            </w:pPr>
            <w:r w:rsidRPr="001D23C7">
              <w:rPr>
                <w:rFonts w:ascii="Times New Roman" w:hAnsi="Times New Roman" w:cs="Times New Roman"/>
                <w:b/>
              </w:rPr>
              <w:t>Finanšu ministrija (34.iebildums)</w:t>
            </w:r>
          </w:p>
          <w:p w:rsidR="00366BB3" w:rsidRPr="001D23C7" w:rsidRDefault="00366BB3" w:rsidP="000B6849">
            <w:pPr>
              <w:spacing w:after="0" w:line="240" w:lineRule="auto"/>
              <w:jc w:val="both"/>
            </w:pPr>
            <w:r w:rsidRPr="001D23C7">
              <w:rPr>
                <w:rFonts w:ascii="Times New Roman" w:eastAsia="Times New Roman" w:hAnsi="Times New Roman" w:cs="Times New Roman"/>
                <w:lang w:val="lv-LV"/>
              </w:rPr>
              <w:t>Lūdzam papildināt anotāciju ar skaidrojumu par noteikumu projekta 17.1.apakšpunktā plānotās atbalstāmās darbības “studentu digitālo prasmju apguves satura, metožu un tehnoloģiju izstrāde, pielāgošana un ieviešana” sasaisti/atbilstību ar darbības programmā “Izaugsme un nodarbinātība” (turpmāk – DP) plānotajām 14.1.1.SAM atbalstāmajām darbībām, t.sk. detalizētāk skaidrojot, kuras no noteikumu projekta 18.punktā minētajām darbībām attiecas uz šo atbalstāmo darbību.</w:t>
            </w:r>
          </w:p>
        </w:tc>
        <w:tc>
          <w:tcPr>
            <w:tcW w:w="3119" w:type="dxa"/>
            <w:shd w:val="clear" w:color="auto" w:fill="auto"/>
          </w:tcPr>
          <w:p w:rsidR="00366BB3" w:rsidRPr="001D23C7" w:rsidRDefault="000B6849" w:rsidP="00366BB3">
            <w:pPr>
              <w:spacing w:after="0" w:line="240" w:lineRule="auto"/>
              <w:jc w:val="both"/>
              <w:rPr>
                <w:rFonts w:ascii="Times New Roman" w:eastAsia="Times New Roman" w:hAnsi="Times New Roman" w:cs="Times New Roman"/>
                <w:b/>
                <w:lang w:val="lv-LV" w:eastAsia="lv-LV"/>
              </w:rPr>
            </w:pPr>
            <w:r w:rsidRPr="001D23C7">
              <w:rPr>
                <w:rFonts w:ascii="Times New Roman" w:eastAsia="Times New Roman" w:hAnsi="Times New Roman" w:cs="Times New Roman"/>
                <w:b/>
                <w:lang w:val="lv-LV" w:eastAsia="lv-LV"/>
              </w:rPr>
              <w:t>Ņemts vērā</w:t>
            </w:r>
          </w:p>
          <w:p w:rsidR="000B6849" w:rsidRDefault="000B6849" w:rsidP="001D23C7">
            <w:pPr>
              <w:spacing w:after="0" w:line="240" w:lineRule="auto"/>
              <w:jc w:val="both"/>
              <w:rPr>
                <w:rFonts w:ascii="Times New Roman" w:eastAsia="Times New Roman" w:hAnsi="Times New Roman" w:cs="Times New Roman"/>
                <w:lang w:val="lv-LV" w:eastAsia="lv-LV"/>
              </w:rPr>
            </w:pPr>
            <w:r w:rsidRPr="001D23C7">
              <w:rPr>
                <w:rFonts w:ascii="Times New Roman" w:eastAsia="Times New Roman" w:hAnsi="Times New Roman" w:cs="Times New Roman"/>
                <w:lang w:val="lv-LV" w:eastAsia="lv-LV"/>
              </w:rPr>
              <w:t xml:space="preserve">17.1. </w:t>
            </w:r>
            <w:r w:rsidR="001D23C7">
              <w:rPr>
                <w:rFonts w:ascii="Times New Roman" w:eastAsia="Times New Roman" w:hAnsi="Times New Roman" w:cs="Times New Roman"/>
                <w:lang w:val="lv-LV" w:eastAsia="lv-LV"/>
              </w:rPr>
              <w:t>apakšpunkts apvienots ar 17.2. apakšpunktu, vienlaikus precizējot tā formulējumu</w:t>
            </w:r>
            <w:r w:rsidR="000040FF" w:rsidRPr="001D23C7">
              <w:rPr>
                <w:rFonts w:ascii="Times New Roman" w:eastAsia="Times New Roman" w:hAnsi="Times New Roman" w:cs="Times New Roman"/>
                <w:lang w:val="lv-LV" w:eastAsia="lv-LV"/>
              </w:rPr>
              <w:t>.</w:t>
            </w:r>
          </w:p>
          <w:p w:rsidR="001D23C7" w:rsidRDefault="001D23C7" w:rsidP="001D23C7">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Skaidrojam, ka noteikumu projektā un anotācijā ir precizēts atbalstāmo darbību apraksts, kā </w:t>
            </w:r>
            <w:r w:rsidR="00E05B07" w:rsidRPr="00E05B07">
              <w:rPr>
                <w:rFonts w:ascii="Times New Roman" w:eastAsia="Times New Roman" w:hAnsi="Times New Roman" w:cs="Times New Roman"/>
                <w:lang w:val="lv-LV" w:eastAsia="lv-LV"/>
              </w:rPr>
              <w:t>primār</w:t>
            </w:r>
            <w:r w:rsidR="00E05B07">
              <w:rPr>
                <w:rFonts w:ascii="Times New Roman" w:eastAsia="Times New Roman" w:hAnsi="Times New Roman" w:cs="Times New Roman"/>
                <w:lang w:val="lv-LV" w:eastAsia="lv-LV"/>
              </w:rPr>
              <w:t>o</w:t>
            </w:r>
            <w:r w:rsidR="00E05B07" w:rsidRPr="00E05B07">
              <w:rPr>
                <w:rFonts w:ascii="Times New Roman" w:eastAsia="Times New Roman" w:hAnsi="Times New Roman" w:cs="Times New Roman"/>
                <w:lang w:val="lv-LV" w:eastAsia="lv-LV"/>
              </w:rPr>
              <w:t xml:space="preserve"> darbīb</w:t>
            </w:r>
            <w:r w:rsidR="00E05B07">
              <w:rPr>
                <w:rFonts w:ascii="Times New Roman" w:eastAsia="Times New Roman" w:hAnsi="Times New Roman" w:cs="Times New Roman"/>
                <w:lang w:val="lv-LV" w:eastAsia="lv-LV"/>
              </w:rPr>
              <w:t>u</w:t>
            </w:r>
            <w:r w:rsidR="00E05B07" w:rsidRPr="00E05B07">
              <w:rPr>
                <w:rFonts w:ascii="Times New Roman" w:eastAsia="Times New Roman" w:hAnsi="Times New Roman" w:cs="Times New Roman"/>
                <w:lang w:val="lv-LV" w:eastAsia="lv-LV"/>
              </w:rPr>
              <w:t xml:space="preserve"> </w:t>
            </w:r>
            <w:r w:rsidR="00E05B07">
              <w:rPr>
                <w:rFonts w:ascii="Times New Roman" w:eastAsia="Times New Roman" w:hAnsi="Times New Roman" w:cs="Times New Roman"/>
                <w:lang w:val="lv-LV" w:eastAsia="lv-LV"/>
              </w:rPr>
              <w:t>nosakot</w:t>
            </w:r>
            <w:r w:rsidR="00E05B07" w:rsidRPr="00E05B07">
              <w:rPr>
                <w:rFonts w:ascii="Times New Roman" w:eastAsia="Times New Roman" w:hAnsi="Times New Roman" w:cs="Times New Roman"/>
                <w:lang w:val="lv-LV" w:eastAsia="lv-LV"/>
              </w:rPr>
              <w:t xml:space="preserve"> digitālo prasmju satura </w:t>
            </w:r>
            <w:r w:rsidR="00F75DF1">
              <w:rPr>
                <w:rFonts w:ascii="Times New Roman" w:eastAsia="Times New Roman" w:hAnsi="Times New Roman" w:cs="Times New Roman"/>
                <w:lang w:val="lv-LV" w:eastAsia="lv-LV"/>
              </w:rPr>
              <w:t xml:space="preserve">iegādi, izstrādi vai </w:t>
            </w:r>
            <w:r w:rsidR="00E05B07" w:rsidRPr="00E05B07">
              <w:rPr>
                <w:rFonts w:ascii="Times New Roman" w:eastAsia="Times New Roman" w:hAnsi="Times New Roman" w:cs="Times New Roman"/>
                <w:lang w:val="lv-LV" w:eastAsia="lv-LV"/>
              </w:rPr>
              <w:t>pilnveid</w:t>
            </w:r>
            <w:r w:rsidR="00E05B07">
              <w:rPr>
                <w:rFonts w:ascii="Times New Roman" w:eastAsia="Times New Roman" w:hAnsi="Times New Roman" w:cs="Times New Roman"/>
                <w:lang w:val="lv-LV" w:eastAsia="lv-LV"/>
              </w:rPr>
              <w:t>i</w:t>
            </w:r>
            <w:r w:rsidR="009A6588">
              <w:rPr>
                <w:rFonts w:ascii="Times New Roman" w:eastAsia="Times New Roman" w:hAnsi="Times New Roman" w:cs="Times New Roman"/>
                <w:lang w:val="lv-LV" w:eastAsia="lv-LV"/>
              </w:rPr>
              <w:t>. Digitālās tehnoloģijas ir instruments, kas nepieciešams satura ieviešanai</w:t>
            </w:r>
            <w:r w:rsidR="005C6067">
              <w:rPr>
                <w:rFonts w:ascii="Times New Roman" w:eastAsia="Times New Roman" w:hAnsi="Times New Roman" w:cs="Times New Roman"/>
                <w:lang w:val="lv-LV" w:eastAsia="lv-LV"/>
              </w:rPr>
              <w:t>, līdz ar to digitālās tehnoloģiju iegāde un pielāgošana ir atbalstāma tādā gadījumā, ja tās ir nepieciešamas jaunā satura ieviešanai un apguvei.</w:t>
            </w:r>
          </w:p>
          <w:p w:rsidR="001D23C7" w:rsidRPr="001D23C7" w:rsidRDefault="001D23C7" w:rsidP="00DB65C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lastRenderedPageBreak/>
              <w:t>IZM ieskatā tas atbilst</w:t>
            </w:r>
            <w:r w:rsidR="00DB65C9">
              <w:rPr>
                <w:rFonts w:ascii="Times New Roman" w:eastAsia="Times New Roman" w:hAnsi="Times New Roman" w:cs="Times New Roman"/>
                <w:lang w:val="lv-LV" w:eastAsia="lv-LV"/>
              </w:rPr>
              <w:t xml:space="preserve"> ESF būtībai un mērķiem, kā arī</w:t>
            </w:r>
            <w:r>
              <w:rPr>
                <w:rFonts w:ascii="Times New Roman" w:eastAsia="Times New Roman" w:hAnsi="Times New Roman" w:cs="Times New Roman"/>
                <w:lang w:val="lv-LV" w:eastAsia="lv-LV"/>
              </w:rPr>
              <w:t xml:space="preserve"> </w:t>
            </w:r>
            <w:r w:rsidR="00DB65C9">
              <w:rPr>
                <w:rFonts w:ascii="Times New Roman" w:eastAsia="Times New Roman" w:hAnsi="Times New Roman" w:cs="Times New Roman"/>
                <w:lang w:val="lv-LV" w:eastAsia="lv-LV"/>
              </w:rPr>
              <w:t xml:space="preserve">DP noteiktajām 14.1.1. SAM </w:t>
            </w:r>
            <w:r>
              <w:rPr>
                <w:rFonts w:ascii="Times New Roman" w:eastAsia="Times New Roman" w:hAnsi="Times New Roman" w:cs="Times New Roman"/>
                <w:lang w:val="lv-LV" w:eastAsia="lv-LV"/>
              </w:rPr>
              <w:t>atbalstāmajām darbībām</w:t>
            </w:r>
            <w:r w:rsidR="005C6067">
              <w:rPr>
                <w:rFonts w:ascii="Times New Roman" w:eastAsia="Times New Roman" w:hAnsi="Times New Roman" w:cs="Times New Roman"/>
                <w:lang w:val="lv-LV" w:eastAsia="lv-LV"/>
              </w:rPr>
              <w:t xml:space="preserve"> pēc būtības</w:t>
            </w:r>
            <w:r>
              <w:rPr>
                <w:rFonts w:ascii="Times New Roman" w:eastAsia="Times New Roman" w:hAnsi="Times New Roman" w:cs="Times New Roman"/>
                <w:lang w:val="lv-LV" w:eastAsia="lv-LV"/>
              </w:rPr>
              <w:t>.</w:t>
            </w:r>
            <w:r w:rsidR="00DB65C9">
              <w:rPr>
                <w:rFonts w:ascii="Times New Roman" w:eastAsia="Times New Roman" w:hAnsi="Times New Roman" w:cs="Times New Roman"/>
                <w:lang w:val="lv-LV" w:eastAsia="lv-LV"/>
              </w:rPr>
              <w:t xml:space="preserve"> </w:t>
            </w:r>
          </w:p>
        </w:tc>
        <w:tc>
          <w:tcPr>
            <w:tcW w:w="3260" w:type="dxa"/>
          </w:tcPr>
          <w:p w:rsidR="00366BB3" w:rsidRPr="0002494F" w:rsidRDefault="001D23C7" w:rsidP="00366BB3">
            <w:pPr>
              <w:pStyle w:val="tv2132"/>
              <w:spacing w:line="240" w:lineRule="auto"/>
              <w:ind w:firstLine="0"/>
              <w:contextualSpacing/>
              <w:jc w:val="both"/>
              <w:rPr>
                <w:rFonts w:cstheme="minorBidi"/>
                <w:color w:val="auto"/>
                <w:sz w:val="22"/>
                <w:szCs w:val="22"/>
                <w:lang w:val="lv-LV"/>
              </w:rPr>
            </w:pPr>
            <w:r w:rsidRPr="001D23C7">
              <w:rPr>
                <w:rFonts w:cstheme="minorBidi"/>
                <w:color w:val="auto"/>
                <w:sz w:val="22"/>
                <w:szCs w:val="22"/>
                <w:lang w:val="lv-LV"/>
              </w:rPr>
              <w:lastRenderedPageBreak/>
              <w:t>17.1. augstskolu digitālās kapacitātes stiprināšana, pilnveidojot studiju saturu un mācību metodiku studējošo digitālo prasmju attīstīšanai, tai skaitā ieviešot un integrējot digitālos tehnoloģiskos risinājumus studiju saturā un studiju procesā;</w:t>
            </w:r>
          </w:p>
        </w:tc>
      </w:tr>
      <w:tr w:rsidR="004333CB" w:rsidRPr="0002494F" w:rsidTr="00F70E0C">
        <w:trPr>
          <w:trHeight w:val="274"/>
        </w:trPr>
        <w:tc>
          <w:tcPr>
            <w:tcW w:w="964" w:type="dxa"/>
            <w:shd w:val="clear" w:color="auto" w:fill="auto"/>
          </w:tcPr>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43.</w:t>
            </w:r>
          </w:p>
        </w:tc>
        <w:tc>
          <w:tcPr>
            <w:tcW w:w="2575" w:type="dxa"/>
            <w:shd w:val="clear" w:color="auto" w:fill="auto"/>
          </w:tcPr>
          <w:p w:rsidR="004333CB" w:rsidRPr="00F55A65" w:rsidRDefault="004333CB" w:rsidP="004333CB">
            <w:pPr>
              <w:pStyle w:val="tv2132"/>
              <w:spacing w:line="240" w:lineRule="auto"/>
              <w:ind w:firstLine="0"/>
              <w:contextualSpacing/>
              <w:jc w:val="both"/>
              <w:rPr>
                <w:rFonts w:cstheme="minorBidi"/>
                <w:b/>
                <w:color w:val="auto"/>
                <w:sz w:val="22"/>
                <w:szCs w:val="22"/>
                <w:lang w:val="lv-LV"/>
              </w:rPr>
            </w:pPr>
          </w:p>
        </w:tc>
        <w:tc>
          <w:tcPr>
            <w:tcW w:w="3969" w:type="dxa"/>
            <w:shd w:val="clear" w:color="auto" w:fill="auto"/>
          </w:tcPr>
          <w:p w:rsidR="004333CB" w:rsidRPr="0002494F" w:rsidRDefault="004333CB" w:rsidP="006222DC">
            <w:pPr>
              <w:spacing w:after="0" w:line="240" w:lineRule="auto"/>
              <w:rPr>
                <w:rFonts w:ascii="Times New Roman" w:hAnsi="Times New Roman" w:cs="Times New Roman"/>
                <w:b/>
              </w:rPr>
            </w:pPr>
            <w:r w:rsidRPr="0002494F">
              <w:rPr>
                <w:rFonts w:ascii="Times New Roman" w:hAnsi="Times New Roman" w:cs="Times New Roman"/>
                <w:b/>
              </w:rPr>
              <w:t>Finanšu ministrija (35.iebildums)</w:t>
            </w:r>
          </w:p>
          <w:p w:rsidR="006222DC" w:rsidRPr="0002494F" w:rsidRDefault="006222DC" w:rsidP="006222DC">
            <w:pPr>
              <w:spacing w:after="0" w:line="240" w:lineRule="auto"/>
              <w:jc w:val="both"/>
            </w:pPr>
            <w:r w:rsidRPr="0002494F">
              <w:rPr>
                <w:rFonts w:ascii="Times New Roman" w:eastAsia="Times New Roman" w:hAnsi="Times New Roman" w:cs="Times New Roman"/>
                <w:lang w:val="lv-LV"/>
              </w:rPr>
              <w:t>Lūdzam precizēt anotācijas I sadaļas 4.punktu ņemot vērā, ka 14.1.1.1.pasākuma projektu iesniegumu vērtēšanas kritēriji un kritēriju piemērošanas metodika netika izskatīta ES struktūrfondu un Kohēzijas fonda 2014.–2020.gada plānošanas perioda Izglītības, prasmju un mūžizglītības prioritārā virziena apakškomitejas 2021.gada 29.jūlija sēdē.</w:t>
            </w:r>
          </w:p>
        </w:tc>
        <w:tc>
          <w:tcPr>
            <w:tcW w:w="3119" w:type="dxa"/>
            <w:shd w:val="clear" w:color="auto" w:fill="auto"/>
          </w:tcPr>
          <w:p w:rsidR="004333CB" w:rsidRDefault="009A4F6F" w:rsidP="004333CB">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9A4F6F" w:rsidRPr="009A4F6F" w:rsidRDefault="009A4F6F" w:rsidP="00E566A0">
            <w:pPr>
              <w:spacing w:after="0" w:line="240" w:lineRule="auto"/>
              <w:jc w:val="both"/>
              <w:rPr>
                <w:rFonts w:ascii="Times New Roman" w:eastAsia="Times New Roman" w:hAnsi="Times New Roman" w:cs="Times New Roman"/>
                <w:lang w:val="lv-LV" w:eastAsia="lv-LV"/>
              </w:rPr>
            </w:pPr>
            <w:r w:rsidRPr="009A4F6F">
              <w:rPr>
                <w:rFonts w:ascii="Times New Roman" w:eastAsia="Times New Roman" w:hAnsi="Times New Roman" w:cs="Times New Roman"/>
                <w:lang w:val="lv-LV" w:eastAsia="lv-LV"/>
              </w:rPr>
              <w:t>Anotācij</w:t>
            </w:r>
            <w:r w:rsidR="00E566A0">
              <w:rPr>
                <w:rFonts w:ascii="Times New Roman" w:eastAsia="Times New Roman" w:hAnsi="Times New Roman" w:cs="Times New Roman"/>
                <w:lang w:val="lv-LV" w:eastAsia="lv-LV"/>
              </w:rPr>
              <w:t xml:space="preserve">ā precizēts </w:t>
            </w:r>
            <w:r w:rsidR="00E566A0">
              <w:t xml:space="preserve"> </w:t>
            </w:r>
            <w:r w:rsidR="00E566A0" w:rsidRPr="00E566A0">
              <w:rPr>
                <w:rFonts w:ascii="Times New Roman" w:eastAsia="Times New Roman" w:hAnsi="Times New Roman" w:cs="Times New Roman"/>
                <w:lang w:val="lv-LV" w:eastAsia="lv-LV"/>
              </w:rPr>
              <w:t>I sadaļas 4.</w:t>
            </w:r>
            <w:r w:rsidR="008936C1">
              <w:rPr>
                <w:rFonts w:ascii="Times New Roman" w:eastAsia="Times New Roman" w:hAnsi="Times New Roman" w:cs="Times New Roman"/>
                <w:lang w:val="lv-LV" w:eastAsia="lv-LV"/>
              </w:rPr>
              <w:t xml:space="preserve"> </w:t>
            </w:r>
            <w:r w:rsidR="00E566A0" w:rsidRPr="00E566A0">
              <w:rPr>
                <w:rFonts w:ascii="Times New Roman" w:eastAsia="Times New Roman" w:hAnsi="Times New Roman" w:cs="Times New Roman"/>
                <w:lang w:val="lv-LV" w:eastAsia="lv-LV"/>
              </w:rPr>
              <w:t>punkt</w:t>
            </w:r>
            <w:r w:rsidR="00E566A0">
              <w:rPr>
                <w:rFonts w:ascii="Times New Roman" w:eastAsia="Times New Roman" w:hAnsi="Times New Roman" w:cs="Times New Roman"/>
                <w:lang w:val="lv-LV" w:eastAsia="lv-LV"/>
              </w:rPr>
              <w:t>s, dzēšot minēto informāciju.</w:t>
            </w:r>
          </w:p>
        </w:tc>
        <w:tc>
          <w:tcPr>
            <w:tcW w:w="3260" w:type="dxa"/>
          </w:tcPr>
          <w:p w:rsidR="004333CB" w:rsidRPr="0002494F" w:rsidRDefault="008936C1" w:rsidP="004333CB">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 precizēto anotāciju.</w:t>
            </w:r>
          </w:p>
        </w:tc>
      </w:tr>
      <w:tr w:rsidR="008645BD" w:rsidRPr="0002494F" w:rsidTr="00F70E0C">
        <w:trPr>
          <w:trHeight w:val="274"/>
        </w:trPr>
        <w:tc>
          <w:tcPr>
            <w:tcW w:w="964" w:type="dxa"/>
            <w:shd w:val="clear" w:color="auto" w:fill="auto"/>
          </w:tcPr>
          <w:p w:rsidR="00B32C80" w:rsidRDefault="00B32C80"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44.</w:t>
            </w:r>
          </w:p>
          <w:p w:rsidR="00B32C80" w:rsidRPr="0002494F" w:rsidRDefault="00B32C80" w:rsidP="000A6480">
            <w:pPr>
              <w:tabs>
                <w:tab w:val="center" w:pos="284"/>
              </w:tabs>
              <w:spacing w:after="0" w:line="240" w:lineRule="auto"/>
              <w:ind w:left="360" w:right="22"/>
              <w:rPr>
                <w:rFonts w:ascii="Times New Roman" w:eastAsia="Calibri" w:hAnsi="Times New Roman" w:cs="Times New Roman"/>
                <w:lang w:val="lv-LV"/>
              </w:rPr>
            </w:pPr>
          </w:p>
        </w:tc>
        <w:tc>
          <w:tcPr>
            <w:tcW w:w="2575" w:type="dxa"/>
            <w:shd w:val="clear" w:color="auto" w:fill="auto"/>
          </w:tcPr>
          <w:p w:rsidR="00A22BCD" w:rsidRPr="00A22BCD" w:rsidRDefault="00A22BCD" w:rsidP="00A22BCD">
            <w:pPr>
              <w:pStyle w:val="tv2132"/>
              <w:spacing w:line="240" w:lineRule="auto"/>
              <w:ind w:firstLine="0"/>
              <w:contextualSpacing/>
              <w:jc w:val="both"/>
              <w:rPr>
                <w:b/>
                <w:color w:val="auto"/>
                <w:sz w:val="22"/>
                <w:szCs w:val="22"/>
                <w:lang w:val="lv-LV"/>
              </w:rPr>
            </w:pPr>
            <w:r w:rsidRPr="00A22BCD">
              <w:rPr>
                <w:b/>
                <w:color w:val="auto"/>
                <w:sz w:val="22"/>
                <w:szCs w:val="22"/>
                <w:lang w:val="lv-LV"/>
              </w:rPr>
              <w:t>Anotācija</w:t>
            </w:r>
          </w:p>
          <w:p w:rsidR="008645BD" w:rsidRPr="0002494F" w:rsidRDefault="00A22BCD" w:rsidP="00A22BCD">
            <w:pPr>
              <w:pStyle w:val="tv2132"/>
              <w:spacing w:line="240" w:lineRule="auto"/>
              <w:ind w:firstLine="0"/>
              <w:contextualSpacing/>
              <w:jc w:val="both"/>
              <w:rPr>
                <w:rFonts w:cstheme="minorBidi"/>
                <w:color w:val="auto"/>
                <w:sz w:val="22"/>
                <w:szCs w:val="22"/>
                <w:lang w:val="lv-LV"/>
              </w:rPr>
            </w:pPr>
            <w:r w:rsidRPr="00A22BCD">
              <w:rPr>
                <w:color w:val="auto"/>
                <w:sz w:val="22"/>
                <w:szCs w:val="22"/>
                <w:lang w:val="lv-LV"/>
              </w:rPr>
              <w:t>14.1.1.1. pasākumam ir netieša pozitīva ietekme uz horizontālo principu “Vienlīdzīgas iespējas” un horizontālo principu “Ilgtspējīga attīstība”.</w:t>
            </w:r>
          </w:p>
        </w:tc>
        <w:tc>
          <w:tcPr>
            <w:tcW w:w="3969" w:type="dxa"/>
            <w:shd w:val="clear" w:color="auto" w:fill="auto"/>
          </w:tcPr>
          <w:p w:rsidR="008645BD" w:rsidRPr="0002494F" w:rsidRDefault="008645BD" w:rsidP="00E018FF">
            <w:pPr>
              <w:widowControl w:val="0"/>
              <w:spacing w:after="0" w:line="240" w:lineRule="auto"/>
              <w:jc w:val="both"/>
              <w:rPr>
                <w:rFonts w:ascii="Times New Roman" w:hAnsi="Times New Roman"/>
                <w:b/>
                <w:lang w:val="lv-LV"/>
              </w:rPr>
            </w:pPr>
            <w:r w:rsidRPr="0002494F">
              <w:rPr>
                <w:rFonts w:ascii="Times New Roman" w:hAnsi="Times New Roman"/>
                <w:b/>
                <w:lang w:val="lv-LV"/>
              </w:rPr>
              <w:t xml:space="preserve">Labklājības ministrija </w:t>
            </w:r>
          </w:p>
          <w:p w:rsidR="008645BD" w:rsidRPr="0002494F" w:rsidRDefault="008645BD" w:rsidP="00E018FF">
            <w:pPr>
              <w:widowControl w:val="0"/>
              <w:spacing w:after="0" w:line="240" w:lineRule="auto"/>
              <w:jc w:val="both"/>
              <w:rPr>
                <w:rFonts w:ascii="Times New Roman" w:hAnsi="Times New Roman"/>
                <w:lang w:val="lv-LV"/>
              </w:rPr>
            </w:pPr>
            <w:r w:rsidRPr="0002494F">
              <w:rPr>
                <w:rFonts w:ascii="Times New Roman" w:hAnsi="Times New Roman"/>
                <w:lang w:val="lv-LV"/>
              </w:rPr>
              <w:t>Lūdzam papildināt MK noteikumu projektu un anotāciju, ka  projektu ietvaros tiks nodrošinātas darbības, kas veicina horizontālā principa “Vienlīdzīgas iespējas” (dzimumu līdztiesība, personu ar invaliditāti tiesības un iekļaušana, nediskriminācija vecuma un  etniskās piederības dēļ) ievērošanu.</w:t>
            </w:r>
          </w:p>
        </w:tc>
        <w:tc>
          <w:tcPr>
            <w:tcW w:w="3119" w:type="dxa"/>
            <w:shd w:val="clear" w:color="auto" w:fill="auto"/>
          </w:tcPr>
          <w:p w:rsidR="006C1BCF" w:rsidRPr="00C66AEF" w:rsidRDefault="006C1BCF" w:rsidP="00E018FF">
            <w:pPr>
              <w:spacing w:after="0" w:line="240" w:lineRule="auto"/>
              <w:jc w:val="both"/>
              <w:rPr>
                <w:rFonts w:ascii="Times New Roman" w:eastAsia="Times New Roman" w:hAnsi="Times New Roman" w:cs="Times New Roman"/>
                <w:b/>
                <w:lang w:val="lv-LV" w:eastAsia="lv-LV"/>
              </w:rPr>
            </w:pPr>
            <w:r w:rsidRPr="00C66AEF">
              <w:rPr>
                <w:rFonts w:ascii="Times New Roman" w:eastAsia="Times New Roman" w:hAnsi="Times New Roman" w:cs="Times New Roman"/>
                <w:b/>
                <w:lang w:val="lv-LV" w:eastAsia="lv-LV"/>
              </w:rPr>
              <w:t>Panākta vienošanās</w:t>
            </w:r>
            <w:r w:rsidR="00A22BCD" w:rsidRPr="00C66AEF">
              <w:rPr>
                <w:rFonts w:ascii="Times New Roman" w:eastAsia="Times New Roman" w:hAnsi="Times New Roman" w:cs="Times New Roman"/>
                <w:b/>
                <w:lang w:val="lv-LV" w:eastAsia="lv-LV"/>
              </w:rPr>
              <w:t xml:space="preserve"> elektroniskās saskaņošanas laikā</w:t>
            </w:r>
            <w:r w:rsidRPr="00C66AEF">
              <w:rPr>
                <w:rFonts w:ascii="Times New Roman" w:eastAsia="Times New Roman" w:hAnsi="Times New Roman" w:cs="Times New Roman"/>
                <w:b/>
                <w:lang w:val="lv-LV" w:eastAsia="lv-LV"/>
              </w:rPr>
              <w:t xml:space="preserve"> (skat. izziņas </w:t>
            </w:r>
            <w:r w:rsidR="00A22BCD" w:rsidRPr="00C66AEF">
              <w:rPr>
                <w:rFonts w:ascii="Times New Roman" w:eastAsia="Times New Roman" w:hAnsi="Times New Roman" w:cs="Times New Roman"/>
                <w:b/>
                <w:lang w:val="lv-LV" w:eastAsia="lv-LV"/>
              </w:rPr>
              <w:t>45.</w:t>
            </w:r>
            <w:r w:rsidRPr="00C66AEF">
              <w:rPr>
                <w:rFonts w:ascii="Times New Roman" w:eastAsia="Times New Roman" w:hAnsi="Times New Roman" w:cs="Times New Roman"/>
                <w:b/>
                <w:lang w:val="lv-LV" w:eastAsia="lv-LV"/>
              </w:rPr>
              <w:t xml:space="preserve"> punktu)</w:t>
            </w:r>
          </w:p>
          <w:p w:rsidR="00772A47" w:rsidRDefault="00977C75" w:rsidP="00E018FF">
            <w:pPr>
              <w:spacing w:after="0" w:line="240" w:lineRule="auto"/>
              <w:jc w:val="both"/>
              <w:rPr>
                <w:rFonts w:ascii="Times New Roman" w:eastAsia="Times New Roman" w:hAnsi="Times New Roman" w:cs="Times New Roman"/>
                <w:lang w:val="lv-LV" w:eastAsia="lv-LV"/>
              </w:rPr>
            </w:pPr>
            <w:r w:rsidRPr="00C66AEF">
              <w:rPr>
                <w:rFonts w:ascii="Times New Roman" w:eastAsia="Times New Roman" w:hAnsi="Times New Roman" w:cs="Times New Roman"/>
                <w:lang w:val="lv-LV" w:eastAsia="lv-LV"/>
              </w:rPr>
              <w:t>Skaidrojam, ka a</w:t>
            </w:r>
            <w:r w:rsidR="00F7177E" w:rsidRPr="00C66AEF">
              <w:rPr>
                <w:rFonts w:ascii="Times New Roman" w:eastAsia="Times New Roman" w:hAnsi="Times New Roman" w:cs="Times New Roman"/>
                <w:lang w:val="lv-LV" w:eastAsia="lv-LV"/>
              </w:rPr>
              <w:t>notācijā ir</w:t>
            </w:r>
            <w:r w:rsidR="00F7177E">
              <w:rPr>
                <w:rFonts w:ascii="Times New Roman" w:eastAsia="Times New Roman" w:hAnsi="Times New Roman" w:cs="Times New Roman"/>
                <w:lang w:val="lv-LV" w:eastAsia="lv-LV"/>
              </w:rPr>
              <w:t xml:space="preserve"> norādīts, ka </w:t>
            </w:r>
            <w:r w:rsidR="00F7177E" w:rsidRPr="00F7177E">
              <w:rPr>
                <w:rFonts w:ascii="Times New Roman" w:eastAsia="Times New Roman" w:hAnsi="Times New Roman" w:cs="Times New Roman"/>
                <w:lang w:val="lv-LV" w:eastAsia="lv-LV"/>
              </w:rPr>
              <w:t>14.1.1.1. pasākumam ir netieša pozitīva ietekme uz horizontālo principu “Vienlīdzīgas iespējas”</w:t>
            </w:r>
            <w:r w:rsidR="00F7177E">
              <w:rPr>
                <w:rFonts w:ascii="Times New Roman" w:eastAsia="Times New Roman" w:hAnsi="Times New Roman" w:cs="Times New Roman"/>
                <w:lang w:val="lv-LV" w:eastAsia="lv-LV"/>
              </w:rPr>
              <w:t>.</w:t>
            </w:r>
          </w:p>
          <w:p w:rsidR="008645BD" w:rsidRPr="00772A47" w:rsidRDefault="00F7177E" w:rsidP="00C25C2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Projektu iesniegumu vērtēšanas kritērija </w:t>
            </w:r>
            <w:r>
              <w:t xml:space="preserve"> “</w:t>
            </w:r>
            <w:r w:rsidRPr="00F7177E">
              <w:rPr>
                <w:rFonts w:ascii="Times New Roman" w:eastAsia="Times New Roman" w:hAnsi="Times New Roman" w:cs="Times New Roman"/>
                <w:lang w:val="lv-LV" w:eastAsia="lv-LV"/>
              </w:rPr>
              <w:t>Projekta ietvaros paredzētās specifiskās darbības veicina horizontālā principa “Vienlīdzīgas iespējas” (dzimumu līdztiesība, invaliditāte, vecums un etniskā piederība) ievērošanu</w:t>
            </w:r>
            <w:r>
              <w:rPr>
                <w:rFonts w:ascii="Times New Roman" w:eastAsia="Times New Roman" w:hAnsi="Times New Roman" w:cs="Times New Roman"/>
                <w:lang w:val="lv-LV" w:eastAsia="lv-LV"/>
              </w:rPr>
              <w:t xml:space="preserve">” izpilde dod papildu punktus, bet tā izpilde nav izvirzīta kā obligāta prasība. </w:t>
            </w:r>
            <w:r w:rsidR="00977C75">
              <w:rPr>
                <w:rFonts w:ascii="Times New Roman" w:eastAsia="Times New Roman" w:hAnsi="Times New Roman" w:cs="Times New Roman"/>
                <w:lang w:val="lv-LV" w:eastAsia="lv-LV"/>
              </w:rPr>
              <w:t>Līdz ar to noteikumu projektā un anotācijā nav paredzēts iekļaut</w:t>
            </w:r>
            <w:r w:rsidR="00C25C25">
              <w:rPr>
                <w:rFonts w:ascii="Times New Roman" w:eastAsia="Times New Roman" w:hAnsi="Times New Roman" w:cs="Times New Roman"/>
                <w:lang w:val="lv-LV" w:eastAsia="lv-LV"/>
              </w:rPr>
              <w:t xml:space="preserve"> </w:t>
            </w:r>
            <w:r w:rsidR="00977C75">
              <w:rPr>
                <w:rFonts w:ascii="Times New Roman" w:eastAsia="Times New Roman" w:hAnsi="Times New Roman" w:cs="Times New Roman"/>
                <w:lang w:val="lv-LV" w:eastAsia="lv-LV"/>
              </w:rPr>
              <w:t xml:space="preserve">šādu nosacījumu. </w:t>
            </w:r>
          </w:p>
        </w:tc>
        <w:tc>
          <w:tcPr>
            <w:tcW w:w="3260" w:type="dxa"/>
          </w:tcPr>
          <w:p w:rsidR="008645BD" w:rsidRPr="0002494F" w:rsidRDefault="008645BD" w:rsidP="002E4E4F">
            <w:pPr>
              <w:pStyle w:val="tv2132"/>
              <w:spacing w:line="240" w:lineRule="auto"/>
              <w:ind w:firstLine="0"/>
              <w:contextualSpacing/>
              <w:jc w:val="both"/>
              <w:rPr>
                <w:rFonts w:cstheme="minorBidi"/>
                <w:color w:val="auto"/>
                <w:sz w:val="22"/>
                <w:szCs w:val="22"/>
                <w:lang w:val="lv-LV"/>
              </w:rPr>
            </w:pPr>
          </w:p>
        </w:tc>
      </w:tr>
      <w:tr w:rsidR="000C5623" w:rsidRPr="0002494F" w:rsidTr="00F70E0C">
        <w:trPr>
          <w:trHeight w:val="274"/>
        </w:trPr>
        <w:tc>
          <w:tcPr>
            <w:tcW w:w="964" w:type="dxa"/>
            <w:shd w:val="clear" w:color="auto" w:fill="auto"/>
          </w:tcPr>
          <w:p w:rsidR="000C5623" w:rsidRDefault="00A22BCD"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45.</w:t>
            </w:r>
          </w:p>
        </w:tc>
        <w:tc>
          <w:tcPr>
            <w:tcW w:w="2575" w:type="dxa"/>
            <w:shd w:val="clear" w:color="auto" w:fill="auto"/>
          </w:tcPr>
          <w:p w:rsidR="00A22BCD" w:rsidRPr="00A22BCD" w:rsidRDefault="00A22BCD" w:rsidP="00A22BCD">
            <w:pPr>
              <w:pStyle w:val="tv2132"/>
              <w:spacing w:line="240" w:lineRule="auto"/>
              <w:ind w:firstLine="0"/>
              <w:contextualSpacing/>
              <w:jc w:val="both"/>
              <w:rPr>
                <w:rFonts w:cstheme="minorBidi"/>
                <w:b/>
                <w:color w:val="auto"/>
                <w:sz w:val="22"/>
                <w:szCs w:val="22"/>
                <w:lang w:val="lv-LV"/>
              </w:rPr>
            </w:pPr>
            <w:r w:rsidRPr="00A22BCD">
              <w:rPr>
                <w:rFonts w:cstheme="minorBidi"/>
                <w:b/>
                <w:color w:val="auto"/>
                <w:sz w:val="22"/>
                <w:szCs w:val="22"/>
                <w:lang w:val="lv-LV"/>
              </w:rPr>
              <w:t>Anotācija</w:t>
            </w:r>
          </w:p>
          <w:p w:rsidR="000C5623" w:rsidRPr="0002494F" w:rsidRDefault="00A22BCD" w:rsidP="00A22BCD">
            <w:pPr>
              <w:pStyle w:val="tv2132"/>
              <w:spacing w:line="240" w:lineRule="auto"/>
              <w:ind w:firstLine="0"/>
              <w:contextualSpacing/>
              <w:jc w:val="both"/>
              <w:rPr>
                <w:rFonts w:cstheme="minorBidi"/>
                <w:color w:val="auto"/>
                <w:sz w:val="22"/>
                <w:szCs w:val="22"/>
                <w:lang w:val="lv-LV"/>
              </w:rPr>
            </w:pPr>
            <w:r w:rsidRPr="00A22BCD">
              <w:rPr>
                <w:rFonts w:cstheme="minorBidi"/>
                <w:color w:val="auto"/>
                <w:sz w:val="22"/>
                <w:szCs w:val="22"/>
                <w:lang w:val="lv-LV"/>
              </w:rPr>
              <w:t>14.1.1.1. pasākumam ir netieša pozitīva ietekme uz horizontālo principu “Vienlīdzīgas iespējas” un horizontālo principu “Ilgtspējīga attīstība”.</w:t>
            </w:r>
          </w:p>
        </w:tc>
        <w:tc>
          <w:tcPr>
            <w:tcW w:w="3969" w:type="dxa"/>
            <w:shd w:val="clear" w:color="auto" w:fill="auto"/>
          </w:tcPr>
          <w:p w:rsidR="00547A30" w:rsidRPr="00C66AEF" w:rsidRDefault="00547A30" w:rsidP="00547A30">
            <w:pPr>
              <w:widowControl w:val="0"/>
              <w:spacing w:after="0" w:line="240" w:lineRule="auto"/>
              <w:jc w:val="both"/>
              <w:rPr>
                <w:rFonts w:ascii="Times New Roman" w:hAnsi="Times New Roman" w:cs="Times New Roman"/>
                <w:b/>
                <w:lang w:val="lv-LV"/>
              </w:rPr>
            </w:pPr>
            <w:r w:rsidRPr="00C66AEF">
              <w:rPr>
                <w:rFonts w:ascii="Times New Roman" w:hAnsi="Times New Roman" w:cs="Times New Roman"/>
                <w:b/>
                <w:lang w:val="lv-LV"/>
              </w:rPr>
              <w:t xml:space="preserve">Labklājības ministrija </w:t>
            </w:r>
          </w:p>
          <w:p w:rsidR="00547A30" w:rsidRPr="00C66AEF" w:rsidRDefault="00547A30" w:rsidP="00547A30">
            <w:pPr>
              <w:spacing w:after="0" w:line="240" w:lineRule="auto"/>
              <w:jc w:val="both"/>
              <w:rPr>
                <w:rFonts w:ascii="Times New Roman" w:eastAsia="Times New Roman" w:hAnsi="Times New Roman" w:cs="Times New Roman"/>
                <w:b/>
                <w:lang w:val="lv-LV" w:eastAsia="lv-LV"/>
              </w:rPr>
            </w:pPr>
            <w:r w:rsidRPr="00C66AEF">
              <w:rPr>
                <w:rFonts w:ascii="Times New Roman" w:eastAsia="Times New Roman" w:hAnsi="Times New Roman" w:cs="Times New Roman"/>
                <w:b/>
                <w:lang w:val="lv-LV" w:eastAsia="lv-LV"/>
              </w:rPr>
              <w:t>19. oktobra elektroniskās saskaņošanas laikā izteiktais priekšlikums</w:t>
            </w:r>
          </w:p>
          <w:p w:rsidR="00547A30" w:rsidRPr="00F77E10" w:rsidRDefault="00547A30" w:rsidP="00547A30">
            <w:pPr>
              <w:spacing w:after="0" w:line="240" w:lineRule="auto"/>
              <w:jc w:val="both"/>
              <w:rPr>
                <w:rFonts w:ascii="Times New Roman" w:hAnsi="Times New Roman" w:cs="Times New Roman"/>
                <w:lang w:val="lv-LV"/>
              </w:rPr>
            </w:pPr>
            <w:r w:rsidRPr="00F77E10">
              <w:rPr>
                <w:rFonts w:ascii="Times New Roman" w:hAnsi="Times New Roman" w:cs="Times New Roman"/>
                <w:lang w:val="lv-LV"/>
              </w:rPr>
              <w:t>Lūdzam papildināt anotācijas 2.punkta priekšpēdējo rindkopu, izsakot šādā redakcijā:</w:t>
            </w:r>
          </w:p>
          <w:p w:rsidR="000C5623" w:rsidRPr="0002494F" w:rsidRDefault="00547A30" w:rsidP="00547A30">
            <w:pPr>
              <w:widowControl w:val="0"/>
              <w:spacing w:after="0" w:line="240" w:lineRule="auto"/>
              <w:jc w:val="both"/>
              <w:rPr>
                <w:rFonts w:ascii="Times New Roman" w:hAnsi="Times New Roman"/>
                <w:b/>
                <w:lang w:val="lv-LV"/>
              </w:rPr>
            </w:pPr>
            <w:r w:rsidRPr="003064C9">
              <w:rPr>
                <w:rFonts w:ascii="Times New Roman" w:hAnsi="Times New Roman" w:cs="Times New Roman"/>
                <w:lang w:val="lv-LV"/>
              </w:rPr>
              <w:t>“14.1.1.1. pasākumam ir netieša pozitīva ietekme uz horizontālo principu “Vienlīdzīgas iespējas”. Projektu iesniegumu vērtēšanas kritērija  “Horizontālais princips “Vienlīdzīgas iespējas”” izpilde vērtēšanā dod papildu punktus, kas veicinās tādu projektu atlasi, kuri veicinās  horizontālā principa “Vienlīdzīgas iespējas” (dzimumu līdztiesība, personu ar invaliditāti tiesības un iekļaušana, nediskriminācija vecuma un  etniskās piederības dēļ) īstenošanu</w:t>
            </w:r>
            <w:r>
              <w:rPr>
                <w:rFonts w:ascii="Times New Roman" w:hAnsi="Times New Roman" w:cs="Times New Roman"/>
                <w:lang w:val="lv-LV"/>
              </w:rPr>
              <w:t>.</w:t>
            </w:r>
          </w:p>
        </w:tc>
        <w:tc>
          <w:tcPr>
            <w:tcW w:w="3119" w:type="dxa"/>
            <w:shd w:val="clear" w:color="auto" w:fill="auto"/>
          </w:tcPr>
          <w:p w:rsidR="000C5623" w:rsidRPr="006C1BCF" w:rsidRDefault="00547A30" w:rsidP="00E018FF">
            <w:pPr>
              <w:spacing w:after="0" w:line="240" w:lineRule="auto"/>
              <w:jc w:val="both"/>
              <w:rPr>
                <w:rFonts w:ascii="Times New Roman" w:eastAsia="Times New Roman" w:hAnsi="Times New Roman" w:cs="Times New Roman"/>
                <w:b/>
                <w:highlight w:val="red"/>
                <w:lang w:val="lv-LV" w:eastAsia="lv-LV"/>
              </w:rPr>
            </w:pPr>
            <w:r w:rsidRPr="00547A30">
              <w:rPr>
                <w:rFonts w:ascii="Times New Roman" w:eastAsia="Times New Roman" w:hAnsi="Times New Roman" w:cs="Times New Roman"/>
                <w:b/>
                <w:lang w:val="lv-LV" w:eastAsia="lv-LV"/>
              </w:rPr>
              <w:t>Ņemts vērā</w:t>
            </w:r>
          </w:p>
        </w:tc>
        <w:tc>
          <w:tcPr>
            <w:tcW w:w="3260" w:type="dxa"/>
          </w:tcPr>
          <w:p w:rsidR="00547A30" w:rsidRPr="00AC00F7" w:rsidRDefault="00547A30" w:rsidP="00547A30">
            <w:pPr>
              <w:pStyle w:val="tv2132"/>
              <w:spacing w:line="240" w:lineRule="auto"/>
              <w:ind w:firstLine="0"/>
              <w:contextualSpacing/>
              <w:jc w:val="both"/>
              <w:rPr>
                <w:rFonts w:cstheme="minorBidi"/>
                <w:b/>
                <w:color w:val="auto"/>
                <w:sz w:val="22"/>
                <w:szCs w:val="22"/>
                <w:lang w:val="lv-LV"/>
              </w:rPr>
            </w:pPr>
            <w:r w:rsidRPr="00AC00F7">
              <w:rPr>
                <w:rFonts w:cstheme="minorBidi"/>
                <w:b/>
                <w:color w:val="auto"/>
                <w:sz w:val="22"/>
                <w:szCs w:val="22"/>
                <w:lang w:val="lv-LV"/>
              </w:rPr>
              <w:t>Anotācija</w:t>
            </w:r>
          </w:p>
          <w:p w:rsidR="000C5623" w:rsidRPr="0002494F" w:rsidRDefault="00547A30" w:rsidP="00547A30">
            <w:pPr>
              <w:pStyle w:val="tv2132"/>
              <w:spacing w:line="240" w:lineRule="auto"/>
              <w:ind w:firstLine="0"/>
              <w:contextualSpacing/>
              <w:jc w:val="both"/>
              <w:rPr>
                <w:rFonts w:cstheme="minorBidi"/>
                <w:color w:val="auto"/>
                <w:sz w:val="22"/>
                <w:szCs w:val="22"/>
                <w:lang w:val="lv-LV"/>
              </w:rPr>
            </w:pPr>
            <w:r w:rsidRPr="00AC00F7">
              <w:rPr>
                <w:rFonts w:cstheme="minorBidi"/>
                <w:color w:val="auto"/>
                <w:sz w:val="22"/>
                <w:szCs w:val="22"/>
                <w:lang w:val="lv-LV"/>
              </w:rPr>
              <w:t xml:space="preserve">14.1.1.1. pasākumam ir netieša pozitīva ietekme uz horizontālo principu “Vienlīdzīgas iespējas” un horizontālo principu “Ilgtspējīga attīstība”. Projektu iesniegumu vērtēšanas kritērija  “Horizontālais princips “Vienlīdzīgas iespējas”” izpilde vērtēšanā dod papildu punktus, kas veicinās tādu projektu atlasi, kuri veicinās  horizontālā principa “Vienlīdzīgas iespējas” (dzimumu līdztiesība, personu ar invaliditāti tiesības un iekļaušana, nediskriminācija vecuma un  etniskās piederības dēļ) īstenošanu. </w:t>
            </w:r>
            <w:r w:rsidRPr="005D6408">
              <w:rPr>
                <w:rFonts w:cstheme="minorBidi"/>
                <w:color w:val="auto"/>
                <w:sz w:val="22"/>
                <w:szCs w:val="22"/>
                <w:lang w:val="lv-LV"/>
              </w:rPr>
              <w:t>Projektu iesniegumu vērtēšanas kritērija  “Horizontālais princips “Ilgtspējīga attīstība”” izpilde vērtēšanā dod papildu punktu, kas vecinās tādu projektu atlasi, kuros paredzēts publiskajā iepirkumā izmantot</w:t>
            </w:r>
            <w:r w:rsidRPr="00AC00F7">
              <w:rPr>
                <w:rFonts w:cstheme="minorBidi"/>
                <w:color w:val="auto"/>
                <w:sz w:val="22"/>
                <w:szCs w:val="22"/>
                <w:lang w:val="lv-LV"/>
              </w:rPr>
              <w:t xml:space="preserve"> zaļā publiskā iepirkuma principus.</w:t>
            </w:r>
          </w:p>
        </w:tc>
      </w:tr>
      <w:tr w:rsidR="006B4188" w:rsidRPr="0002494F" w:rsidTr="00F70E0C">
        <w:trPr>
          <w:trHeight w:val="274"/>
        </w:trPr>
        <w:tc>
          <w:tcPr>
            <w:tcW w:w="964" w:type="dxa"/>
            <w:shd w:val="clear" w:color="auto" w:fill="auto"/>
          </w:tcPr>
          <w:p w:rsidR="009A32F8" w:rsidRPr="0002494F"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46.</w:t>
            </w:r>
          </w:p>
        </w:tc>
        <w:tc>
          <w:tcPr>
            <w:tcW w:w="2575" w:type="dxa"/>
            <w:shd w:val="clear" w:color="auto" w:fill="auto"/>
          </w:tcPr>
          <w:p w:rsidR="006B4188" w:rsidRPr="0002494F" w:rsidRDefault="006B4188"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6B4188" w:rsidRDefault="006B4188" w:rsidP="006B4188">
            <w:pPr>
              <w:widowControl w:val="0"/>
              <w:spacing w:after="0" w:line="240" w:lineRule="auto"/>
              <w:jc w:val="both"/>
              <w:rPr>
                <w:rFonts w:ascii="Times New Roman" w:hAnsi="Times New Roman"/>
                <w:b/>
                <w:lang w:val="lv-LV"/>
              </w:rPr>
            </w:pPr>
            <w:r>
              <w:rPr>
                <w:rFonts w:ascii="Times New Roman" w:hAnsi="Times New Roman"/>
                <w:b/>
                <w:lang w:val="lv-LV"/>
              </w:rPr>
              <w:t>Pārresoru koordinācijas centrs (1.iebildums)</w:t>
            </w:r>
          </w:p>
          <w:p w:rsidR="006B4188" w:rsidRPr="006A3763" w:rsidRDefault="006B4188" w:rsidP="006B4188">
            <w:pPr>
              <w:widowControl w:val="0"/>
              <w:spacing w:after="0" w:line="240" w:lineRule="auto"/>
              <w:jc w:val="both"/>
              <w:rPr>
                <w:rFonts w:ascii="Times New Roman" w:hAnsi="Times New Roman"/>
                <w:lang w:val="lv-LV"/>
              </w:rPr>
            </w:pPr>
            <w:r w:rsidRPr="006B4188">
              <w:rPr>
                <w:rFonts w:ascii="Times New Roman" w:hAnsi="Times New Roman"/>
                <w:lang w:val="lv-LV"/>
              </w:rPr>
              <w:t>Uzskatām, ka noteikumu projektā iekļautie iznākuma un rezultāta rādītāji pietiekami neatspoguļo 14.1.1.1.pasākuma efektivitāti</w:t>
            </w:r>
            <w:r w:rsidRPr="006B4188">
              <w:rPr>
                <w:rFonts w:ascii="Times New Roman" w:hAnsi="Times New Roman"/>
                <w:vertAlign w:val="superscript"/>
                <w:lang w:val="lv-LV"/>
              </w:rPr>
              <w:footnoteReference w:id="6"/>
            </w:r>
            <w:r w:rsidRPr="006B4188">
              <w:rPr>
                <w:rFonts w:ascii="Times New Roman" w:hAnsi="Times New Roman"/>
                <w:lang w:val="lv-LV"/>
              </w:rPr>
              <w:t>, lai nākotnē būtu iespēja šo pasākumu izvērtēt. Papildus tam anotācijā</w:t>
            </w:r>
            <w:r w:rsidRPr="006B4188">
              <w:rPr>
                <w:rFonts w:ascii="Times New Roman" w:hAnsi="Times New Roman"/>
                <w:vertAlign w:val="superscript"/>
                <w:lang w:val="lv-LV"/>
              </w:rPr>
              <w:footnoteReference w:id="7"/>
            </w:r>
            <w:r w:rsidRPr="006B4188">
              <w:rPr>
                <w:rFonts w:ascii="Times New Roman" w:hAnsi="Times New Roman"/>
                <w:lang w:val="lv-LV"/>
              </w:rPr>
              <w:t xml:space="preserve"> tiek uzsvērts, ka “pasākuma rezultātā gan Latvijas, gan ārvalstu potenciālie studētgribētāji būs ieinteresēti (motivēti) izvēlēties Latvijas augstskolas kā studiju </w:t>
            </w:r>
            <w:r w:rsidRPr="006B4188">
              <w:rPr>
                <w:rFonts w:ascii="Times New Roman" w:hAnsi="Times New Roman"/>
                <w:lang w:val="lv-LV"/>
              </w:rPr>
              <w:lastRenderedPageBreak/>
              <w:t xml:space="preserve">vietu” un, ka pasākuma atbalstāmās darbības ir vērstas uz “kvalificētu speciālistu skaita pieaugumu”. No minētā var secināt, ka ministrija jau ir plašāk vērtējusi pasākuma realizācijas iespējamo ietekmi. Līdz ar to, konkrētu indikatoru iekļaušana un kvantificēšana uzlabotu 14.1.1.1.pasākuma efektivitātes izvērtēšanu un nākotnē – papildus saistīto </w:t>
            </w:r>
            <w:r w:rsidRPr="006A3763">
              <w:rPr>
                <w:rFonts w:ascii="Times New Roman" w:hAnsi="Times New Roman"/>
                <w:lang w:val="lv-LV"/>
              </w:rPr>
              <w:t>pasākumu plānošanu.</w:t>
            </w:r>
          </w:p>
          <w:p w:rsidR="006B4188" w:rsidRPr="0002494F" w:rsidRDefault="006B4188" w:rsidP="006B4188">
            <w:pPr>
              <w:widowControl w:val="0"/>
              <w:spacing w:after="0" w:line="240" w:lineRule="auto"/>
              <w:jc w:val="both"/>
              <w:rPr>
                <w:rFonts w:ascii="Times New Roman" w:hAnsi="Times New Roman"/>
                <w:b/>
                <w:lang w:val="lv-LV"/>
              </w:rPr>
            </w:pPr>
            <w:r w:rsidRPr="006A3763">
              <w:rPr>
                <w:rFonts w:ascii="Times New Roman" w:hAnsi="Times New Roman"/>
                <w:lang w:val="lv-LV"/>
              </w:rPr>
              <w:t>Ņemot vērā iepriekš minēto, aicinām papildināt anotāciju ar informāciju par to, kādus politikas mērķus un (izmērāmu) mērķa indikatoru vērtību sasniegšanu veicinās 14.1.1.1.pasākuma īstenošana; vienlaikus aicinām izvērtēt iespēju papildināt</w:t>
            </w:r>
            <w:r w:rsidRPr="006B4188">
              <w:rPr>
                <w:rFonts w:ascii="Times New Roman" w:hAnsi="Times New Roman"/>
                <w:lang w:val="lv-LV"/>
              </w:rPr>
              <w:t xml:space="preserve"> noteikumu projektu ar 14.1.1.1.pasākuma iznākuma rādītājiem. Nosakot mērķus un vērtības lūdzam ņemt vērā – Latvijas Nacionālo attīstības plānu 2021.–2027.gadam (turpmāk – NAP2027), Izglītības attīstības pamatnostādnes 2021.–2027.gadam “Nākotnes prasmes nākotnes sabiedrībai”, Digitālās transformācijas pamatnostādnes 2021.–2027.gadam un/vai citus nacionāla līmeņa attīstības plānošanas dokumentus</w:t>
            </w:r>
          </w:p>
        </w:tc>
        <w:tc>
          <w:tcPr>
            <w:tcW w:w="3119" w:type="dxa"/>
            <w:shd w:val="clear" w:color="auto" w:fill="auto"/>
          </w:tcPr>
          <w:p w:rsidR="002A2499" w:rsidRPr="002A2499" w:rsidRDefault="00314375" w:rsidP="00E018FF">
            <w:pPr>
              <w:spacing w:after="0" w:line="240" w:lineRule="auto"/>
              <w:jc w:val="both"/>
              <w:rPr>
                <w:rFonts w:ascii="Times New Roman" w:eastAsia="Times New Roman" w:hAnsi="Times New Roman" w:cs="Times New Roman"/>
                <w:b/>
                <w:lang w:val="lv-LV" w:eastAsia="lv-LV"/>
              </w:rPr>
            </w:pPr>
            <w:r w:rsidRPr="00F70E0C">
              <w:rPr>
                <w:rFonts w:ascii="Times New Roman" w:eastAsia="Times New Roman" w:hAnsi="Times New Roman" w:cs="Times New Roman"/>
                <w:b/>
                <w:lang w:val="lv-LV" w:eastAsia="lv-LV"/>
              </w:rPr>
              <w:lastRenderedPageBreak/>
              <w:t>Daļēji ņemts vērā</w:t>
            </w:r>
          </w:p>
          <w:p w:rsidR="00977C75" w:rsidRDefault="00977C75" w:rsidP="008E4D91">
            <w:pPr>
              <w:spacing w:after="0" w:line="240" w:lineRule="auto"/>
              <w:jc w:val="both"/>
              <w:rPr>
                <w:rFonts w:ascii="Times New Roman" w:eastAsia="Times New Roman" w:hAnsi="Times New Roman" w:cs="Times New Roman"/>
                <w:lang w:val="lv-LV" w:eastAsia="lv-LV"/>
              </w:rPr>
            </w:pPr>
            <w:r w:rsidRPr="00977C75">
              <w:rPr>
                <w:rFonts w:ascii="Times New Roman" w:eastAsia="Times New Roman" w:hAnsi="Times New Roman" w:cs="Times New Roman"/>
                <w:lang w:val="lv-LV" w:eastAsia="lv-LV"/>
              </w:rPr>
              <w:t xml:space="preserve">Skaidrojam, ka </w:t>
            </w:r>
            <w:r>
              <w:rPr>
                <w:rFonts w:ascii="Times New Roman" w:eastAsia="Times New Roman" w:hAnsi="Times New Roman" w:cs="Times New Roman"/>
                <w:lang w:val="lv-LV" w:eastAsia="lv-LV"/>
              </w:rPr>
              <w:t>projektu īstenošanas laiks ir indikatīvi 1 gads un 5 mēneši, kas ir relatīvi īss laiks periods</w:t>
            </w:r>
            <w:r w:rsidR="008E4D91">
              <w:rPr>
                <w:rFonts w:ascii="Times New Roman" w:eastAsia="Times New Roman" w:hAnsi="Times New Roman" w:cs="Times New Roman"/>
                <w:lang w:val="lv-LV" w:eastAsia="lv-LV"/>
              </w:rPr>
              <w:t>. Jāņem vērā, ka digitalizācijas risinājumi reāli tiks ieviesti tikai projektu noslēgumā</w:t>
            </w:r>
            <w:r>
              <w:rPr>
                <w:rFonts w:ascii="Times New Roman" w:eastAsia="Times New Roman" w:hAnsi="Times New Roman" w:cs="Times New Roman"/>
                <w:lang w:val="lv-LV" w:eastAsia="lv-LV"/>
              </w:rPr>
              <w:t>,</w:t>
            </w:r>
            <w:r w:rsidR="008E4D91">
              <w:rPr>
                <w:rFonts w:ascii="Times New Roman" w:eastAsia="Times New Roman" w:hAnsi="Times New Roman" w:cs="Times New Roman"/>
                <w:lang w:val="lv-LV" w:eastAsia="lv-LV"/>
              </w:rPr>
              <w:t xml:space="preserve"> līdz ar to konkrētas izmaiņas vēl nebūs iespējas novērtēt. Tāpēc papildu </w:t>
            </w:r>
            <w:r w:rsidR="00E1452E">
              <w:rPr>
                <w:rFonts w:ascii="Times New Roman" w:eastAsia="Times New Roman" w:hAnsi="Times New Roman" w:cs="Times New Roman"/>
                <w:lang w:val="lv-LV" w:eastAsia="lv-LV"/>
              </w:rPr>
              <w:t xml:space="preserve">uzraudzības </w:t>
            </w:r>
            <w:r w:rsidR="008E4D91">
              <w:rPr>
                <w:rFonts w:ascii="Times New Roman" w:eastAsia="Times New Roman" w:hAnsi="Times New Roman" w:cs="Times New Roman"/>
                <w:lang w:val="lv-LV" w:eastAsia="lv-LV"/>
              </w:rPr>
              <w:t xml:space="preserve">rādītāju iekļaušana </w:t>
            </w:r>
            <w:r w:rsidR="00E1452E">
              <w:rPr>
                <w:rFonts w:ascii="Times New Roman" w:eastAsia="Times New Roman" w:hAnsi="Times New Roman" w:cs="Times New Roman"/>
                <w:lang w:val="lv-LV" w:eastAsia="lv-LV"/>
              </w:rPr>
              <w:lastRenderedPageBreak/>
              <w:t xml:space="preserve">noteikumu projektā </w:t>
            </w:r>
            <w:r w:rsidR="008E4D91">
              <w:rPr>
                <w:rFonts w:ascii="Times New Roman" w:eastAsia="Times New Roman" w:hAnsi="Times New Roman" w:cs="Times New Roman"/>
                <w:lang w:val="lv-LV" w:eastAsia="lv-LV"/>
              </w:rPr>
              <w:t xml:space="preserve">nav lietderīga. </w:t>
            </w:r>
          </w:p>
          <w:p w:rsidR="006A3763" w:rsidRDefault="006A3763" w:rsidP="008E4D91">
            <w:pPr>
              <w:spacing w:after="0" w:line="240" w:lineRule="auto"/>
              <w:jc w:val="both"/>
              <w:rPr>
                <w:rFonts w:ascii="Times New Roman" w:eastAsia="Times New Roman" w:hAnsi="Times New Roman" w:cs="Times New Roman"/>
                <w:lang w:val="lv-LV" w:eastAsia="lv-LV"/>
              </w:rPr>
            </w:pPr>
          </w:p>
          <w:p w:rsidR="006A3763" w:rsidRDefault="006A3763" w:rsidP="008E4D9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Anotācija papildināta ar informāciju par 14.1.1.1. SAM pasākuma sasaisti ar NAP2027</w:t>
            </w:r>
            <w:r w:rsidR="00A31844">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 xml:space="preserve"> </w:t>
            </w:r>
            <w:r w:rsidR="00A31844">
              <w:rPr>
                <w:rFonts w:ascii="Times New Roman" w:eastAsia="Times New Roman" w:hAnsi="Times New Roman" w:cs="Times New Roman"/>
                <w:lang w:val="lv-LV" w:eastAsia="lv-LV"/>
              </w:rPr>
              <w:t>IAP2027 un DTP2027.</w:t>
            </w:r>
          </w:p>
          <w:p w:rsidR="000C030D" w:rsidRPr="00977C75" w:rsidRDefault="000C030D" w:rsidP="000C030D">
            <w:pPr>
              <w:spacing w:after="0" w:line="240" w:lineRule="auto"/>
              <w:jc w:val="both"/>
              <w:rPr>
                <w:rFonts w:ascii="Times New Roman" w:eastAsia="Times New Roman" w:hAnsi="Times New Roman" w:cs="Times New Roman"/>
                <w:lang w:val="lv-LV" w:eastAsia="lv-LV"/>
              </w:rPr>
            </w:pPr>
          </w:p>
        </w:tc>
        <w:tc>
          <w:tcPr>
            <w:tcW w:w="3260" w:type="dxa"/>
          </w:tcPr>
          <w:p w:rsidR="006A3763" w:rsidRPr="00EB3CEA" w:rsidRDefault="006A3763" w:rsidP="002E4E4F">
            <w:pPr>
              <w:pStyle w:val="tv2132"/>
              <w:spacing w:line="240" w:lineRule="auto"/>
              <w:ind w:firstLine="0"/>
              <w:contextualSpacing/>
              <w:jc w:val="both"/>
              <w:rPr>
                <w:rFonts w:cstheme="minorBidi"/>
                <w:b/>
                <w:color w:val="auto"/>
                <w:sz w:val="22"/>
                <w:szCs w:val="22"/>
                <w:lang w:val="lv-LV"/>
              </w:rPr>
            </w:pPr>
            <w:r w:rsidRPr="00EB3CEA">
              <w:rPr>
                <w:rFonts w:cstheme="minorBidi"/>
                <w:b/>
                <w:color w:val="auto"/>
                <w:sz w:val="22"/>
                <w:szCs w:val="22"/>
                <w:lang w:val="lv-LV"/>
              </w:rPr>
              <w:lastRenderedPageBreak/>
              <w:t>Anotācija</w:t>
            </w:r>
          </w:p>
          <w:p w:rsidR="00735698" w:rsidRPr="00735698" w:rsidRDefault="006A3763" w:rsidP="00735698">
            <w:pPr>
              <w:pStyle w:val="tv2132"/>
              <w:spacing w:line="240" w:lineRule="auto"/>
              <w:contextualSpacing/>
              <w:jc w:val="both"/>
              <w:rPr>
                <w:rFonts w:cstheme="minorBidi"/>
                <w:color w:val="auto"/>
                <w:sz w:val="22"/>
                <w:szCs w:val="22"/>
                <w:lang w:val="lv-LV"/>
              </w:rPr>
            </w:pPr>
            <w:r w:rsidRPr="004E12FB">
              <w:rPr>
                <w:rFonts w:cstheme="minorBidi"/>
                <w:color w:val="auto"/>
                <w:sz w:val="22"/>
                <w:szCs w:val="22"/>
                <w:lang w:val="lv-LV"/>
              </w:rPr>
              <w:t xml:space="preserve">Lai gan 14.1.1.1. SAM pasākums tiek īstenots ES fondu </w:t>
            </w:r>
            <w:r w:rsidR="00EE6161" w:rsidRPr="004E12FB">
              <w:rPr>
                <w:rFonts w:cstheme="minorBidi"/>
                <w:color w:val="auto"/>
                <w:sz w:val="22"/>
                <w:szCs w:val="22"/>
                <w:lang w:val="lv-LV"/>
              </w:rPr>
              <w:t xml:space="preserve">un Kohēzijas politikas </w:t>
            </w:r>
            <w:r w:rsidRPr="004E12FB">
              <w:rPr>
                <w:rFonts w:cstheme="minorBidi"/>
                <w:color w:val="auto"/>
                <w:sz w:val="22"/>
                <w:szCs w:val="22"/>
                <w:lang w:val="lv-LV"/>
              </w:rPr>
              <w:t xml:space="preserve">2014.-2020.gada plānošanas perioda   darbības programmas „Izaugsme un nodarbinātība” ietvarā, tas ir vērsts arī uz </w:t>
            </w:r>
            <w:r w:rsidR="00EE6161" w:rsidRPr="004E12FB">
              <w:rPr>
                <w:rFonts w:cstheme="minorBidi"/>
                <w:color w:val="auto"/>
                <w:sz w:val="22"/>
                <w:szCs w:val="22"/>
                <w:lang w:val="lv-LV"/>
              </w:rPr>
              <w:t>2021.-2027. gada</w:t>
            </w:r>
            <w:r w:rsidRPr="004E12FB">
              <w:rPr>
                <w:rFonts w:cstheme="minorBidi"/>
                <w:color w:val="auto"/>
                <w:sz w:val="22"/>
                <w:szCs w:val="22"/>
                <w:lang w:val="lv-LV"/>
              </w:rPr>
              <w:t xml:space="preserve"> perioda plānošanas dokumentos noteikto politikas</w:t>
            </w:r>
            <w:r w:rsidRPr="006A3763">
              <w:rPr>
                <w:rFonts w:cstheme="minorBidi"/>
                <w:color w:val="auto"/>
                <w:sz w:val="22"/>
                <w:szCs w:val="22"/>
                <w:lang w:val="lv-LV"/>
              </w:rPr>
              <w:t xml:space="preserve"> mērķu sasniegšanu. </w:t>
            </w:r>
            <w:r w:rsidR="00735698" w:rsidRPr="00735698">
              <w:rPr>
                <w:rFonts w:cstheme="minorBidi"/>
                <w:color w:val="auto"/>
                <w:sz w:val="22"/>
                <w:szCs w:val="22"/>
                <w:lang w:val="lv-LV"/>
              </w:rPr>
              <w:t xml:space="preserve">14.1.1.1. pasākuma </w:t>
            </w:r>
            <w:r w:rsidR="00735698" w:rsidRPr="00735698">
              <w:rPr>
                <w:rFonts w:cstheme="minorBidi"/>
                <w:color w:val="auto"/>
                <w:sz w:val="22"/>
                <w:szCs w:val="22"/>
                <w:lang w:val="lv-LV"/>
              </w:rPr>
              <w:lastRenderedPageBreak/>
              <w:t xml:space="preserve">mērķis atbilst Latvijas Nacionālo attīstības plāna 2021.–2027.gadam (NAP2027) prioritātes "Zināšanas un prasmes personības un valsts izaugsmei" rīcības virzienam “Kvalitatīva, pieejama, iekļaujoša izglītība” un nodrošinās virzību uz mērķi “Izglītības kvalitāte uzņēmējdarbībā un dzīvē izmantojamu zināšanu un prasmju ieguvei ikvienam valsts iedzīvotājam”, kā arī veicinās NAP2027 indikatora “Vidējās un augstākās izglītības iestāžu nesenu (pirms viena-trim gadiem) absolventu (20–34 gadu vecumā) nodarbinātības līmenis”, kā arī indikatora  “16–74 gadus vecu personu īpatsvars, kurām ir pamata un augstākas digitālās prasmes” mērķa vērtības sasniegšanu. </w:t>
            </w:r>
          </w:p>
          <w:p w:rsidR="00735698" w:rsidRPr="00735698" w:rsidRDefault="00735698" w:rsidP="00735698">
            <w:pPr>
              <w:pStyle w:val="tv2132"/>
              <w:spacing w:line="240" w:lineRule="auto"/>
              <w:contextualSpacing/>
              <w:jc w:val="both"/>
              <w:rPr>
                <w:rFonts w:cstheme="minorBidi"/>
                <w:color w:val="auto"/>
                <w:sz w:val="22"/>
                <w:szCs w:val="22"/>
                <w:lang w:val="lv-LV"/>
              </w:rPr>
            </w:pPr>
            <w:r w:rsidRPr="00735698">
              <w:rPr>
                <w:rFonts w:cstheme="minorBidi"/>
                <w:color w:val="auto"/>
                <w:sz w:val="22"/>
                <w:szCs w:val="22"/>
                <w:lang w:val="lv-LV"/>
              </w:rPr>
              <w:t>14.1.1.1. pasākums ir vērsts arī uz Izglītības attīstības pamatnostādnēs 2021.–2027.gadam “Nākotnes prasmes nākotnes sabiedrībai” (IAP2027) noteikto mērķi:  “Mūsdienīgs,  kvalitatīvs un uz  darba  tirgū  augsti  novērtētu  prasmju attīstīšanu orientēts  izglītības  piedāvājums” un veicinās IAP2027 indikatora “Absolventu nodarbinātība ir atbilstoša profesiju pamatgrupās no 0 līdz 3 (vadītāji, vecākie speciālisti un speciālisti)” mērķa vērtības sasniegšanu.</w:t>
            </w:r>
          </w:p>
          <w:p w:rsidR="00A31844" w:rsidRPr="0002494F" w:rsidRDefault="00735698" w:rsidP="00735698">
            <w:pPr>
              <w:pStyle w:val="tv2132"/>
              <w:spacing w:line="240" w:lineRule="auto"/>
              <w:ind w:firstLine="0"/>
              <w:contextualSpacing/>
              <w:jc w:val="both"/>
              <w:rPr>
                <w:rFonts w:cstheme="minorBidi"/>
                <w:color w:val="auto"/>
                <w:sz w:val="22"/>
                <w:szCs w:val="22"/>
                <w:lang w:val="lv-LV"/>
              </w:rPr>
            </w:pPr>
            <w:r w:rsidRPr="00735698">
              <w:rPr>
                <w:rFonts w:cstheme="minorBidi"/>
                <w:color w:val="auto"/>
                <w:sz w:val="22"/>
                <w:szCs w:val="22"/>
                <w:lang w:val="lv-LV"/>
              </w:rPr>
              <w:lastRenderedPageBreak/>
              <w:t xml:space="preserve">14.1.1.1. pasākums atbilst arī Digitālās transformācijas pamatnostādņu 2021.-2027. gadam (DTP2027) 4.1. attīstības jomas "Digitālās prasmes un izglītība" 4.1.1. rīcības virzienam „Sabiedrības digitālo prasmju attīstība izglītības procesā” un  4.1.2. rīcības virzienam „Sabiedrības digitālo prasmju attīstība no pamatprasmēm līdz augsta līmeņa prasmēm”. Līdz ar to 14.1.1.1. pasākums sekmēs DTP2027 noteikto politikas mērķi: „Ir nodrošināta iespēja pastāvīgi un pēc individualizēta pieprasījuma apgūt digitālās prasmes ikdienai, nodarbinātībai, tostarp darbam IKT specialitātēs un palielinot tajās nodarbināto sieviešu skaitu, uzņēmējdarbībai, zinātnei un izpētei, lai virzītos uz tādu sabiedrību, kas balsta savu labklājību digitālo tehnoloģiju iespēju efektīvā izmantošanā un radošā attīstībā”. Vienlaikus 14.1.1.1. pasākums atbilst DTP2027 4.4. attīstības jomas “Tautsaimniecības (t. sk. valsts pārvaldes) digitālā transformācija” 4.4.13. rīcības virzienam “Izglītības procesu digitalizācija” un tas sekmēs DPT2027 noteikto mērķi: “Tautsaimniecības digitālās transformācijas ietvaros, izmantojot digitālo tehnoloģiju radītās iespējas, ir veiktas sabiedrības un valsts pārvaldes </w:t>
            </w:r>
            <w:r w:rsidRPr="00735698">
              <w:rPr>
                <w:rFonts w:cstheme="minorBidi"/>
                <w:color w:val="auto"/>
                <w:sz w:val="22"/>
                <w:szCs w:val="22"/>
                <w:lang w:val="lv-LV"/>
              </w:rPr>
              <w:lastRenderedPageBreak/>
              <w:t>attīstības plānošanas izmaiņas, pakalpojumu pārveide, sabiedrības un valsts pārvaldes kultūras izmaiņas, procesu un to tehnoloģiskā nodrošinājuma pārveide, radot pamatu dzīves kvalitātes paaugstināšanai un valsts un tautsaimniecības konkurētspējas celšanai”. 14.1.1.1. pasākums veicinās DTD2027 noteiktā politikas rezultāta „Palielināts IKT speciālistu kopumā un IKT speciālistu - sieviešu skaits” mērķa vērtības sasniegšanu.</w:t>
            </w:r>
          </w:p>
        </w:tc>
      </w:tr>
      <w:tr w:rsidR="006B4188" w:rsidRPr="0002494F" w:rsidTr="00F70E0C">
        <w:trPr>
          <w:trHeight w:val="274"/>
        </w:trPr>
        <w:tc>
          <w:tcPr>
            <w:tcW w:w="964" w:type="dxa"/>
            <w:shd w:val="clear" w:color="auto" w:fill="auto"/>
          </w:tcPr>
          <w:p w:rsidR="009A32F8" w:rsidRPr="0002494F"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47.</w:t>
            </w:r>
          </w:p>
        </w:tc>
        <w:tc>
          <w:tcPr>
            <w:tcW w:w="2575" w:type="dxa"/>
            <w:shd w:val="clear" w:color="auto" w:fill="auto"/>
          </w:tcPr>
          <w:p w:rsidR="006B4188" w:rsidRPr="0002494F" w:rsidRDefault="006B4188"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6B4188" w:rsidRPr="006B4188" w:rsidRDefault="006B4188" w:rsidP="006B4188">
            <w:pPr>
              <w:widowControl w:val="0"/>
              <w:spacing w:after="0" w:line="240" w:lineRule="auto"/>
              <w:jc w:val="both"/>
              <w:rPr>
                <w:rFonts w:ascii="Times New Roman" w:hAnsi="Times New Roman"/>
                <w:b/>
                <w:lang w:val="lv-LV"/>
              </w:rPr>
            </w:pPr>
            <w:r w:rsidRPr="006B4188">
              <w:rPr>
                <w:rFonts w:ascii="Times New Roman" w:hAnsi="Times New Roman"/>
                <w:b/>
                <w:lang w:val="lv-LV"/>
              </w:rPr>
              <w:t>Pārresoru koordinācijas centrs (</w:t>
            </w:r>
            <w:r>
              <w:rPr>
                <w:rFonts w:ascii="Times New Roman" w:hAnsi="Times New Roman"/>
                <w:b/>
                <w:lang w:val="lv-LV"/>
              </w:rPr>
              <w:t>2</w:t>
            </w:r>
            <w:r w:rsidRPr="006B4188">
              <w:rPr>
                <w:rFonts w:ascii="Times New Roman" w:hAnsi="Times New Roman"/>
                <w:b/>
                <w:lang w:val="lv-LV"/>
              </w:rPr>
              <w:t>.iebildums)</w:t>
            </w:r>
          </w:p>
          <w:p w:rsidR="006B4188" w:rsidRPr="006B4188" w:rsidRDefault="006B4188" w:rsidP="006B4188">
            <w:pPr>
              <w:widowControl w:val="0"/>
              <w:spacing w:after="0" w:line="240" w:lineRule="auto"/>
              <w:jc w:val="both"/>
              <w:rPr>
                <w:rFonts w:ascii="Times New Roman" w:hAnsi="Times New Roman"/>
                <w:lang w:val="lv-LV"/>
              </w:rPr>
            </w:pPr>
            <w:r w:rsidRPr="006B4188">
              <w:rPr>
                <w:rFonts w:ascii="Times New Roman" w:hAnsi="Times New Roman"/>
                <w:lang w:val="lv-LV"/>
              </w:rPr>
              <w:t>Lai nodrošinātu vienota valsts stratēģiskā ietvara izglītības un mācību jomā izstrādi 2021.–2027.gadam un izpildītu tematiskos ieguldījumu priekšnosacījumus Eiropas Savienība struktūrfondu investīciju plānošanai 2021.-2027.gada periodam tika veikts pētījums</w:t>
            </w:r>
            <w:r w:rsidRPr="006B4188">
              <w:rPr>
                <w:rFonts w:ascii="Times New Roman" w:hAnsi="Times New Roman"/>
                <w:vertAlign w:val="superscript"/>
                <w:lang w:val="lv-LV"/>
              </w:rPr>
              <w:footnoteReference w:id="8"/>
            </w:r>
            <w:r w:rsidRPr="006B4188">
              <w:rPr>
                <w:rFonts w:ascii="Times New Roman" w:hAnsi="Times New Roman"/>
                <w:lang w:val="lv-LV"/>
              </w:rPr>
              <w:t>. Ņemot vērā to, ka pētījuma saturs ir nozīmīgs, lai plānotu augstākās izglītības iestāžu digitalizāciju, lūdzam papildināt anotāciju</w:t>
            </w:r>
            <w:r w:rsidRPr="006B4188">
              <w:rPr>
                <w:rFonts w:ascii="Times New Roman" w:hAnsi="Times New Roman"/>
                <w:vertAlign w:val="superscript"/>
                <w:lang w:val="lv-LV"/>
              </w:rPr>
              <w:footnoteReference w:id="9"/>
            </w:r>
            <w:r w:rsidRPr="006B4188">
              <w:rPr>
                <w:rFonts w:ascii="Times New Roman" w:hAnsi="Times New Roman"/>
                <w:lang w:val="lv-LV"/>
              </w:rPr>
              <w:t>, tajā norādot, kā pētījuma dati un secinājumi ņemti vērā noteikumu projekta izstrādē un publiski pieejamu saiti veiktajam izvērtējumam par augstākās izglītības iestāžu digitalizāciju.</w:t>
            </w:r>
          </w:p>
        </w:tc>
        <w:tc>
          <w:tcPr>
            <w:tcW w:w="3119" w:type="dxa"/>
            <w:shd w:val="clear" w:color="auto" w:fill="auto"/>
          </w:tcPr>
          <w:p w:rsidR="006B4188" w:rsidRDefault="00E1452E" w:rsidP="00E018FF">
            <w:pPr>
              <w:spacing w:after="0" w:line="240" w:lineRule="auto"/>
              <w:jc w:val="both"/>
              <w:rPr>
                <w:rFonts w:ascii="Times New Roman" w:eastAsia="Times New Roman" w:hAnsi="Times New Roman" w:cs="Times New Roman"/>
                <w:b/>
                <w:lang w:val="lv-LV" w:eastAsia="lv-LV"/>
              </w:rPr>
            </w:pPr>
            <w:r w:rsidRPr="00A31844">
              <w:rPr>
                <w:rFonts w:ascii="Times New Roman" w:eastAsia="Times New Roman" w:hAnsi="Times New Roman" w:cs="Times New Roman"/>
                <w:b/>
                <w:lang w:val="lv-LV" w:eastAsia="lv-LV"/>
              </w:rPr>
              <w:t>Ņemts vērā</w:t>
            </w:r>
          </w:p>
          <w:p w:rsidR="007F2013" w:rsidRDefault="007F2013" w:rsidP="00E018FF">
            <w:pPr>
              <w:spacing w:after="0" w:line="240" w:lineRule="auto"/>
              <w:jc w:val="both"/>
              <w:rPr>
                <w:rFonts w:ascii="Times New Roman" w:eastAsia="Times New Roman" w:hAnsi="Times New Roman" w:cs="Times New Roman"/>
                <w:lang w:val="lv-LV" w:eastAsia="lv-LV"/>
              </w:rPr>
            </w:pPr>
            <w:r w:rsidRPr="007F2013">
              <w:rPr>
                <w:rFonts w:ascii="Times New Roman" w:eastAsia="Times New Roman" w:hAnsi="Times New Roman" w:cs="Times New Roman"/>
                <w:lang w:val="lv-LV" w:eastAsia="lv-LV"/>
              </w:rPr>
              <w:t>Anotācija papildināta ar skaidrojumu.</w:t>
            </w:r>
          </w:p>
          <w:p w:rsidR="007F2013" w:rsidRPr="007F2013" w:rsidRDefault="007F2013" w:rsidP="00E018FF">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Anotācijā iekļauta publiski pieejama saite uz pētījuma gala nodevumu.</w:t>
            </w:r>
          </w:p>
        </w:tc>
        <w:tc>
          <w:tcPr>
            <w:tcW w:w="3260" w:type="dxa"/>
          </w:tcPr>
          <w:p w:rsidR="007F2013" w:rsidRPr="007F2013" w:rsidRDefault="007F2013" w:rsidP="002E4E4F">
            <w:pPr>
              <w:pStyle w:val="tv2132"/>
              <w:spacing w:line="240" w:lineRule="auto"/>
              <w:ind w:firstLine="0"/>
              <w:contextualSpacing/>
              <w:jc w:val="both"/>
              <w:rPr>
                <w:rFonts w:cstheme="minorBidi"/>
                <w:b/>
                <w:color w:val="auto"/>
                <w:sz w:val="22"/>
                <w:szCs w:val="22"/>
                <w:lang w:val="lv-LV"/>
              </w:rPr>
            </w:pPr>
            <w:r w:rsidRPr="007F2013">
              <w:rPr>
                <w:rFonts w:cstheme="minorBidi"/>
                <w:b/>
                <w:color w:val="auto"/>
                <w:sz w:val="22"/>
                <w:szCs w:val="22"/>
                <w:lang w:val="lv-LV"/>
              </w:rPr>
              <w:t>Anotācija</w:t>
            </w:r>
          </w:p>
          <w:p w:rsidR="004E12FB" w:rsidRDefault="004E12FB" w:rsidP="004E12FB">
            <w:pPr>
              <w:pStyle w:val="tv2132"/>
              <w:spacing w:line="240" w:lineRule="auto"/>
              <w:contextualSpacing/>
              <w:jc w:val="both"/>
              <w:rPr>
                <w:rFonts w:cstheme="minorBidi"/>
                <w:color w:val="auto"/>
                <w:sz w:val="22"/>
                <w:szCs w:val="22"/>
                <w:lang w:val="lv-LV"/>
              </w:rPr>
            </w:pPr>
            <w:r w:rsidRPr="004E12FB">
              <w:rPr>
                <w:rFonts w:cstheme="minorBidi"/>
                <w:color w:val="auto"/>
                <w:sz w:val="22"/>
                <w:szCs w:val="22"/>
                <w:lang w:val="lv-LV"/>
              </w:rPr>
              <w:t>Apzinot situāciju augstskolās saistībā ar Covid-19 ierobežojumiem, tika identificēts, ka augstskolas kopumā spēj nodrošināt rutīnas studiju procesa nepārtrauktību, tomēr ierobežojošs faktors ir nepietiekamās studējošo un docētāju digitālās prasmes</w:t>
            </w:r>
            <w:r>
              <w:rPr>
                <w:rFonts w:cstheme="minorBidi"/>
                <w:color w:val="auto"/>
                <w:sz w:val="22"/>
                <w:szCs w:val="22"/>
                <w:lang w:val="lv-LV"/>
              </w:rPr>
              <w:t>.</w:t>
            </w:r>
          </w:p>
          <w:p w:rsidR="004E12FB" w:rsidRPr="0002494F" w:rsidRDefault="004E12FB" w:rsidP="00F75DF1">
            <w:pPr>
              <w:pStyle w:val="tv2132"/>
              <w:spacing w:line="240" w:lineRule="auto"/>
              <w:contextualSpacing/>
              <w:jc w:val="both"/>
              <w:rPr>
                <w:rFonts w:cstheme="minorBidi"/>
                <w:color w:val="auto"/>
                <w:sz w:val="22"/>
                <w:szCs w:val="22"/>
                <w:lang w:val="lv-LV"/>
              </w:rPr>
            </w:pPr>
            <w:r w:rsidRPr="004E12FB">
              <w:rPr>
                <w:rFonts w:cstheme="minorBidi"/>
                <w:color w:val="auto"/>
                <w:sz w:val="22"/>
                <w:szCs w:val="22"/>
                <w:lang w:val="lv-LV"/>
              </w:rPr>
              <w:t>Šāda tendence arī iezīmējas “PricewaterhouseCoopers SIA” un Rīgas Tehniskās universitātes veiktajā pētījumā “Augstākās izglītības iestāžu digitalizācijas izvērtējums Latvijā” (turpmāk – AII digitalizācijas pētījums)</w:t>
            </w:r>
            <w:r>
              <w:rPr>
                <w:rStyle w:val="FootnoteReference"/>
                <w:rFonts w:cstheme="minorBidi"/>
                <w:color w:val="auto"/>
                <w:sz w:val="22"/>
                <w:szCs w:val="22"/>
                <w:lang w:val="lv-LV"/>
              </w:rPr>
              <w:footnoteReference w:id="10"/>
            </w:r>
            <w:r w:rsidRPr="004E12FB">
              <w:rPr>
                <w:rFonts w:cstheme="minorBidi"/>
                <w:color w:val="auto"/>
                <w:sz w:val="22"/>
                <w:szCs w:val="22"/>
                <w:lang w:val="lv-LV"/>
              </w:rPr>
              <w:t xml:space="preserve">. </w:t>
            </w:r>
            <w:r w:rsidR="000B57C5">
              <w:t xml:space="preserve"> </w:t>
            </w:r>
            <w:r w:rsidR="000B57C5" w:rsidRPr="000B57C5">
              <w:rPr>
                <w:rFonts w:cstheme="minorBidi"/>
                <w:color w:val="auto"/>
                <w:sz w:val="22"/>
                <w:szCs w:val="22"/>
                <w:lang w:val="lv-LV"/>
              </w:rPr>
              <w:t xml:space="preserve">Plānojot 14.1.1.1. pasākuma atbalstāmās darbības, tika ņemti </w:t>
            </w:r>
            <w:r w:rsidR="000B57C5" w:rsidRPr="000B57C5">
              <w:rPr>
                <w:rFonts w:cstheme="minorBidi"/>
                <w:color w:val="auto"/>
                <w:sz w:val="22"/>
                <w:szCs w:val="22"/>
                <w:lang w:val="lv-LV"/>
              </w:rPr>
              <w:lastRenderedPageBreak/>
              <w:t>vērā AII digitalizācijas pētījuma rezultāti, kuros norādīts, ka  augstskolās ir jāpalielina inovatīvo tehnoloģiju izmantošana studiju procesā, no kurām prioritārās ir datošana, mākslīgais intelekts, virtuālās pasaules, virtuālās laboratorijas, kā arī virtuālās un papildinātās realitātes tehnoloģijas. Vienlaikus pētījumā uzsvērts, ka augstskolās ievērojami vairāk un pamatīgāk jāizmanto mācīšanās analītika. Šobrīd e-studiju platformās tipiski ir pieejami analītikas rīki, tomēr to iespējas nodrošina mācīšanās analītiku pamatlīmenī. Augstskolās ir nepieciešama augstāka līmeņa mācīšanās analītikas risinājumu ieviešana, kas ir pamats arī personalizētam studiju procesam. Šis ir īpaši svarīgs aspekts, jo, attīstoties mācībām tiešsaistē, īpaši būtiski sekot līdzi studējošo mācību progresam gan akadēmiskajam personālam, gan pašiem studentiem.</w:t>
            </w:r>
          </w:p>
        </w:tc>
      </w:tr>
      <w:tr w:rsidR="006B4188" w:rsidRPr="0002494F" w:rsidTr="00F70E0C">
        <w:trPr>
          <w:trHeight w:val="274"/>
        </w:trPr>
        <w:tc>
          <w:tcPr>
            <w:tcW w:w="964" w:type="dxa"/>
            <w:shd w:val="clear" w:color="auto" w:fill="auto"/>
          </w:tcPr>
          <w:p w:rsidR="009A32F8" w:rsidRPr="0002494F"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48.</w:t>
            </w:r>
          </w:p>
        </w:tc>
        <w:tc>
          <w:tcPr>
            <w:tcW w:w="2575" w:type="dxa"/>
            <w:shd w:val="clear" w:color="auto" w:fill="auto"/>
          </w:tcPr>
          <w:p w:rsidR="000C030D" w:rsidRPr="000C030D" w:rsidRDefault="000C030D" w:rsidP="000C030D">
            <w:pPr>
              <w:pStyle w:val="tv2132"/>
              <w:spacing w:line="240" w:lineRule="auto"/>
              <w:ind w:firstLine="0"/>
              <w:contextualSpacing/>
              <w:jc w:val="both"/>
              <w:rPr>
                <w:rFonts w:cstheme="minorBidi"/>
                <w:b/>
                <w:color w:val="auto"/>
                <w:sz w:val="22"/>
                <w:szCs w:val="22"/>
                <w:lang w:val="lv-LV"/>
              </w:rPr>
            </w:pPr>
            <w:r w:rsidRPr="000C030D">
              <w:rPr>
                <w:rFonts w:cstheme="minorBidi"/>
                <w:b/>
                <w:color w:val="auto"/>
                <w:sz w:val="22"/>
                <w:szCs w:val="22"/>
                <w:lang w:val="lv-LV"/>
              </w:rPr>
              <w:t>Anotācija</w:t>
            </w:r>
          </w:p>
          <w:p w:rsidR="006B4188" w:rsidRPr="0002494F" w:rsidRDefault="000C030D" w:rsidP="000C030D">
            <w:pPr>
              <w:pStyle w:val="tv2132"/>
              <w:spacing w:line="240" w:lineRule="auto"/>
              <w:ind w:firstLine="0"/>
              <w:contextualSpacing/>
              <w:jc w:val="both"/>
              <w:rPr>
                <w:rFonts w:cstheme="minorBidi"/>
                <w:color w:val="auto"/>
                <w:sz w:val="22"/>
                <w:szCs w:val="22"/>
                <w:lang w:val="lv-LV"/>
              </w:rPr>
            </w:pPr>
            <w:r w:rsidRPr="000C030D">
              <w:rPr>
                <w:rFonts w:cstheme="minorBidi"/>
                <w:color w:val="auto"/>
                <w:sz w:val="22"/>
                <w:szCs w:val="22"/>
                <w:lang w:val="lv-LV"/>
              </w:rPr>
              <w:t xml:space="preserve">14.1.1.1. pasākums "Digitalizācijas iniciatīvas studiju kvalitātes pilnveidei" (turpmāk – 14.1.1.1. pasākums) veicinās augstskolu digitālo transformāciju un </w:t>
            </w:r>
            <w:r w:rsidRPr="000C030D">
              <w:rPr>
                <w:rFonts w:cstheme="minorBidi"/>
                <w:color w:val="auto"/>
                <w:sz w:val="22"/>
                <w:szCs w:val="22"/>
                <w:lang w:val="lv-LV"/>
              </w:rPr>
              <w:lastRenderedPageBreak/>
              <w:t>vienmērīgu virzību uz Digitālās izglītības rīcības plāna 2021.-2027. gadam “Izglītības un apmācības pārveide digitālajam laikmetam” 1. stratēģisko prioritāti “Augstas veiktspējas digitālās izglītības ekosistēmas attīstības veicināšana”</w:t>
            </w:r>
            <w:r>
              <w:rPr>
                <w:rFonts w:cstheme="minorBidi"/>
                <w:color w:val="auto"/>
                <w:sz w:val="22"/>
                <w:szCs w:val="22"/>
                <w:lang w:val="lv-LV"/>
              </w:rPr>
              <w:t>.</w:t>
            </w:r>
            <w:r w:rsidRPr="000C030D">
              <w:rPr>
                <w:rFonts w:cstheme="minorBidi"/>
                <w:color w:val="auto"/>
                <w:sz w:val="22"/>
                <w:szCs w:val="22"/>
                <w:lang w:val="lv-LV"/>
              </w:rPr>
              <w:t xml:space="preserve"> </w:t>
            </w:r>
          </w:p>
        </w:tc>
        <w:tc>
          <w:tcPr>
            <w:tcW w:w="3969" w:type="dxa"/>
            <w:shd w:val="clear" w:color="auto" w:fill="auto"/>
          </w:tcPr>
          <w:p w:rsidR="006B4188" w:rsidRDefault="006B4188" w:rsidP="006B4188">
            <w:pPr>
              <w:widowControl w:val="0"/>
              <w:spacing w:after="0" w:line="240" w:lineRule="auto"/>
              <w:jc w:val="both"/>
              <w:rPr>
                <w:rFonts w:ascii="Times New Roman" w:hAnsi="Times New Roman"/>
                <w:b/>
                <w:lang w:val="lv-LV"/>
              </w:rPr>
            </w:pPr>
            <w:r w:rsidRPr="006B4188">
              <w:rPr>
                <w:rFonts w:ascii="Times New Roman" w:hAnsi="Times New Roman"/>
                <w:b/>
                <w:lang w:val="lv-LV"/>
              </w:rPr>
              <w:lastRenderedPageBreak/>
              <w:t>Pārresoru koordinācijas centrs (</w:t>
            </w:r>
            <w:r>
              <w:rPr>
                <w:rFonts w:ascii="Times New Roman" w:hAnsi="Times New Roman"/>
                <w:b/>
                <w:lang w:val="lv-LV"/>
              </w:rPr>
              <w:t>3</w:t>
            </w:r>
            <w:r w:rsidRPr="006B4188">
              <w:rPr>
                <w:rFonts w:ascii="Times New Roman" w:hAnsi="Times New Roman"/>
                <w:b/>
                <w:lang w:val="lv-LV"/>
              </w:rPr>
              <w:t>.iebildums)</w:t>
            </w:r>
          </w:p>
          <w:p w:rsidR="006B4188" w:rsidRPr="006B4188" w:rsidRDefault="006B4188" w:rsidP="006B4188">
            <w:pPr>
              <w:widowControl w:val="0"/>
              <w:spacing w:after="0" w:line="240" w:lineRule="auto"/>
              <w:jc w:val="both"/>
              <w:rPr>
                <w:rFonts w:ascii="Times New Roman" w:hAnsi="Times New Roman"/>
                <w:lang w:val="lv-LV"/>
              </w:rPr>
            </w:pPr>
            <w:r w:rsidRPr="006B4188">
              <w:rPr>
                <w:rFonts w:ascii="Times New Roman" w:hAnsi="Times New Roman"/>
                <w:lang w:val="lv-LV"/>
              </w:rPr>
              <w:t>Anotācijā</w:t>
            </w:r>
            <w:r w:rsidRPr="006B4188">
              <w:rPr>
                <w:rFonts w:ascii="Times New Roman" w:hAnsi="Times New Roman"/>
                <w:vertAlign w:val="superscript"/>
                <w:lang w:val="lv-LV"/>
              </w:rPr>
              <w:footnoteReference w:id="11"/>
            </w:r>
            <w:r w:rsidRPr="006B4188">
              <w:rPr>
                <w:rFonts w:ascii="Times New Roman" w:hAnsi="Times New Roman"/>
                <w:lang w:val="lv-LV"/>
              </w:rPr>
              <w:t xml:space="preserve"> minēta atsauce uz Komisijas paziņojuma Eiropas Parlamentam, Padomei, Eiropas Ekonomikas un sociālo lietu komitejai un Reģionu komitejai “Digitālās izglītības rīcības plāns 2021.-2027. gadam “Izglītības un apmācības </w:t>
            </w:r>
            <w:r w:rsidRPr="006B4188">
              <w:rPr>
                <w:rFonts w:ascii="Times New Roman" w:hAnsi="Times New Roman"/>
                <w:lang w:val="lv-LV"/>
              </w:rPr>
              <w:lastRenderedPageBreak/>
              <w:t>pārveide digitālajam laikmetam””</w:t>
            </w:r>
            <w:r w:rsidRPr="006B4188">
              <w:rPr>
                <w:rFonts w:ascii="Times New Roman" w:hAnsi="Times New Roman"/>
                <w:vertAlign w:val="superscript"/>
                <w:lang w:val="lv-LV"/>
              </w:rPr>
              <w:footnoteReference w:id="12"/>
            </w:r>
            <w:r w:rsidRPr="006B4188">
              <w:rPr>
                <w:rFonts w:ascii="Times New Roman" w:hAnsi="Times New Roman"/>
                <w:lang w:val="lv-LV"/>
              </w:rPr>
              <w:t xml:space="preserve"> </w:t>
            </w:r>
            <w:r w:rsidRPr="006B4188">
              <w:rPr>
                <w:rFonts w:ascii="Times New Roman" w:hAnsi="Times New Roman"/>
                <w:i/>
                <w:lang w:val="lv-LV"/>
              </w:rPr>
              <w:t>1.stratēģisko prioritāti</w:t>
            </w:r>
            <w:r w:rsidRPr="006B4188">
              <w:rPr>
                <w:rFonts w:ascii="Times New Roman" w:hAnsi="Times New Roman"/>
                <w:lang w:val="lv-LV"/>
              </w:rPr>
              <w:t>. Iepazīstoties ar paziņojuma saturu pirmškietami var izdarīt secinājumu, ka 14.1.1.1.pasākums arī veicinās 2.stratēģiskajā prioritātē minēto darbību īstenošanu, piem., stimulēs padziļinātu digitālo prasmju attīstību</w:t>
            </w:r>
            <w:r w:rsidRPr="006B4188">
              <w:rPr>
                <w:rFonts w:ascii="Times New Roman" w:hAnsi="Times New Roman"/>
                <w:vertAlign w:val="superscript"/>
                <w:lang w:val="lv-LV"/>
              </w:rPr>
              <w:footnoteReference w:id="13"/>
            </w:r>
            <w:r w:rsidRPr="006B4188">
              <w:rPr>
                <w:rFonts w:ascii="Times New Roman" w:hAnsi="Times New Roman"/>
                <w:lang w:val="lv-LV"/>
              </w:rPr>
              <w:t>. Ņemot vērā iepriekš minēto, aicinām pārskatīt paziņojumā iekļautās darbības un attiecīgi papildināt anotāciju</w:t>
            </w:r>
            <w:r>
              <w:rPr>
                <w:rFonts w:ascii="Times New Roman" w:hAnsi="Times New Roman"/>
                <w:lang w:val="lv-LV"/>
              </w:rPr>
              <w:t>.</w:t>
            </w:r>
          </w:p>
        </w:tc>
        <w:tc>
          <w:tcPr>
            <w:tcW w:w="3119" w:type="dxa"/>
            <w:shd w:val="clear" w:color="auto" w:fill="auto"/>
          </w:tcPr>
          <w:p w:rsidR="006B4188" w:rsidRDefault="00E1452E"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6A3763" w:rsidRPr="0002494F" w:rsidRDefault="006A3763" w:rsidP="00E018FF">
            <w:pPr>
              <w:spacing w:after="0" w:line="240" w:lineRule="auto"/>
              <w:jc w:val="both"/>
              <w:rPr>
                <w:rFonts w:ascii="Times New Roman" w:eastAsia="Times New Roman" w:hAnsi="Times New Roman" w:cs="Times New Roman"/>
                <w:b/>
                <w:lang w:val="lv-LV" w:eastAsia="lv-LV"/>
              </w:rPr>
            </w:pPr>
          </w:p>
        </w:tc>
        <w:tc>
          <w:tcPr>
            <w:tcW w:w="3260" w:type="dxa"/>
          </w:tcPr>
          <w:p w:rsidR="000C030D" w:rsidRPr="000C030D" w:rsidRDefault="000C030D" w:rsidP="002E4E4F">
            <w:pPr>
              <w:pStyle w:val="tv2132"/>
              <w:spacing w:line="240" w:lineRule="auto"/>
              <w:ind w:firstLine="0"/>
              <w:contextualSpacing/>
              <w:jc w:val="both"/>
              <w:rPr>
                <w:rFonts w:cstheme="minorBidi"/>
                <w:b/>
                <w:color w:val="auto"/>
                <w:sz w:val="22"/>
                <w:szCs w:val="22"/>
                <w:lang w:val="lv-LV"/>
              </w:rPr>
            </w:pPr>
            <w:r w:rsidRPr="000C030D">
              <w:rPr>
                <w:rFonts w:cstheme="minorBidi"/>
                <w:b/>
                <w:color w:val="auto"/>
                <w:sz w:val="22"/>
                <w:szCs w:val="22"/>
                <w:lang w:val="lv-LV"/>
              </w:rPr>
              <w:t>Anotācija</w:t>
            </w:r>
          </w:p>
          <w:p w:rsidR="006B4188" w:rsidRPr="0002494F" w:rsidRDefault="000C030D" w:rsidP="00456ECB">
            <w:pPr>
              <w:pStyle w:val="tv2132"/>
              <w:spacing w:line="240" w:lineRule="auto"/>
              <w:ind w:firstLine="0"/>
              <w:contextualSpacing/>
              <w:jc w:val="both"/>
              <w:rPr>
                <w:rFonts w:cstheme="minorBidi"/>
                <w:color w:val="auto"/>
                <w:sz w:val="22"/>
                <w:szCs w:val="22"/>
                <w:lang w:val="lv-LV"/>
              </w:rPr>
            </w:pPr>
            <w:r w:rsidRPr="000C030D">
              <w:rPr>
                <w:rFonts w:cstheme="minorBidi"/>
                <w:color w:val="auto"/>
                <w:sz w:val="22"/>
                <w:szCs w:val="22"/>
                <w:lang w:val="lv-LV"/>
              </w:rPr>
              <w:t>14.1.1.1. pasākums "Digitalizācijas iniciatīvas studiju kvalitātes pilnveidei" (turpmāk – 14.1.1.1. pasākums) veicinās augstskolu digitālo transformāciju un vienmērīgu virzību uz Digitālās izglītības rīcības plāna 2021.-</w:t>
            </w:r>
            <w:r w:rsidRPr="000C030D">
              <w:rPr>
                <w:rFonts w:cstheme="minorBidi"/>
                <w:color w:val="auto"/>
                <w:sz w:val="22"/>
                <w:szCs w:val="22"/>
                <w:lang w:val="lv-LV"/>
              </w:rPr>
              <w:lastRenderedPageBreak/>
              <w:t xml:space="preserve">2027. gadam “Izglītības un apmācības pārveide digitālajam laikmetam” 1. stratēģisko prioritāti “Augstas veiktspējas digitālās izglītības ekosistēmas attīstības veicināšana”, </w:t>
            </w:r>
            <w:r w:rsidRPr="00314375">
              <w:rPr>
                <w:rFonts w:cstheme="minorBidi"/>
                <w:b/>
                <w:color w:val="auto"/>
                <w:sz w:val="22"/>
                <w:szCs w:val="22"/>
                <w:lang w:val="lv-LV"/>
              </w:rPr>
              <w:t>kā arī uz 2. stratēģisko prioritāti „Nostiprināt digitālās prasmes un kompetences, kas nepieciešamas digitalizācijas īstenošanai”.</w:t>
            </w:r>
          </w:p>
        </w:tc>
      </w:tr>
      <w:tr w:rsidR="006B4188" w:rsidRPr="0002494F" w:rsidTr="00F70E0C">
        <w:trPr>
          <w:trHeight w:val="274"/>
        </w:trPr>
        <w:tc>
          <w:tcPr>
            <w:tcW w:w="964" w:type="dxa"/>
            <w:shd w:val="clear" w:color="auto" w:fill="auto"/>
          </w:tcPr>
          <w:p w:rsidR="009A32F8" w:rsidRPr="0002494F"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49.</w:t>
            </w:r>
          </w:p>
        </w:tc>
        <w:tc>
          <w:tcPr>
            <w:tcW w:w="2575" w:type="dxa"/>
            <w:shd w:val="clear" w:color="auto" w:fill="auto"/>
          </w:tcPr>
          <w:p w:rsidR="006B4188" w:rsidRPr="0002494F" w:rsidRDefault="006B4188"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6B4188" w:rsidRDefault="006B4188" w:rsidP="006B4188">
            <w:pPr>
              <w:widowControl w:val="0"/>
              <w:spacing w:after="0" w:line="240" w:lineRule="auto"/>
              <w:jc w:val="both"/>
              <w:rPr>
                <w:rFonts w:ascii="Times New Roman" w:hAnsi="Times New Roman"/>
                <w:b/>
                <w:lang w:val="lv-LV"/>
              </w:rPr>
            </w:pPr>
            <w:r w:rsidRPr="006B4188">
              <w:rPr>
                <w:rFonts w:ascii="Times New Roman" w:hAnsi="Times New Roman"/>
                <w:b/>
                <w:lang w:val="lv-LV"/>
              </w:rPr>
              <w:t>Pārresoru koordinācijas centrs (</w:t>
            </w:r>
            <w:r>
              <w:rPr>
                <w:rFonts w:ascii="Times New Roman" w:hAnsi="Times New Roman"/>
                <w:b/>
                <w:lang w:val="lv-LV"/>
              </w:rPr>
              <w:t>4</w:t>
            </w:r>
            <w:r w:rsidRPr="006B4188">
              <w:rPr>
                <w:rFonts w:ascii="Times New Roman" w:hAnsi="Times New Roman"/>
                <w:b/>
                <w:lang w:val="lv-LV"/>
              </w:rPr>
              <w:t>.iebildums)</w:t>
            </w:r>
          </w:p>
          <w:p w:rsidR="006B4188" w:rsidRPr="006B4188" w:rsidRDefault="006B4188" w:rsidP="006B4188">
            <w:pPr>
              <w:widowControl w:val="0"/>
              <w:spacing w:after="0" w:line="240" w:lineRule="auto"/>
              <w:jc w:val="both"/>
              <w:rPr>
                <w:rFonts w:ascii="Times New Roman" w:hAnsi="Times New Roman"/>
                <w:lang w:val="lv-LV"/>
              </w:rPr>
            </w:pPr>
            <w:r w:rsidRPr="006B4188">
              <w:rPr>
                <w:rFonts w:ascii="Times New Roman" w:hAnsi="Times New Roman"/>
                <w:lang w:val="lv-LV"/>
              </w:rPr>
              <w:t>NAP2027 paredz</w:t>
            </w:r>
            <w:r w:rsidRPr="006B4188">
              <w:rPr>
                <w:rFonts w:ascii="Times New Roman" w:hAnsi="Times New Roman"/>
                <w:vertAlign w:val="superscript"/>
                <w:lang w:val="lv-LV"/>
              </w:rPr>
              <w:footnoteReference w:id="14"/>
            </w:r>
            <w:r w:rsidRPr="006B4188">
              <w:rPr>
                <w:rFonts w:ascii="Times New Roman" w:hAnsi="Times New Roman"/>
                <w:lang w:val="lv-LV"/>
              </w:rPr>
              <w:t xml:space="preserve"> virkni pasākumu digitālo prasmju attīstībai, lai mazināto digitālo plaisu sabiedrībā un uzlabotu digitālās prasmes dažādās sabiedrības grupās. NAP2027 pasākumi</w:t>
            </w:r>
            <w:r w:rsidRPr="006B4188">
              <w:rPr>
                <w:rFonts w:ascii="Times New Roman" w:hAnsi="Times New Roman"/>
                <w:vertAlign w:val="superscript"/>
                <w:lang w:val="lv-LV"/>
              </w:rPr>
              <w:footnoteReference w:id="15"/>
            </w:r>
            <w:r w:rsidRPr="006B4188">
              <w:rPr>
                <w:rFonts w:ascii="Times New Roman" w:hAnsi="Times New Roman"/>
                <w:lang w:val="lv-LV"/>
              </w:rPr>
              <w:t xml:space="preserve"> Nr.275 un Nr.406 paredz atbalstu digitālās transformācijas pārvaldībai (ESF), digitālo prasmju attīstīšanai (ESF), kā arī studiju modernizācijai un digitālo risinājumu ieviešanai augstākajā izglītībā (ERAFV). Ņemot vērā iepriekš minēto, lūdzam skaidrot, vai 14.1.1.1.pasākums būtu attiecināms uz NAP2027 paredzētajiem investīciju projektiem.</w:t>
            </w:r>
          </w:p>
        </w:tc>
        <w:tc>
          <w:tcPr>
            <w:tcW w:w="3119" w:type="dxa"/>
            <w:shd w:val="clear" w:color="auto" w:fill="auto"/>
          </w:tcPr>
          <w:p w:rsidR="000C030D" w:rsidRPr="000C030D" w:rsidRDefault="00D47164"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6B4188" w:rsidRDefault="000C030D" w:rsidP="00E018FF">
            <w:pPr>
              <w:spacing w:after="0" w:line="240" w:lineRule="auto"/>
              <w:jc w:val="both"/>
              <w:rPr>
                <w:rFonts w:ascii="Times New Roman" w:eastAsia="Times New Roman" w:hAnsi="Times New Roman" w:cs="Times New Roman"/>
                <w:lang w:val="lv-LV" w:eastAsia="lv-LV"/>
              </w:rPr>
            </w:pPr>
            <w:r w:rsidRPr="000C030D">
              <w:rPr>
                <w:rFonts w:ascii="Times New Roman" w:eastAsia="Times New Roman" w:hAnsi="Times New Roman" w:cs="Times New Roman"/>
                <w:lang w:val="lv-LV" w:eastAsia="lv-LV"/>
              </w:rPr>
              <w:t xml:space="preserve">Skaidrojam, ka </w:t>
            </w:r>
            <w:r>
              <w:rPr>
                <w:rFonts w:ascii="Times New Roman" w:eastAsia="Times New Roman" w:hAnsi="Times New Roman" w:cs="Times New Roman"/>
                <w:lang w:val="lv-LV" w:eastAsia="lv-LV"/>
              </w:rPr>
              <w:t xml:space="preserve">14.1.1.1. SAM pasākums nav attiecināms uz NAP2027 paredzētajiem investīciju projektiem, tā kā tas tiek īstenots ES fondu </w:t>
            </w:r>
            <w:r w:rsidR="00205EBE" w:rsidRPr="00205EBE">
              <w:rPr>
                <w:rFonts w:ascii="Times New Roman" w:eastAsia="Times New Roman" w:hAnsi="Times New Roman" w:cs="Times New Roman"/>
                <w:lang w:val="lv-LV" w:eastAsia="lv-LV"/>
              </w:rPr>
              <w:t xml:space="preserve">2014.-2020. gada </w:t>
            </w:r>
            <w:r>
              <w:rPr>
                <w:rFonts w:ascii="Times New Roman" w:eastAsia="Times New Roman" w:hAnsi="Times New Roman" w:cs="Times New Roman"/>
                <w:lang w:val="lv-LV" w:eastAsia="lv-LV"/>
              </w:rPr>
              <w:t>plānošanas perioda ietvaros</w:t>
            </w:r>
            <w:r w:rsidR="00D47164">
              <w:rPr>
                <w:rFonts w:ascii="Times New Roman" w:eastAsia="Times New Roman" w:hAnsi="Times New Roman" w:cs="Times New Roman"/>
                <w:lang w:val="lv-LV" w:eastAsia="lv-LV"/>
              </w:rPr>
              <w:t xml:space="preserve"> (REACT-EU finansējums)</w:t>
            </w:r>
            <w:r>
              <w:rPr>
                <w:rFonts w:ascii="Times New Roman" w:eastAsia="Times New Roman" w:hAnsi="Times New Roman" w:cs="Times New Roman"/>
                <w:lang w:val="lv-LV" w:eastAsia="lv-LV"/>
              </w:rPr>
              <w:t>.</w:t>
            </w:r>
          </w:p>
          <w:p w:rsidR="006F0390" w:rsidRPr="000C030D" w:rsidRDefault="006F0390" w:rsidP="00B028F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Vēršam uzmanību, ka 14.1.1.1.</w:t>
            </w:r>
            <w:r w:rsidR="00B028F9">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 xml:space="preserve">SAM pasākuma īstenošana beigsies 2023. gadā, savukārt ES fondu </w:t>
            </w:r>
            <w:r w:rsidR="00B028F9" w:rsidRPr="00B028F9">
              <w:rPr>
                <w:rFonts w:ascii="Times New Roman" w:eastAsia="Times New Roman" w:hAnsi="Times New Roman" w:cs="Times New Roman"/>
                <w:lang w:val="lv-LV" w:eastAsia="lv-LV"/>
              </w:rPr>
              <w:t>2021.-2027.</w:t>
            </w:r>
            <w:r w:rsidR="00B028F9">
              <w:rPr>
                <w:rFonts w:ascii="Times New Roman" w:eastAsia="Times New Roman" w:hAnsi="Times New Roman" w:cs="Times New Roman"/>
                <w:lang w:val="lv-LV" w:eastAsia="lv-LV"/>
              </w:rPr>
              <w:t xml:space="preserve"> </w:t>
            </w:r>
            <w:r w:rsidR="00B028F9" w:rsidRPr="00B028F9">
              <w:rPr>
                <w:rFonts w:ascii="Times New Roman" w:eastAsia="Times New Roman" w:hAnsi="Times New Roman" w:cs="Times New Roman"/>
                <w:lang w:val="lv-LV" w:eastAsia="lv-LV"/>
              </w:rPr>
              <w:t xml:space="preserve">gada </w:t>
            </w:r>
            <w:r>
              <w:rPr>
                <w:rFonts w:ascii="Times New Roman" w:eastAsia="Times New Roman" w:hAnsi="Times New Roman" w:cs="Times New Roman"/>
                <w:lang w:val="lv-LV" w:eastAsia="lv-LV"/>
              </w:rPr>
              <w:t>plānošanas perioda ietvaros jauno projektu, kas saistīti ar studiju procesa digitalizāciju, īstenošanu plānots uzsākt ne ātrāk kā 2024. gadā.</w:t>
            </w:r>
          </w:p>
        </w:tc>
        <w:tc>
          <w:tcPr>
            <w:tcW w:w="3260" w:type="dxa"/>
          </w:tcPr>
          <w:p w:rsidR="006B4188" w:rsidRPr="0002494F" w:rsidRDefault="006B4188" w:rsidP="002E4E4F">
            <w:pPr>
              <w:pStyle w:val="tv2132"/>
              <w:spacing w:line="240" w:lineRule="auto"/>
              <w:ind w:firstLine="0"/>
              <w:contextualSpacing/>
              <w:jc w:val="both"/>
              <w:rPr>
                <w:rFonts w:cstheme="minorBidi"/>
                <w:color w:val="auto"/>
                <w:sz w:val="22"/>
                <w:szCs w:val="22"/>
                <w:lang w:val="lv-LV"/>
              </w:rPr>
            </w:pPr>
          </w:p>
        </w:tc>
      </w:tr>
      <w:tr w:rsidR="00C51844" w:rsidRPr="0002494F" w:rsidTr="00F70E0C">
        <w:trPr>
          <w:trHeight w:val="274"/>
        </w:trPr>
        <w:tc>
          <w:tcPr>
            <w:tcW w:w="964" w:type="dxa"/>
            <w:shd w:val="clear" w:color="auto" w:fill="auto"/>
          </w:tcPr>
          <w:p w:rsidR="00C51844"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50.</w:t>
            </w:r>
          </w:p>
        </w:tc>
        <w:tc>
          <w:tcPr>
            <w:tcW w:w="2575" w:type="dxa"/>
            <w:shd w:val="clear" w:color="auto" w:fill="auto"/>
          </w:tcPr>
          <w:p w:rsidR="00C51844" w:rsidRPr="0002494F" w:rsidRDefault="00C51844"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51844" w:rsidRPr="00C66AEF" w:rsidRDefault="00C51844" w:rsidP="006B4188">
            <w:pPr>
              <w:widowControl w:val="0"/>
              <w:spacing w:after="0" w:line="240" w:lineRule="auto"/>
              <w:jc w:val="both"/>
              <w:rPr>
                <w:rFonts w:ascii="Times New Roman" w:hAnsi="Times New Roman"/>
                <w:b/>
                <w:lang w:val="lv-LV"/>
              </w:rPr>
            </w:pPr>
            <w:r w:rsidRPr="00C66AEF">
              <w:rPr>
                <w:rFonts w:ascii="Times New Roman" w:hAnsi="Times New Roman"/>
                <w:b/>
                <w:lang w:val="lv-LV"/>
              </w:rPr>
              <w:t>Tieslietu ministrija (1. iebildums)</w:t>
            </w:r>
          </w:p>
          <w:p w:rsidR="00760C90" w:rsidRPr="00C66AEF" w:rsidRDefault="00760C90" w:rsidP="006B4188">
            <w:pPr>
              <w:widowControl w:val="0"/>
              <w:spacing w:after="0" w:line="240" w:lineRule="auto"/>
              <w:jc w:val="both"/>
              <w:rPr>
                <w:rFonts w:ascii="Times New Roman" w:hAnsi="Times New Roman"/>
                <w:lang w:val="lv-LV"/>
              </w:rPr>
            </w:pPr>
            <w:r w:rsidRPr="00C66AEF">
              <w:rPr>
                <w:rFonts w:ascii="Times New Roman" w:hAnsi="Times New Roman"/>
                <w:lang w:val="lv-LV"/>
              </w:rPr>
              <w:t xml:space="preserve">Lūdzam visā noteikumu projektā izvērtēt pieturzīmes iekavas lietojumu. Iekavu lietošana var padarīt tiesību normu neskaidru un apgrūtināt tās viennozīmīgu </w:t>
            </w:r>
            <w:r w:rsidRPr="00C66AEF">
              <w:rPr>
                <w:rFonts w:ascii="Times New Roman" w:hAnsi="Times New Roman"/>
                <w:lang w:val="lv-LV"/>
              </w:rPr>
              <w:lastRenderedPageBreak/>
              <w:t>uztveri. Norādām, ka iekavās ietvertais teksts var ne tikai padarīt tiesību aktu neskaidru, bet var arī sašaurināt vai paplašināt normas tvērumu.</w:t>
            </w:r>
          </w:p>
        </w:tc>
        <w:tc>
          <w:tcPr>
            <w:tcW w:w="3119" w:type="dxa"/>
            <w:shd w:val="clear" w:color="auto" w:fill="auto"/>
          </w:tcPr>
          <w:p w:rsidR="00C51844" w:rsidRDefault="00C51844"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872511" w:rsidRPr="00872511" w:rsidRDefault="00872511" w:rsidP="00E018FF">
            <w:pPr>
              <w:spacing w:after="0" w:line="240" w:lineRule="auto"/>
              <w:jc w:val="both"/>
              <w:rPr>
                <w:rFonts w:ascii="Times New Roman" w:eastAsia="Times New Roman" w:hAnsi="Times New Roman" w:cs="Times New Roman"/>
                <w:lang w:val="lv-LV" w:eastAsia="lv-LV"/>
              </w:rPr>
            </w:pPr>
            <w:r w:rsidRPr="00872511">
              <w:rPr>
                <w:rFonts w:ascii="Times New Roman" w:eastAsia="Times New Roman" w:hAnsi="Times New Roman" w:cs="Times New Roman"/>
                <w:lang w:val="lv-LV" w:eastAsia="lv-LV"/>
              </w:rPr>
              <w:t>Noteikumu projektā pārskatīts un precizēts iekavu lietojums.</w:t>
            </w:r>
          </w:p>
        </w:tc>
        <w:tc>
          <w:tcPr>
            <w:tcW w:w="3260" w:type="dxa"/>
          </w:tcPr>
          <w:p w:rsidR="00C51844" w:rsidRPr="0002494F" w:rsidRDefault="00872511" w:rsidP="009C6CCB">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Sk</w:t>
            </w:r>
            <w:r w:rsidR="009C6CCB">
              <w:rPr>
                <w:rFonts w:cstheme="minorBidi"/>
                <w:color w:val="auto"/>
                <w:sz w:val="22"/>
                <w:szCs w:val="22"/>
                <w:lang w:val="lv-LV"/>
              </w:rPr>
              <w:t xml:space="preserve">. </w:t>
            </w:r>
            <w:r>
              <w:rPr>
                <w:rFonts w:cstheme="minorBidi"/>
                <w:color w:val="auto"/>
                <w:sz w:val="22"/>
                <w:szCs w:val="22"/>
                <w:lang w:val="lv-LV"/>
              </w:rPr>
              <w:t>precizēto noteikumu projektu.</w:t>
            </w:r>
          </w:p>
        </w:tc>
      </w:tr>
      <w:tr w:rsidR="00C51844" w:rsidRPr="0002494F" w:rsidTr="00F70E0C">
        <w:trPr>
          <w:trHeight w:val="274"/>
        </w:trPr>
        <w:tc>
          <w:tcPr>
            <w:tcW w:w="964" w:type="dxa"/>
            <w:shd w:val="clear" w:color="auto" w:fill="auto"/>
          </w:tcPr>
          <w:p w:rsidR="00C51844"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51.</w:t>
            </w:r>
          </w:p>
        </w:tc>
        <w:tc>
          <w:tcPr>
            <w:tcW w:w="2575" w:type="dxa"/>
            <w:shd w:val="clear" w:color="auto" w:fill="auto"/>
          </w:tcPr>
          <w:p w:rsidR="00C51844" w:rsidRPr="0002494F" w:rsidRDefault="00C51844"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C51844" w:rsidRPr="00C66AEF" w:rsidRDefault="00C51844" w:rsidP="00C51844">
            <w:pPr>
              <w:widowControl w:val="0"/>
              <w:spacing w:after="0" w:line="240" w:lineRule="auto"/>
              <w:jc w:val="both"/>
              <w:rPr>
                <w:rFonts w:ascii="Times New Roman" w:hAnsi="Times New Roman"/>
                <w:b/>
                <w:lang w:val="lv-LV"/>
              </w:rPr>
            </w:pPr>
            <w:r w:rsidRPr="00C66AEF">
              <w:rPr>
                <w:rFonts w:ascii="Times New Roman" w:hAnsi="Times New Roman"/>
                <w:b/>
                <w:lang w:val="lv-LV"/>
              </w:rPr>
              <w:t>Tieslietu ministrija (2. iebildums)</w:t>
            </w:r>
          </w:p>
          <w:p w:rsidR="00760C90" w:rsidRPr="00C66AEF" w:rsidRDefault="00760C90" w:rsidP="00C51844">
            <w:pPr>
              <w:widowControl w:val="0"/>
              <w:spacing w:after="0" w:line="240" w:lineRule="auto"/>
              <w:jc w:val="both"/>
              <w:rPr>
                <w:rFonts w:ascii="Times New Roman" w:hAnsi="Times New Roman"/>
                <w:lang w:val="lv-LV"/>
              </w:rPr>
            </w:pPr>
            <w:r w:rsidRPr="00C66AEF">
              <w:rPr>
                <w:rFonts w:ascii="Times New Roman" w:hAnsi="Times New Roman"/>
                <w:lang w:val="lv-LV"/>
              </w:rPr>
              <w:t>Vēršam uzmanību, ka noteikumu projekta anotāciju nepieciešams aizpildīt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noteikumu projekta normas ir pārņemtas atbilstoši noteikumu projektā norādītajiem Eiropas Savienības tiesību aktiem. Ņemot vērā minēto, lūdzam precizēt noteikumu projekta anotāciju, jo Tieslietu ministrija varēs sniegt precīzu izvērtējumu par noteikumu projekta atbilstību minētajiem Eiropas Savienības tiesību aktiem pēc anotācijas V sadaļas, jo īpaši tās 1. tabulas, aizpildīšanas.</w:t>
            </w:r>
          </w:p>
        </w:tc>
        <w:tc>
          <w:tcPr>
            <w:tcW w:w="3119" w:type="dxa"/>
            <w:shd w:val="clear" w:color="auto" w:fill="auto"/>
          </w:tcPr>
          <w:p w:rsidR="00C51844" w:rsidRDefault="00C51844"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6E2712" w:rsidRPr="005D6408" w:rsidRDefault="006E2712" w:rsidP="00E018FF">
            <w:pPr>
              <w:spacing w:after="0" w:line="240" w:lineRule="auto"/>
              <w:jc w:val="both"/>
              <w:rPr>
                <w:rFonts w:ascii="Times New Roman" w:eastAsia="Times New Roman" w:hAnsi="Times New Roman" w:cs="Times New Roman"/>
                <w:lang w:val="lv-LV" w:eastAsia="lv-LV"/>
              </w:rPr>
            </w:pPr>
            <w:r w:rsidRPr="005D6408">
              <w:rPr>
                <w:rFonts w:ascii="Times New Roman" w:eastAsia="Times New Roman" w:hAnsi="Times New Roman" w:cs="Times New Roman"/>
                <w:lang w:val="lv-LV" w:eastAsia="lv-LV"/>
              </w:rPr>
              <w:t xml:space="preserve">Skaidrojam, ka no noteikumu projekta tika </w:t>
            </w:r>
            <w:r w:rsidR="005451C6" w:rsidRPr="005D6408">
              <w:rPr>
                <w:rFonts w:ascii="Times New Roman" w:eastAsia="Times New Roman" w:hAnsi="Times New Roman" w:cs="Times New Roman"/>
                <w:lang w:val="lv-LV" w:eastAsia="lv-LV"/>
              </w:rPr>
              <w:t>svītrots</w:t>
            </w:r>
            <w:r w:rsidRPr="005D6408">
              <w:rPr>
                <w:rFonts w:ascii="Times New Roman" w:eastAsia="Times New Roman" w:hAnsi="Times New Roman" w:cs="Times New Roman"/>
                <w:lang w:val="lv-LV" w:eastAsia="lv-LV"/>
              </w:rPr>
              <w:t xml:space="preserve"> 2.2. punkts, kurā bija atsauce uz</w:t>
            </w:r>
            <w:r w:rsidR="005D6408" w:rsidRPr="005D6408">
              <w:rPr>
                <w:rFonts w:ascii="Times New Roman" w:eastAsia="Times New Roman" w:hAnsi="Times New Roman" w:cs="Times New Roman"/>
                <w:lang w:val="lv-LV" w:eastAsia="lv-LV"/>
              </w:rPr>
              <w:t xml:space="preserve"> Līguma par Eiropas savienības darbību 107.panta 1.punktu</w:t>
            </w:r>
            <w:r w:rsidRPr="005D6408">
              <w:rPr>
                <w:rFonts w:ascii="Times New Roman" w:eastAsia="Times New Roman" w:hAnsi="Times New Roman" w:cs="Times New Roman"/>
                <w:lang w:val="lv-LV" w:eastAsia="lv-LV"/>
              </w:rPr>
              <w:t>.</w:t>
            </w:r>
          </w:p>
          <w:p w:rsidR="006E2712" w:rsidRDefault="006E2712" w:rsidP="00F70E0C">
            <w:pPr>
              <w:spacing w:after="0" w:line="240" w:lineRule="auto"/>
              <w:jc w:val="both"/>
              <w:rPr>
                <w:rFonts w:ascii="Times New Roman" w:eastAsia="Times New Roman" w:hAnsi="Times New Roman" w:cs="Times New Roman"/>
                <w:b/>
                <w:lang w:val="lv-LV" w:eastAsia="lv-LV"/>
              </w:rPr>
            </w:pPr>
            <w:r w:rsidRPr="005D6408">
              <w:rPr>
                <w:rFonts w:ascii="Times New Roman" w:eastAsia="Times New Roman" w:hAnsi="Times New Roman" w:cs="Times New Roman"/>
                <w:lang w:val="lv-LV" w:eastAsia="lv-LV"/>
              </w:rPr>
              <w:t xml:space="preserve">Līdz ar to anotācijas </w:t>
            </w:r>
            <w:r w:rsidR="005D6408" w:rsidRPr="005D6408">
              <w:rPr>
                <w:rFonts w:ascii="Times New Roman" w:eastAsia="Times New Roman" w:hAnsi="Times New Roman" w:cs="Times New Roman"/>
                <w:lang w:val="lv-LV" w:eastAsia="lv-LV"/>
              </w:rPr>
              <w:t xml:space="preserve">V sadaļas </w:t>
            </w:r>
            <w:r w:rsidRPr="005D6408">
              <w:rPr>
                <w:rFonts w:ascii="Times New Roman" w:eastAsia="Times New Roman" w:hAnsi="Times New Roman" w:cs="Times New Roman"/>
                <w:lang w:val="lv-LV" w:eastAsia="lv-LV"/>
              </w:rPr>
              <w:t>1.tabulā ir iekļaut</w:t>
            </w:r>
            <w:r w:rsidR="005D6408" w:rsidRPr="005D6408">
              <w:rPr>
                <w:rFonts w:ascii="Times New Roman" w:eastAsia="Times New Roman" w:hAnsi="Times New Roman" w:cs="Times New Roman"/>
                <w:lang w:val="lv-LV" w:eastAsia="lv-LV"/>
              </w:rPr>
              <w:t>a visa nepieciešamā informācija</w:t>
            </w:r>
            <w:r w:rsidR="005D6408">
              <w:rPr>
                <w:rFonts w:ascii="Times New Roman" w:eastAsia="Times New Roman" w:hAnsi="Times New Roman" w:cs="Times New Roman"/>
                <w:lang w:val="lv-LV" w:eastAsia="lv-LV"/>
              </w:rPr>
              <w:t>.</w:t>
            </w:r>
            <w:r>
              <w:rPr>
                <w:rFonts w:ascii="Times New Roman" w:eastAsia="Times New Roman" w:hAnsi="Times New Roman" w:cs="Times New Roman"/>
                <w:b/>
                <w:lang w:val="lv-LV" w:eastAsia="lv-LV"/>
              </w:rPr>
              <w:t xml:space="preserve"> </w:t>
            </w:r>
          </w:p>
        </w:tc>
        <w:tc>
          <w:tcPr>
            <w:tcW w:w="3260" w:type="dxa"/>
          </w:tcPr>
          <w:p w:rsidR="00C51844" w:rsidRPr="0002494F" w:rsidRDefault="00C51844" w:rsidP="002E4E4F">
            <w:pPr>
              <w:pStyle w:val="tv2132"/>
              <w:spacing w:line="240" w:lineRule="auto"/>
              <w:ind w:firstLine="0"/>
              <w:contextualSpacing/>
              <w:jc w:val="both"/>
              <w:rPr>
                <w:rFonts w:cstheme="minorBidi"/>
                <w:color w:val="auto"/>
                <w:sz w:val="22"/>
                <w:szCs w:val="22"/>
                <w:lang w:val="lv-LV"/>
              </w:rPr>
            </w:pPr>
          </w:p>
        </w:tc>
      </w:tr>
      <w:tr w:rsidR="00EA4B36" w:rsidRPr="0002494F" w:rsidTr="00F70E0C">
        <w:trPr>
          <w:trHeight w:val="274"/>
        </w:trPr>
        <w:tc>
          <w:tcPr>
            <w:tcW w:w="964" w:type="dxa"/>
            <w:shd w:val="clear" w:color="auto" w:fill="auto"/>
          </w:tcPr>
          <w:p w:rsidR="00EA4B36"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52.</w:t>
            </w:r>
          </w:p>
        </w:tc>
        <w:tc>
          <w:tcPr>
            <w:tcW w:w="2575" w:type="dxa"/>
            <w:shd w:val="clear" w:color="auto" w:fill="auto"/>
          </w:tcPr>
          <w:p w:rsidR="00EA4B36" w:rsidRPr="0002494F" w:rsidRDefault="00EA4B36"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9901F5" w:rsidRPr="00C66AEF" w:rsidRDefault="00EA4B36" w:rsidP="00C51844">
            <w:pPr>
              <w:widowControl w:val="0"/>
              <w:spacing w:after="0" w:line="240" w:lineRule="auto"/>
              <w:jc w:val="both"/>
              <w:rPr>
                <w:rFonts w:ascii="Times New Roman" w:hAnsi="Times New Roman"/>
                <w:b/>
                <w:lang w:val="lv-LV"/>
              </w:rPr>
            </w:pPr>
            <w:r w:rsidRPr="00C66AEF">
              <w:rPr>
                <w:rFonts w:ascii="Times New Roman" w:hAnsi="Times New Roman"/>
                <w:b/>
                <w:lang w:val="lv-LV"/>
              </w:rPr>
              <w:t>Finanšu ministrija</w:t>
            </w:r>
          </w:p>
          <w:p w:rsidR="00EA4B36" w:rsidRPr="00C66AEF" w:rsidRDefault="00EA4B36" w:rsidP="00C51844">
            <w:pPr>
              <w:widowControl w:val="0"/>
              <w:spacing w:after="0" w:line="240" w:lineRule="auto"/>
              <w:jc w:val="both"/>
              <w:rPr>
                <w:rFonts w:ascii="Times New Roman" w:hAnsi="Times New Roman"/>
                <w:b/>
                <w:lang w:val="lv-LV"/>
              </w:rPr>
            </w:pPr>
            <w:r w:rsidRPr="00C66AEF">
              <w:rPr>
                <w:rFonts w:ascii="Times New Roman" w:hAnsi="Times New Roman"/>
                <w:b/>
                <w:lang w:val="lv-LV"/>
              </w:rPr>
              <w:t>19.oktobra elektroniskās saskaņošanas laikā izteiktais iebildums</w:t>
            </w:r>
          </w:p>
          <w:p w:rsidR="00EA4B36" w:rsidRPr="00C66AEF" w:rsidRDefault="00EA4B36" w:rsidP="00C51844">
            <w:pPr>
              <w:widowControl w:val="0"/>
              <w:spacing w:after="0" w:line="240" w:lineRule="auto"/>
              <w:jc w:val="both"/>
              <w:rPr>
                <w:rFonts w:ascii="Times New Roman" w:hAnsi="Times New Roman"/>
                <w:b/>
                <w:lang w:val="lv-LV"/>
              </w:rPr>
            </w:pPr>
            <w:r w:rsidRPr="00C66AEF">
              <w:rPr>
                <w:rFonts w:ascii="Times New Roman" w:eastAsia="Times New Roman" w:hAnsi="Times New Roman" w:cs="Times New Roman"/>
                <w:lang w:val="lv-LV"/>
              </w:rPr>
              <w:t xml:space="preserve">Lūdzam papildināt noteikumu projekta I.nodaļu “Vispārīgie jautājumi” ar jaunu punktu, kas nosaka, ka 14.1.1.1.pasākums “Digitalizācijas iniciatīvas studiju kvalitātes pilnveidei” (turpmāk – 14.1.1.1.pasākums) tiek īstenots ciešā </w:t>
            </w:r>
            <w:r w:rsidRPr="00C66AEF">
              <w:rPr>
                <w:rFonts w:ascii="Times New Roman" w:eastAsia="Times New Roman" w:hAnsi="Times New Roman" w:cs="Times New Roman"/>
                <w:lang w:val="lv-LV"/>
              </w:rPr>
              <w:lastRenderedPageBreak/>
              <w:t>sasaistē ar 8.2.3.specifisko atbalsta mērķi “Nodrošināt labāku pārvaldību augstākās izglītības institūcijās” (turpmāk – 8.2.3.SAM).</w:t>
            </w:r>
          </w:p>
        </w:tc>
        <w:tc>
          <w:tcPr>
            <w:tcW w:w="3119" w:type="dxa"/>
            <w:shd w:val="clear" w:color="auto" w:fill="auto"/>
          </w:tcPr>
          <w:p w:rsidR="00EA4B36" w:rsidRDefault="00EA4B36"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tc>
        <w:tc>
          <w:tcPr>
            <w:tcW w:w="3260" w:type="dxa"/>
          </w:tcPr>
          <w:p w:rsidR="00EA4B36" w:rsidRPr="0002494F" w:rsidRDefault="00B61645" w:rsidP="005D6408">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 xml:space="preserve">33. </w:t>
            </w:r>
            <w:r w:rsidR="00D83021" w:rsidRPr="00D83021">
              <w:rPr>
                <w:rFonts w:cstheme="minorBidi"/>
                <w:color w:val="auto"/>
                <w:sz w:val="22"/>
                <w:szCs w:val="22"/>
                <w:lang w:val="lv-LV"/>
              </w:rPr>
              <w:t>14.1.1.1. pasākums ti</w:t>
            </w:r>
            <w:r w:rsidR="001042AC">
              <w:rPr>
                <w:rFonts w:cstheme="minorBidi"/>
                <w:color w:val="auto"/>
                <w:sz w:val="22"/>
                <w:szCs w:val="22"/>
                <w:lang w:val="lv-LV"/>
              </w:rPr>
              <w:t>ek</w:t>
            </w:r>
            <w:r w:rsidR="00D83021" w:rsidRPr="00D83021">
              <w:rPr>
                <w:rFonts w:cstheme="minorBidi"/>
                <w:color w:val="auto"/>
                <w:sz w:val="22"/>
                <w:szCs w:val="22"/>
                <w:lang w:val="lv-LV"/>
              </w:rPr>
              <w:t xml:space="preserve"> īstenots ciešā sasaistītē ar </w:t>
            </w:r>
            <w:r w:rsidR="005D6408">
              <w:rPr>
                <w:rFonts w:cstheme="minorBidi"/>
                <w:color w:val="auto"/>
                <w:sz w:val="22"/>
                <w:szCs w:val="22"/>
                <w:lang w:val="lv-LV"/>
              </w:rPr>
              <w:t xml:space="preserve">darbības programmas „Izaugsme un nodarbinātība” </w:t>
            </w:r>
            <w:r w:rsidR="00D83021" w:rsidRPr="00D83021">
              <w:rPr>
                <w:rFonts w:cstheme="minorBidi"/>
                <w:color w:val="auto"/>
                <w:sz w:val="22"/>
                <w:szCs w:val="22"/>
                <w:lang w:val="lv-LV"/>
              </w:rPr>
              <w:t>8.2.3. specifisko atbalsta mērķi “Nodrošināt labāku pārvaldību augstākās izglītības institūcijās”</w:t>
            </w:r>
            <w:r w:rsidR="00D83021">
              <w:rPr>
                <w:rFonts w:cstheme="minorBidi"/>
                <w:color w:val="auto"/>
                <w:sz w:val="22"/>
                <w:szCs w:val="22"/>
                <w:lang w:val="lv-LV"/>
              </w:rPr>
              <w:t>.</w:t>
            </w:r>
            <w:r w:rsidR="00D83021" w:rsidRPr="00D83021">
              <w:rPr>
                <w:rFonts w:cstheme="minorBidi"/>
                <w:color w:val="auto"/>
                <w:sz w:val="22"/>
                <w:szCs w:val="22"/>
                <w:lang w:val="lv-LV"/>
              </w:rPr>
              <w:t xml:space="preserve"> </w:t>
            </w:r>
          </w:p>
        </w:tc>
      </w:tr>
      <w:tr w:rsidR="00EA4B36" w:rsidRPr="0002494F" w:rsidTr="00F70E0C">
        <w:trPr>
          <w:trHeight w:val="274"/>
        </w:trPr>
        <w:tc>
          <w:tcPr>
            <w:tcW w:w="964" w:type="dxa"/>
            <w:shd w:val="clear" w:color="auto" w:fill="auto"/>
          </w:tcPr>
          <w:p w:rsidR="00EA4B36"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53.</w:t>
            </w:r>
          </w:p>
        </w:tc>
        <w:tc>
          <w:tcPr>
            <w:tcW w:w="2575" w:type="dxa"/>
            <w:shd w:val="clear" w:color="auto" w:fill="auto"/>
          </w:tcPr>
          <w:p w:rsidR="00EA4B36" w:rsidRPr="0002494F" w:rsidRDefault="00EA4B36"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9901F5" w:rsidRPr="00C66AEF" w:rsidRDefault="00EA4B36" w:rsidP="00EA4B36">
            <w:pPr>
              <w:widowControl w:val="0"/>
              <w:spacing w:after="0" w:line="240" w:lineRule="auto"/>
              <w:jc w:val="both"/>
              <w:rPr>
                <w:rFonts w:ascii="Times New Roman" w:hAnsi="Times New Roman"/>
                <w:b/>
                <w:lang w:val="lv-LV"/>
              </w:rPr>
            </w:pPr>
            <w:r w:rsidRPr="00C66AEF">
              <w:rPr>
                <w:rFonts w:ascii="Times New Roman" w:hAnsi="Times New Roman"/>
                <w:b/>
                <w:lang w:val="lv-LV"/>
              </w:rPr>
              <w:t>Finanšu ministrija</w:t>
            </w:r>
          </w:p>
          <w:p w:rsidR="00EA4B36" w:rsidRPr="00C66AEF" w:rsidRDefault="00EA4B36" w:rsidP="00EA4B36">
            <w:pPr>
              <w:widowControl w:val="0"/>
              <w:spacing w:after="0" w:line="240" w:lineRule="auto"/>
              <w:jc w:val="both"/>
              <w:rPr>
                <w:rFonts w:ascii="Times New Roman" w:hAnsi="Times New Roman"/>
                <w:b/>
                <w:lang w:val="lv-LV"/>
              </w:rPr>
            </w:pPr>
            <w:r w:rsidRPr="00C66AEF">
              <w:rPr>
                <w:rFonts w:ascii="Times New Roman" w:hAnsi="Times New Roman"/>
                <w:b/>
                <w:lang w:val="lv-LV"/>
              </w:rPr>
              <w:t>19.oktobra elektroniskās saskaņošanas laikā izteiktais iebildums</w:t>
            </w:r>
          </w:p>
          <w:p w:rsidR="00EA4B36" w:rsidRPr="00C66AEF" w:rsidRDefault="00EA4B36" w:rsidP="00C51844">
            <w:pPr>
              <w:widowControl w:val="0"/>
              <w:spacing w:after="0" w:line="240" w:lineRule="auto"/>
              <w:jc w:val="both"/>
              <w:rPr>
                <w:rFonts w:ascii="Times New Roman" w:hAnsi="Times New Roman"/>
                <w:b/>
                <w:lang w:val="lv-LV"/>
              </w:rPr>
            </w:pPr>
            <w:r w:rsidRPr="00C66AEF">
              <w:rPr>
                <w:rFonts w:ascii="Times New Roman" w:eastAsia="Times New Roman" w:hAnsi="Times New Roman" w:cs="Times New Roman"/>
                <w:lang w:val="lv-LV"/>
              </w:rPr>
              <w:t>Ievērojot to, ka 14.1.1.1.pasākums ir vērsts uz izglītības darbībām nevis pētniecības darbībām (skat. noteikumu projekta 17.punktu), nav skaidrs, kāpēc noteikumu projektā ir ietverts 2.2.2.apakšpunkts. Attiecīgi lūdzam to dzēst.</w:t>
            </w:r>
          </w:p>
        </w:tc>
        <w:tc>
          <w:tcPr>
            <w:tcW w:w="3119" w:type="dxa"/>
            <w:shd w:val="clear" w:color="auto" w:fill="auto"/>
          </w:tcPr>
          <w:p w:rsidR="00EA4B36" w:rsidRDefault="00EA4B36"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C75B2B" w:rsidRPr="00C75B2B" w:rsidRDefault="00C75B2B" w:rsidP="005451C6">
            <w:pPr>
              <w:spacing w:after="0" w:line="240" w:lineRule="auto"/>
              <w:jc w:val="both"/>
              <w:rPr>
                <w:rFonts w:ascii="Times New Roman" w:eastAsia="Times New Roman" w:hAnsi="Times New Roman" w:cs="Times New Roman"/>
                <w:lang w:val="lv-LV" w:eastAsia="lv-LV"/>
              </w:rPr>
            </w:pPr>
            <w:r w:rsidRPr="00C75B2B">
              <w:rPr>
                <w:rFonts w:ascii="Times New Roman" w:eastAsia="Times New Roman" w:hAnsi="Times New Roman" w:cs="Times New Roman"/>
                <w:lang w:val="lv-LV" w:eastAsia="lv-LV"/>
              </w:rPr>
              <w:t xml:space="preserve">2.2. apakšpunkts </w:t>
            </w:r>
            <w:r w:rsidR="005451C6">
              <w:rPr>
                <w:rFonts w:ascii="Times New Roman" w:eastAsia="Times New Roman" w:hAnsi="Times New Roman" w:cs="Times New Roman"/>
                <w:lang w:val="lv-LV" w:eastAsia="lv-LV"/>
              </w:rPr>
              <w:t>svītrots</w:t>
            </w:r>
            <w:r w:rsidRPr="00C75B2B">
              <w:rPr>
                <w:rFonts w:ascii="Times New Roman" w:eastAsia="Times New Roman" w:hAnsi="Times New Roman" w:cs="Times New Roman"/>
                <w:lang w:val="lv-LV" w:eastAsia="lv-LV"/>
              </w:rPr>
              <w:t xml:space="preserve">, tā kā </w:t>
            </w:r>
            <w:r>
              <w:rPr>
                <w:rFonts w:ascii="Times New Roman" w:eastAsia="Times New Roman" w:hAnsi="Times New Roman" w:cs="Times New Roman"/>
                <w:lang w:val="lv-LV" w:eastAsia="lv-LV"/>
              </w:rPr>
              <w:t>noteikumu projektā vairs netiek ietverts termins „darbība, kurai nav saimnieciska rakstura”.</w:t>
            </w:r>
          </w:p>
        </w:tc>
        <w:tc>
          <w:tcPr>
            <w:tcW w:w="3260" w:type="dxa"/>
          </w:tcPr>
          <w:p w:rsidR="00EA4B36" w:rsidRPr="0002494F" w:rsidRDefault="00EA4B36" w:rsidP="002E4E4F">
            <w:pPr>
              <w:pStyle w:val="tv2132"/>
              <w:spacing w:line="240" w:lineRule="auto"/>
              <w:ind w:firstLine="0"/>
              <w:contextualSpacing/>
              <w:jc w:val="both"/>
              <w:rPr>
                <w:rFonts w:cstheme="minorBidi"/>
                <w:color w:val="auto"/>
                <w:sz w:val="22"/>
                <w:szCs w:val="22"/>
                <w:lang w:val="lv-LV"/>
              </w:rPr>
            </w:pPr>
          </w:p>
        </w:tc>
      </w:tr>
      <w:tr w:rsidR="00EA4B36" w:rsidRPr="0002494F" w:rsidTr="00F70E0C">
        <w:trPr>
          <w:trHeight w:val="274"/>
        </w:trPr>
        <w:tc>
          <w:tcPr>
            <w:tcW w:w="964" w:type="dxa"/>
            <w:shd w:val="clear" w:color="auto" w:fill="auto"/>
          </w:tcPr>
          <w:p w:rsidR="00EA4B36" w:rsidRDefault="009A32F8" w:rsidP="000A6480">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54.</w:t>
            </w:r>
          </w:p>
        </w:tc>
        <w:tc>
          <w:tcPr>
            <w:tcW w:w="2575" w:type="dxa"/>
            <w:shd w:val="clear" w:color="auto" w:fill="auto"/>
          </w:tcPr>
          <w:p w:rsidR="00EA4B36" w:rsidRPr="0002494F" w:rsidRDefault="00B61645" w:rsidP="00B61645">
            <w:pPr>
              <w:pStyle w:val="tv2132"/>
              <w:spacing w:line="240" w:lineRule="auto"/>
              <w:ind w:firstLine="0"/>
              <w:contextualSpacing/>
              <w:jc w:val="both"/>
              <w:rPr>
                <w:rFonts w:cstheme="minorBidi"/>
                <w:color w:val="auto"/>
                <w:sz w:val="22"/>
                <w:szCs w:val="22"/>
                <w:lang w:val="lv-LV"/>
              </w:rPr>
            </w:pPr>
            <w:r w:rsidRPr="00B61645">
              <w:rPr>
                <w:rFonts w:cstheme="minorBidi"/>
                <w:color w:val="auto"/>
                <w:sz w:val="22"/>
                <w:szCs w:val="22"/>
                <w:lang w:val="lv-LV"/>
              </w:rPr>
              <w:t>20.3. iekšzemes komandējumu un darba braucienu izmaksas projekta vadības personālam šo noteikumu 17.</w:t>
            </w:r>
            <w:r>
              <w:rPr>
                <w:rFonts w:cstheme="minorBidi"/>
                <w:color w:val="auto"/>
                <w:sz w:val="22"/>
                <w:szCs w:val="22"/>
                <w:lang w:val="lv-LV"/>
              </w:rPr>
              <w:t>4</w:t>
            </w:r>
            <w:r w:rsidRPr="00B61645">
              <w:rPr>
                <w:rFonts w:cstheme="minorBidi"/>
                <w:color w:val="auto"/>
                <w:sz w:val="22"/>
                <w:szCs w:val="22"/>
                <w:lang w:val="lv-LV"/>
              </w:rPr>
              <w:t>. apakšpunktā minētās darbības īstenošanai, kā arī iekšzemes un ārvalstu komandējumu un darba braucienu izmaksas projekta īstenošanas personālam šo noteikumu 17.1., 17.2. un 19.3. apakšpunktā minēto darbību īstenošanai atbilstoši normatīvajiem aktiem par kārtību, kādā atlīdzināmi ar komandējumiem saistītie izdevumi, ja tās ir pamatotas un saistītas ar projekta īstenošanu</w:t>
            </w:r>
          </w:p>
        </w:tc>
        <w:tc>
          <w:tcPr>
            <w:tcW w:w="3969" w:type="dxa"/>
            <w:shd w:val="clear" w:color="auto" w:fill="auto"/>
          </w:tcPr>
          <w:p w:rsidR="009901F5" w:rsidRPr="00C66AEF" w:rsidRDefault="009901F5" w:rsidP="00C51844">
            <w:pPr>
              <w:widowControl w:val="0"/>
              <w:spacing w:after="0" w:line="240" w:lineRule="auto"/>
              <w:jc w:val="both"/>
              <w:rPr>
                <w:rFonts w:ascii="Times New Roman" w:eastAsia="Times New Roman" w:hAnsi="Times New Roman" w:cs="Times New Roman"/>
                <w:b/>
                <w:lang w:val="lv-LV"/>
              </w:rPr>
            </w:pPr>
            <w:r w:rsidRPr="00C66AEF">
              <w:rPr>
                <w:rFonts w:ascii="Times New Roman" w:eastAsia="Times New Roman" w:hAnsi="Times New Roman" w:cs="Times New Roman"/>
                <w:b/>
                <w:lang w:val="lv-LV"/>
              </w:rPr>
              <w:t>Finanšu ministrija</w:t>
            </w:r>
          </w:p>
          <w:p w:rsidR="009901F5" w:rsidRPr="00C66AEF" w:rsidRDefault="009901F5" w:rsidP="00C51844">
            <w:pPr>
              <w:widowControl w:val="0"/>
              <w:spacing w:after="0" w:line="240" w:lineRule="auto"/>
              <w:jc w:val="both"/>
              <w:rPr>
                <w:rFonts w:ascii="Times New Roman" w:eastAsia="Times New Roman" w:hAnsi="Times New Roman" w:cs="Times New Roman"/>
                <w:b/>
                <w:lang w:val="lv-LV"/>
              </w:rPr>
            </w:pPr>
            <w:r w:rsidRPr="00C66AEF">
              <w:rPr>
                <w:rFonts w:ascii="Times New Roman" w:eastAsia="Times New Roman" w:hAnsi="Times New Roman" w:cs="Times New Roman"/>
                <w:b/>
                <w:lang w:val="lv-LV"/>
              </w:rPr>
              <w:t>19.oktobra elektroniskās saskaņošanas laikā izteiktais iebildums</w:t>
            </w:r>
          </w:p>
          <w:p w:rsidR="00EA4B36" w:rsidRPr="00C15266" w:rsidRDefault="00C15266" w:rsidP="00C51844">
            <w:pPr>
              <w:widowControl w:val="0"/>
              <w:spacing w:after="0" w:line="240" w:lineRule="auto"/>
              <w:jc w:val="both"/>
              <w:rPr>
                <w:rFonts w:ascii="Times New Roman" w:hAnsi="Times New Roman"/>
                <w:b/>
                <w:highlight w:val="cyan"/>
                <w:lang w:val="lv-LV"/>
              </w:rPr>
            </w:pPr>
            <w:r w:rsidRPr="00C66AEF">
              <w:rPr>
                <w:rFonts w:ascii="Times New Roman" w:eastAsia="Times New Roman" w:hAnsi="Times New Roman" w:cs="Times New Roman"/>
                <w:lang w:val="lv-LV"/>
              </w:rPr>
              <w:t>Lūdzam izvērtēt noteikumu</w:t>
            </w:r>
            <w:r w:rsidRPr="00C15266">
              <w:rPr>
                <w:rFonts w:ascii="Times New Roman" w:eastAsia="Times New Roman" w:hAnsi="Times New Roman" w:cs="Times New Roman"/>
                <w:lang w:val="lv-LV"/>
              </w:rPr>
              <w:t xml:space="preserve"> projekta 20.3.apakšpunktā minēto atsauci uz noteikumu projekta 17.4.apakšpunktu, t.i., izvērtējot, vai iekšzemes komandējumu un darba braucienu izmaksas projekta vadības personālam paredzētas noteikumu projekta 17.3. vai 17.4.apakšpunktā minēto darbību īstenošanai.</w:t>
            </w:r>
          </w:p>
        </w:tc>
        <w:tc>
          <w:tcPr>
            <w:tcW w:w="3119" w:type="dxa"/>
            <w:shd w:val="clear" w:color="auto" w:fill="auto"/>
          </w:tcPr>
          <w:p w:rsidR="00EA4B36" w:rsidRDefault="009901F5"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EA4B36" w:rsidRPr="0002494F" w:rsidRDefault="00B61645" w:rsidP="002E4E4F">
            <w:pPr>
              <w:pStyle w:val="tv2132"/>
              <w:spacing w:line="240" w:lineRule="auto"/>
              <w:ind w:firstLine="0"/>
              <w:contextualSpacing/>
              <w:jc w:val="both"/>
              <w:rPr>
                <w:rFonts w:cstheme="minorBidi"/>
                <w:color w:val="auto"/>
                <w:sz w:val="22"/>
                <w:szCs w:val="22"/>
                <w:lang w:val="lv-LV"/>
              </w:rPr>
            </w:pPr>
            <w:r w:rsidRPr="00B61645">
              <w:rPr>
                <w:rFonts w:cstheme="minorBidi"/>
                <w:color w:val="auto"/>
                <w:sz w:val="22"/>
                <w:szCs w:val="22"/>
                <w:lang w:val="lv-LV"/>
              </w:rPr>
              <w:t xml:space="preserve">20.3. iekšzemes komandējumu un darba braucienu izmaksas projekta vadības personālam šo noteikumu </w:t>
            </w:r>
            <w:r w:rsidRPr="00B61645">
              <w:rPr>
                <w:rFonts w:cstheme="minorBidi"/>
                <w:b/>
                <w:color w:val="auto"/>
                <w:sz w:val="22"/>
                <w:szCs w:val="22"/>
                <w:lang w:val="lv-LV"/>
              </w:rPr>
              <w:t>17.3.</w:t>
            </w:r>
            <w:r w:rsidRPr="00B61645">
              <w:rPr>
                <w:rFonts w:cstheme="minorBidi"/>
                <w:color w:val="auto"/>
                <w:sz w:val="22"/>
                <w:szCs w:val="22"/>
                <w:lang w:val="lv-LV"/>
              </w:rPr>
              <w:t xml:space="preserve"> apakšpunktā minētās darbības īstenošanai, kā arī iekšzemes un ārvalstu komandējumu un darba braucienu izmaksas projekta īstenošanas personālam šo noteikumu 17.1., 17.2. un 19.3. apakšpunktā minēto darbību īstenošanai atbilstoši normatīvajiem aktiem par kārtību, kādā atlīdzināmi ar komandējumiem saistītie izdevumi, ja tās ir pamatotas un saistītas ar projekta īstenošanu</w:t>
            </w:r>
            <w:r>
              <w:rPr>
                <w:rFonts w:cstheme="minorBidi"/>
                <w:color w:val="auto"/>
                <w:sz w:val="22"/>
                <w:szCs w:val="22"/>
                <w:lang w:val="lv-LV"/>
              </w:rPr>
              <w:t>.</w:t>
            </w:r>
          </w:p>
        </w:tc>
      </w:tr>
      <w:tr w:rsidR="00A635EA" w:rsidRPr="0002494F" w:rsidTr="00F70E0C">
        <w:trPr>
          <w:trHeight w:val="274"/>
        </w:trPr>
        <w:tc>
          <w:tcPr>
            <w:tcW w:w="964" w:type="dxa"/>
            <w:shd w:val="clear" w:color="auto" w:fill="auto"/>
          </w:tcPr>
          <w:p w:rsidR="00A635EA" w:rsidRPr="00F55A65" w:rsidRDefault="00A635EA" w:rsidP="000A6480">
            <w:pPr>
              <w:tabs>
                <w:tab w:val="center" w:pos="284"/>
              </w:tabs>
              <w:spacing w:after="0" w:line="240" w:lineRule="auto"/>
              <w:ind w:left="360" w:right="22"/>
              <w:rPr>
                <w:rFonts w:ascii="Times New Roman" w:eastAsia="Calibri" w:hAnsi="Times New Roman" w:cs="Times New Roman"/>
                <w:lang w:val="lv-LV"/>
              </w:rPr>
            </w:pPr>
            <w:r w:rsidRPr="00F55A65">
              <w:rPr>
                <w:rFonts w:ascii="Times New Roman" w:eastAsia="Calibri" w:hAnsi="Times New Roman" w:cs="Times New Roman"/>
                <w:lang w:val="lv-LV"/>
              </w:rPr>
              <w:t>55.</w:t>
            </w:r>
          </w:p>
        </w:tc>
        <w:tc>
          <w:tcPr>
            <w:tcW w:w="2575" w:type="dxa"/>
            <w:shd w:val="clear" w:color="auto" w:fill="auto"/>
          </w:tcPr>
          <w:p w:rsidR="00C856D4" w:rsidRPr="00F55A65" w:rsidRDefault="00C856D4" w:rsidP="00B61645">
            <w:pPr>
              <w:pStyle w:val="tv2132"/>
              <w:spacing w:line="240" w:lineRule="auto"/>
              <w:ind w:firstLine="0"/>
              <w:contextualSpacing/>
              <w:jc w:val="both"/>
              <w:rPr>
                <w:rFonts w:cstheme="minorBidi"/>
                <w:color w:val="auto"/>
                <w:sz w:val="22"/>
                <w:szCs w:val="22"/>
                <w:lang w:val="lv-LV"/>
              </w:rPr>
            </w:pPr>
          </w:p>
          <w:p w:rsidR="00C856D4" w:rsidRPr="00F55A65" w:rsidRDefault="00C856D4" w:rsidP="00C856D4">
            <w:pPr>
              <w:rPr>
                <w:lang w:val="lv-LV"/>
              </w:rPr>
            </w:pPr>
          </w:p>
          <w:p w:rsidR="00C856D4" w:rsidRPr="00F55A65" w:rsidRDefault="00C856D4" w:rsidP="00C856D4">
            <w:pPr>
              <w:rPr>
                <w:lang w:val="lv-LV"/>
              </w:rPr>
            </w:pPr>
          </w:p>
          <w:p w:rsidR="00C856D4" w:rsidRPr="00F55A65" w:rsidRDefault="00C856D4" w:rsidP="00C856D4">
            <w:pPr>
              <w:rPr>
                <w:lang w:val="lv-LV"/>
              </w:rPr>
            </w:pPr>
          </w:p>
          <w:p w:rsidR="00C856D4" w:rsidRPr="00F55A65" w:rsidRDefault="00C856D4" w:rsidP="00C856D4">
            <w:pPr>
              <w:rPr>
                <w:lang w:val="lv-LV"/>
              </w:rPr>
            </w:pPr>
          </w:p>
          <w:p w:rsidR="00C856D4" w:rsidRPr="00F55A65" w:rsidRDefault="00C856D4" w:rsidP="00C856D4">
            <w:pPr>
              <w:rPr>
                <w:lang w:val="lv-LV"/>
              </w:rPr>
            </w:pPr>
          </w:p>
          <w:p w:rsidR="00C856D4" w:rsidRPr="00F55A65" w:rsidRDefault="00C856D4" w:rsidP="00C856D4">
            <w:pPr>
              <w:rPr>
                <w:lang w:val="lv-LV"/>
              </w:rPr>
            </w:pPr>
          </w:p>
          <w:p w:rsidR="00A635EA" w:rsidRPr="00F55A65" w:rsidRDefault="00A635EA" w:rsidP="00C856D4">
            <w:pPr>
              <w:rPr>
                <w:lang w:val="lv-LV"/>
              </w:rPr>
            </w:pPr>
          </w:p>
        </w:tc>
        <w:tc>
          <w:tcPr>
            <w:tcW w:w="3969" w:type="dxa"/>
            <w:shd w:val="clear" w:color="auto" w:fill="auto"/>
          </w:tcPr>
          <w:p w:rsidR="00A635EA" w:rsidRPr="00F55A65" w:rsidRDefault="00A635EA" w:rsidP="00C51844">
            <w:pPr>
              <w:widowControl w:val="0"/>
              <w:spacing w:after="0" w:line="240" w:lineRule="auto"/>
              <w:jc w:val="both"/>
              <w:rPr>
                <w:rFonts w:ascii="Times New Roman" w:eastAsia="Calibri" w:hAnsi="Times New Roman" w:cs="Times New Roman"/>
                <w:b/>
                <w:lang w:val="lv-LV"/>
              </w:rPr>
            </w:pPr>
            <w:r w:rsidRPr="00F55A65">
              <w:rPr>
                <w:rFonts w:ascii="Times New Roman" w:eastAsia="Calibri" w:hAnsi="Times New Roman" w:cs="Times New Roman"/>
                <w:b/>
                <w:lang w:val="lv-LV"/>
              </w:rPr>
              <w:lastRenderedPageBreak/>
              <w:t>Latvijas Universitāšu asociācija</w:t>
            </w:r>
          </w:p>
          <w:p w:rsidR="00A635EA" w:rsidRPr="00F55A65" w:rsidRDefault="00A635EA" w:rsidP="00C51844">
            <w:pPr>
              <w:widowControl w:val="0"/>
              <w:spacing w:after="0" w:line="240" w:lineRule="auto"/>
              <w:jc w:val="both"/>
              <w:rPr>
                <w:rFonts w:ascii="Times New Roman" w:eastAsia="Calibri" w:hAnsi="Times New Roman" w:cs="Times New Roman"/>
                <w:b/>
                <w:lang w:val="lv-LV"/>
              </w:rPr>
            </w:pPr>
            <w:r w:rsidRPr="00F55A65">
              <w:rPr>
                <w:rFonts w:ascii="Times New Roman" w:eastAsia="Calibri" w:hAnsi="Times New Roman" w:cs="Times New Roman"/>
                <w:b/>
                <w:lang w:val="lv-LV"/>
              </w:rPr>
              <w:t>11. novembra elektroniskās saskaņoš</w:t>
            </w:r>
            <w:r w:rsidR="007B48BD" w:rsidRPr="00F55A65">
              <w:rPr>
                <w:rFonts w:ascii="Times New Roman" w:eastAsia="Calibri" w:hAnsi="Times New Roman" w:cs="Times New Roman"/>
                <w:b/>
                <w:lang w:val="lv-LV"/>
              </w:rPr>
              <w:t>anas laikā izteiktais iebildums</w:t>
            </w:r>
          </w:p>
          <w:p w:rsidR="00A635EA" w:rsidRPr="00F55A65" w:rsidRDefault="00A635EA" w:rsidP="00A635EA">
            <w:pPr>
              <w:widowControl w:val="0"/>
              <w:spacing w:after="0" w:line="240" w:lineRule="auto"/>
              <w:jc w:val="both"/>
              <w:rPr>
                <w:rFonts w:ascii="Times New Roman" w:eastAsia="Calibri" w:hAnsi="Times New Roman" w:cs="Times New Roman"/>
                <w:lang w:val="lv-LV"/>
              </w:rPr>
            </w:pPr>
            <w:r w:rsidRPr="00F55A65">
              <w:rPr>
                <w:rFonts w:ascii="Times New Roman" w:eastAsia="Calibri" w:hAnsi="Times New Roman" w:cs="Times New Roman"/>
                <w:lang w:val="lv-LV"/>
              </w:rPr>
              <w:lastRenderedPageBreak/>
              <w:t>Latvijas Universitāšu asociācija iebilst pret noteikumu projektā paredzēto normu, ka Eiropas Sociāla fonda un valsts budžeta līdzfinansējumu plānots piešķirt augstskolām neatkarīgi no to juridiskā statusa. Tā kā augstskolas var būt gan valsts dibinātas, gan privātpersonu dibinātas, tad uzskatām, ka nav pamatojuma valsts budžeta līdzfinansējuma plānošanai privātpersonu dibinātām augstskolām. Līdz ar to aicinām precizēt noteikumu projektā un anotācijā norādīto 14.1.1.1. pasākuma mērķa grupas definīciju.</w:t>
            </w:r>
          </w:p>
          <w:p w:rsidR="00A635EA" w:rsidRPr="00F55A65" w:rsidRDefault="00A635EA" w:rsidP="00A635EA">
            <w:pPr>
              <w:widowControl w:val="0"/>
              <w:spacing w:after="0" w:line="240" w:lineRule="auto"/>
              <w:jc w:val="both"/>
              <w:rPr>
                <w:rFonts w:ascii="Times New Roman" w:eastAsia="Times New Roman" w:hAnsi="Times New Roman" w:cs="Times New Roman"/>
                <w:lang w:val="lv-LV"/>
              </w:rPr>
            </w:pPr>
            <w:r w:rsidRPr="00F55A65">
              <w:rPr>
                <w:rFonts w:ascii="Times New Roman" w:eastAsia="Times New Roman" w:hAnsi="Times New Roman" w:cs="Times New Roman"/>
                <w:lang w:val="lv-LV"/>
              </w:rPr>
              <w:t>Vienlaikus atkārtoti lūdzam izvērtēt noteikumu projekta 30. punktā, kā arī 31. punktā no jauna ietvertās prasības par starptautiskās ekspertīzes nepieciešamību pēc būtības, ņemot vērā paredzamo projektu zemo gatavības pakāpi, ierobežoto projektu īstenošanas laiku un mazo projektu skaitu saistībā ar pasākuma kopējo ierobežoto finansējumu, jo starptautisko ekspertu piesaiste vēl vairāk samazinās projekta īstenotājiem pieejamā finansējuma apjomu. Atbildīgās iestādes skaidrojums, ka 14.1.1.1. pasākumam Latvijas ietvaros ir problemātiski atrast ekspertus, kas nebūtu saistīti ar Latvijas augstskolām, ir nepamatots pēc būtības.</w:t>
            </w:r>
          </w:p>
          <w:p w:rsidR="00A635EA" w:rsidRPr="00F55A65" w:rsidRDefault="00A635EA" w:rsidP="00A635EA">
            <w:pPr>
              <w:widowControl w:val="0"/>
              <w:spacing w:after="0" w:line="240" w:lineRule="auto"/>
              <w:jc w:val="both"/>
              <w:rPr>
                <w:rFonts w:ascii="Times New Roman" w:eastAsia="Times New Roman" w:hAnsi="Times New Roman" w:cs="Times New Roman"/>
                <w:lang w:val="lv-LV"/>
              </w:rPr>
            </w:pPr>
            <w:r w:rsidRPr="00F55A65">
              <w:rPr>
                <w:rFonts w:ascii="Times New Roman" w:eastAsia="Times New Roman" w:hAnsi="Times New Roman" w:cs="Times New Roman"/>
                <w:lang w:val="lv-LV"/>
              </w:rPr>
              <w:t xml:space="preserve">Ņemot vērā augstāk minētos argumentus, uzskatām, ka, ja šajā pasākumā nav iespējams piemērot ierobežotu projektu atlasi, tad nav pamatojuma valsts budžeta līdzfinansējuma plānošanai privātpersonu dibinātām augstskolām, kā arī nav pamatota starptautiskās ekspertīzes nepieciešamība gan projektu atlases, gan </w:t>
            </w:r>
            <w:r w:rsidRPr="00F55A65">
              <w:rPr>
                <w:rFonts w:ascii="Times New Roman" w:eastAsia="Times New Roman" w:hAnsi="Times New Roman" w:cs="Times New Roman"/>
                <w:lang w:val="lv-LV"/>
              </w:rPr>
              <w:lastRenderedPageBreak/>
              <w:t>gala rezultātu izvērtējumam pēc būtības.</w:t>
            </w:r>
          </w:p>
        </w:tc>
        <w:tc>
          <w:tcPr>
            <w:tcW w:w="3119" w:type="dxa"/>
            <w:shd w:val="clear" w:color="auto" w:fill="auto"/>
          </w:tcPr>
          <w:p w:rsidR="00A635EA" w:rsidRDefault="00A635EA"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Nav ņemts vērā</w:t>
            </w:r>
          </w:p>
          <w:p w:rsidR="00B76271" w:rsidRPr="00B76271" w:rsidRDefault="00B76271" w:rsidP="00B7627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w:t>
            </w:r>
            <w:r w:rsidRPr="00B76271">
              <w:rPr>
                <w:rFonts w:ascii="Times New Roman" w:eastAsia="Times New Roman" w:hAnsi="Times New Roman" w:cs="Times New Roman"/>
                <w:lang w:val="lv-LV" w:eastAsia="lv-LV"/>
              </w:rPr>
              <w:t xml:space="preserve">kaidrojam, ka ES fondu 2014.-2020. gada plānošanas periodā </w:t>
            </w:r>
            <w:r w:rsidRPr="00B76271">
              <w:rPr>
                <w:rFonts w:ascii="Times New Roman" w:eastAsia="Times New Roman" w:hAnsi="Times New Roman" w:cs="Times New Roman"/>
                <w:lang w:val="lv-LV" w:eastAsia="lv-LV"/>
              </w:rPr>
              <w:lastRenderedPageBreak/>
              <w:t>ERAF un ESF projektos (8.1.1. SAM, 8.2.1. SAM, 8.2.2. SAM un 8.2.3. SAM projektos)  arī privātpersonu dibinātajām augstskolām tika nodrošināts valsts budžeta līdzfinansējums</w:t>
            </w:r>
            <w:r>
              <w:rPr>
                <w:rFonts w:ascii="Times New Roman" w:eastAsia="Times New Roman" w:hAnsi="Times New Roman" w:cs="Times New Roman"/>
                <w:lang w:val="lv-LV" w:eastAsia="lv-LV"/>
              </w:rPr>
              <w:t xml:space="preserve">. </w:t>
            </w:r>
            <w:r w:rsidRPr="00B76271">
              <w:rPr>
                <w:rFonts w:ascii="Times New Roman" w:eastAsia="Times New Roman" w:hAnsi="Times New Roman" w:cs="Times New Roman"/>
                <w:lang w:val="lv-LV" w:eastAsia="lv-LV"/>
              </w:rPr>
              <w:t xml:space="preserve"> </w:t>
            </w:r>
            <w:r w:rsidRPr="00B76271">
              <w:rPr>
                <w:rFonts w:ascii="Times New Roman" w:eastAsia="Times New Roman" w:hAnsi="Times New Roman" w:cs="Times New Roman"/>
                <w:lang w:eastAsia="lv-LV"/>
              </w:rPr>
              <w:t xml:space="preserve"> </w:t>
            </w:r>
            <w:r w:rsidRPr="00B76271">
              <w:rPr>
                <w:rFonts w:ascii="Times New Roman" w:eastAsia="Times New Roman" w:hAnsi="Times New Roman" w:cs="Times New Roman"/>
                <w:lang w:val="lv-LV" w:eastAsia="lv-LV"/>
              </w:rPr>
              <w:t>Līdz ar to IZM ieskatā nav pamata 14.1.1.1. pasākumā privātpersonu dibinātajām augstskolām noteikt atšķirīgus atbalsta nosacījumus.</w:t>
            </w:r>
          </w:p>
          <w:p w:rsidR="00866419" w:rsidRDefault="00866419" w:rsidP="00845310">
            <w:pPr>
              <w:spacing w:after="0" w:line="240" w:lineRule="auto"/>
              <w:jc w:val="both"/>
              <w:rPr>
                <w:rFonts w:ascii="Times New Roman" w:eastAsia="Times New Roman" w:hAnsi="Times New Roman" w:cs="Times New Roman"/>
                <w:lang w:val="lv-LV" w:eastAsia="lv-LV"/>
              </w:rPr>
            </w:pPr>
          </w:p>
          <w:p w:rsidR="00CF5F4E" w:rsidRDefault="00CF5F4E" w:rsidP="0086641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IZM ieskatā Latvijas Universitāšu asociācijas</w:t>
            </w:r>
            <w:r w:rsidR="00701524">
              <w:rPr>
                <w:rFonts w:ascii="Times New Roman" w:eastAsia="Times New Roman" w:hAnsi="Times New Roman" w:cs="Times New Roman"/>
                <w:lang w:val="lv-LV" w:eastAsia="lv-LV"/>
              </w:rPr>
              <w:t xml:space="preserve"> (LUA)</w:t>
            </w:r>
            <w:r>
              <w:rPr>
                <w:rFonts w:ascii="Times New Roman" w:eastAsia="Times New Roman" w:hAnsi="Times New Roman" w:cs="Times New Roman"/>
                <w:lang w:val="lv-LV" w:eastAsia="lv-LV"/>
              </w:rPr>
              <w:t xml:space="preserve"> </w:t>
            </w:r>
            <w:r w:rsidR="00866419">
              <w:rPr>
                <w:rFonts w:ascii="Times New Roman" w:eastAsia="Times New Roman" w:hAnsi="Times New Roman" w:cs="Times New Roman"/>
                <w:lang w:val="lv-LV" w:eastAsia="lv-LV"/>
              </w:rPr>
              <w:t>iebildums</w:t>
            </w:r>
            <w:r>
              <w:rPr>
                <w:rFonts w:ascii="Times New Roman" w:eastAsia="Times New Roman" w:hAnsi="Times New Roman" w:cs="Times New Roman"/>
                <w:lang w:val="lv-LV" w:eastAsia="lv-LV"/>
              </w:rPr>
              <w:t xml:space="preserve"> </w:t>
            </w:r>
            <w:r w:rsidR="00EA7F65">
              <w:rPr>
                <w:rFonts w:ascii="Times New Roman" w:eastAsia="Times New Roman" w:hAnsi="Times New Roman" w:cs="Times New Roman"/>
                <w:lang w:val="lv-LV" w:eastAsia="lv-LV"/>
              </w:rPr>
              <w:t>pret</w:t>
            </w:r>
            <w:r w:rsidR="00845310">
              <w:rPr>
                <w:rFonts w:ascii="Times New Roman" w:eastAsia="Times New Roman" w:hAnsi="Times New Roman" w:cs="Times New Roman"/>
                <w:lang w:val="lv-LV" w:eastAsia="lv-LV"/>
              </w:rPr>
              <w:t xml:space="preserve"> starptautiskās ekspertīzes nepieciešamību </w:t>
            </w:r>
            <w:r>
              <w:rPr>
                <w:rFonts w:ascii="Times New Roman" w:eastAsia="Times New Roman" w:hAnsi="Times New Roman" w:cs="Times New Roman"/>
                <w:lang w:val="lv-LV" w:eastAsia="lv-LV"/>
              </w:rPr>
              <w:t xml:space="preserve">nav pamatots, </w:t>
            </w:r>
            <w:r w:rsidR="00EA7F65">
              <w:rPr>
                <w:rFonts w:ascii="Times New Roman" w:eastAsia="Times New Roman" w:hAnsi="Times New Roman" w:cs="Times New Roman"/>
                <w:lang w:val="lv-LV" w:eastAsia="lv-LV"/>
              </w:rPr>
              <w:t>jo</w:t>
            </w:r>
            <w:r w:rsidR="007E6CED">
              <w:rPr>
                <w:rFonts w:ascii="Times New Roman" w:eastAsia="Times New Roman" w:hAnsi="Times New Roman" w:cs="Times New Roman"/>
                <w:lang w:val="lv-LV" w:eastAsia="lv-LV"/>
              </w:rPr>
              <w:t xml:space="preserve"> </w:t>
            </w:r>
            <w:r w:rsidR="00701524">
              <w:rPr>
                <w:rFonts w:ascii="Times New Roman" w:eastAsia="Times New Roman" w:hAnsi="Times New Roman" w:cs="Times New Roman"/>
                <w:lang w:val="lv-LV" w:eastAsia="lv-LV"/>
              </w:rPr>
              <w:t>LUA</w:t>
            </w:r>
            <w:r w:rsidR="00701524" w:rsidRPr="00701524">
              <w:rPr>
                <w:rFonts w:ascii="Times New Roman" w:eastAsia="Times New Roman" w:hAnsi="Times New Roman" w:cs="Times New Roman"/>
                <w:lang w:val="lv-LV" w:eastAsia="lv-LV"/>
              </w:rPr>
              <w:t xml:space="preserve"> </w:t>
            </w:r>
            <w:r w:rsidR="00845310">
              <w:rPr>
                <w:rFonts w:ascii="Times New Roman" w:eastAsia="Times New Roman" w:hAnsi="Times New Roman" w:cs="Times New Roman"/>
                <w:lang w:val="lv-LV" w:eastAsia="lv-LV"/>
              </w:rPr>
              <w:t xml:space="preserve"> </w:t>
            </w:r>
            <w:r w:rsidR="00EA7F65">
              <w:rPr>
                <w:rFonts w:ascii="Times New Roman" w:eastAsia="Times New Roman" w:hAnsi="Times New Roman" w:cs="Times New Roman"/>
                <w:lang w:val="lv-LV" w:eastAsia="lv-LV"/>
              </w:rPr>
              <w:t xml:space="preserve">minētie </w:t>
            </w:r>
            <w:r w:rsidR="00845310">
              <w:rPr>
                <w:rFonts w:ascii="Times New Roman" w:eastAsia="Times New Roman" w:hAnsi="Times New Roman" w:cs="Times New Roman"/>
                <w:lang w:val="lv-LV" w:eastAsia="lv-LV"/>
              </w:rPr>
              <w:t>argumenti</w:t>
            </w:r>
            <w:r w:rsidR="007E6CED">
              <w:rPr>
                <w:rFonts w:ascii="Times New Roman" w:eastAsia="Times New Roman" w:hAnsi="Times New Roman" w:cs="Times New Roman"/>
                <w:lang w:val="lv-LV" w:eastAsia="lv-LV"/>
              </w:rPr>
              <w:t xml:space="preserve"> (</w:t>
            </w:r>
            <w:r w:rsidR="00845310" w:rsidRPr="00845310">
              <w:rPr>
                <w:rFonts w:ascii="Times New Roman" w:eastAsia="Times New Roman" w:hAnsi="Times New Roman" w:cs="Times New Roman"/>
                <w:lang w:val="lv-LV" w:eastAsia="lv-LV"/>
              </w:rPr>
              <w:t>paredzam</w:t>
            </w:r>
            <w:r w:rsidR="00845310">
              <w:rPr>
                <w:rFonts w:ascii="Times New Roman" w:eastAsia="Times New Roman" w:hAnsi="Times New Roman" w:cs="Times New Roman"/>
                <w:lang w:val="lv-LV" w:eastAsia="lv-LV"/>
              </w:rPr>
              <w:t>ā</w:t>
            </w:r>
            <w:r w:rsidR="00845310" w:rsidRPr="00845310">
              <w:rPr>
                <w:rFonts w:ascii="Times New Roman" w:eastAsia="Times New Roman" w:hAnsi="Times New Roman" w:cs="Times New Roman"/>
                <w:lang w:val="lv-LV" w:eastAsia="lv-LV"/>
              </w:rPr>
              <w:t xml:space="preserve"> projektu zem</w:t>
            </w:r>
            <w:r w:rsidR="00845310">
              <w:rPr>
                <w:rFonts w:ascii="Times New Roman" w:eastAsia="Times New Roman" w:hAnsi="Times New Roman" w:cs="Times New Roman"/>
                <w:lang w:val="lv-LV" w:eastAsia="lv-LV"/>
              </w:rPr>
              <w:t>ā</w:t>
            </w:r>
            <w:r w:rsidR="00845310" w:rsidRPr="00845310">
              <w:rPr>
                <w:rFonts w:ascii="Times New Roman" w:eastAsia="Times New Roman" w:hAnsi="Times New Roman" w:cs="Times New Roman"/>
                <w:lang w:val="lv-LV" w:eastAsia="lv-LV"/>
              </w:rPr>
              <w:t xml:space="preserve"> gatavības pakāp</w:t>
            </w:r>
            <w:r w:rsidR="00845310">
              <w:rPr>
                <w:rFonts w:ascii="Times New Roman" w:eastAsia="Times New Roman" w:hAnsi="Times New Roman" w:cs="Times New Roman"/>
                <w:lang w:val="lv-LV" w:eastAsia="lv-LV"/>
              </w:rPr>
              <w:t>e</w:t>
            </w:r>
            <w:r w:rsidR="00845310" w:rsidRPr="00845310">
              <w:rPr>
                <w:rFonts w:ascii="Times New Roman" w:eastAsia="Times New Roman" w:hAnsi="Times New Roman" w:cs="Times New Roman"/>
                <w:lang w:val="lv-LV" w:eastAsia="lv-LV"/>
              </w:rPr>
              <w:t>, ierobežot</w:t>
            </w:r>
            <w:r w:rsidR="00EA7F65">
              <w:rPr>
                <w:rFonts w:ascii="Times New Roman" w:eastAsia="Times New Roman" w:hAnsi="Times New Roman" w:cs="Times New Roman"/>
                <w:lang w:val="lv-LV" w:eastAsia="lv-LV"/>
              </w:rPr>
              <w:t>ais</w:t>
            </w:r>
            <w:r w:rsidR="00845310" w:rsidRPr="00845310">
              <w:rPr>
                <w:rFonts w:ascii="Times New Roman" w:eastAsia="Times New Roman" w:hAnsi="Times New Roman" w:cs="Times New Roman"/>
                <w:lang w:val="lv-LV" w:eastAsia="lv-LV"/>
              </w:rPr>
              <w:t xml:space="preserve"> projektu īstenošanas laik</w:t>
            </w:r>
            <w:r w:rsidR="00EA7F65">
              <w:rPr>
                <w:rFonts w:ascii="Times New Roman" w:eastAsia="Times New Roman" w:hAnsi="Times New Roman" w:cs="Times New Roman"/>
                <w:lang w:val="lv-LV" w:eastAsia="lv-LV"/>
              </w:rPr>
              <w:t>s</w:t>
            </w:r>
            <w:r w:rsidR="00845310" w:rsidRPr="00845310">
              <w:rPr>
                <w:rFonts w:ascii="Times New Roman" w:eastAsia="Times New Roman" w:hAnsi="Times New Roman" w:cs="Times New Roman"/>
                <w:lang w:val="lv-LV" w:eastAsia="lv-LV"/>
              </w:rPr>
              <w:t xml:space="preserve"> un maz</w:t>
            </w:r>
            <w:r w:rsidR="00EA7F65">
              <w:rPr>
                <w:rFonts w:ascii="Times New Roman" w:eastAsia="Times New Roman" w:hAnsi="Times New Roman" w:cs="Times New Roman"/>
                <w:lang w:val="lv-LV" w:eastAsia="lv-LV"/>
              </w:rPr>
              <w:t>ais</w:t>
            </w:r>
            <w:r w:rsidR="00845310" w:rsidRPr="00845310">
              <w:rPr>
                <w:rFonts w:ascii="Times New Roman" w:eastAsia="Times New Roman" w:hAnsi="Times New Roman" w:cs="Times New Roman"/>
                <w:lang w:val="lv-LV" w:eastAsia="lv-LV"/>
              </w:rPr>
              <w:t xml:space="preserve"> projektu skait</w:t>
            </w:r>
            <w:r w:rsidR="00EA7F65">
              <w:rPr>
                <w:rFonts w:ascii="Times New Roman" w:eastAsia="Times New Roman" w:hAnsi="Times New Roman" w:cs="Times New Roman"/>
                <w:lang w:val="lv-LV" w:eastAsia="lv-LV"/>
              </w:rPr>
              <w:t>s</w:t>
            </w:r>
            <w:r w:rsidR="007E6CED">
              <w:rPr>
                <w:rFonts w:ascii="Times New Roman" w:eastAsia="Times New Roman" w:hAnsi="Times New Roman" w:cs="Times New Roman"/>
                <w:lang w:val="lv-LV" w:eastAsia="lv-LV"/>
              </w:rPr>
              <w:t>)</w:t>
            </w:r>
            <w:r w:rsidR="00EA7F65">
              <w:rPr>
                <w:rFonts w:ascii="Times New Roman" w:eastAsia="Times New Roman" w:hAnsi="Times New Roman" w:cs="Times New Roman"/>
                <w:lang w:val="lv-LV" w:eastAsia="lv-LV"/>
              </w:rPr>
              <w:t xml:space="preserve"> nav iemesls, lai atteiktos no starptautiskās ekspertīzes</w:t>
            </w:r>
            <w:r w:rsidR="00A76B81" w:rsidRPr="00A76B81">
              <w:rPr>
                <w:rFonts w:ascii="Times New Roman" w:hAnsi="Times New Roman" w:cs="Times New Roman"/>
                <w:lang w:val="lv-LV" w:eastAsia="lv-LV"/>
              </w:rPr>
              <w:t>, kas nodrošinās  projektu iesniegumos piedāvāto risinājumu izvērtēšanu pēc būtības, kā arī objektivitāti.</w:t>
            </w:r>
            <w:r w:rsidR="00A76B81">
              <w:rPr>
                <w:rFonts w:ascii="Times New Roman" w:hAnsi="Times New Roman" w:cs="Times New Roman"/>
                <w:lang w:val="lv-LV" w:eastAsia="lv-LV"/>
              </w:rPr>
              <w:t xml:space="preserve"> </w:t>
            </w:r>
            <w:r w:rsidR="007E6CED">
              <w:rPr>
                <w:rFonts w:ascii="Times New Roman" w:eastAsia="Times New Roman" w:hAnsi="Times New Roman" w:cs="Times New Roman"/>
                <w:lang w:val="lv-LV" w:eastAsia="lv-LV"/>
              </w:rPr>
              <w:t xml:space="preserve">Turklāt </w:t>
            </w:r>
            <w:r w:rsidR="00845310">
              <w:rPr>
                <w:rFonts w:ascii="Times New Roman" w:eastAsia="Times New Roman" w:hAnsi="Times New Roman" w:cs="Times New Roman"/>
                <w:lang w:val="lv-LV" w:eastAsia="lv-LV"/>
              </w:rPr>
              <w:t xml:space="preserve">starptautiskās </w:t>
            </w:r>
            <w:r w:rsidR="00845310" w:rsidRPr="00845310">
              <w:rPr>
                <w:rFonts w:ascii="Times New Roman" w:eastAsia="Times New Roman" w:hAnsi="Times New Roman" w:cs="Times New Roman"/>
                <w:lang w:val="lv-LV" w:eastAsia="lv-LV"/>
              </w:rPr>
              <w:t>ekspertīzes izmaksas</w:t>
            </w:r>
            <w:r w:rsidR="00845310">
              <w:rPr>
                <w:rFonts w:ascii="Times New Roman" w:eastAsia="Times New Roman" w:hAnsi="Times New Roman" w:cs="Times New Roman"/>
                <w:lang w:val="lv-LV" w:eastAsia="lv-LV"/>
              </w:rPr>
              <w:t xml:space="preserve"> (gan</w:t>
            </w:r>
            <w:r w:rsidR="00845310" w:rsidRPr="00845310">
              <w:rPr>
                <w:rFonts w:ascii="Times New Roman" w:eastAsia="Times New Roman" w:hAnsi="Times New Roman" w:cs="Times New Roman"/>
                <w:lang w:val="lv-LV" w:eastAsia="lv-LV"/>
              </w:rPr>
              <w:t xml:space="preserve"> </w:t>
            </w:r>
            <w:r w:rsidR="00845310">
              <w:t xml:space="preserve"> </w:t>
            </w:r>
            <w:r w:rsidR="00845310" w:rsidRPr="00845310">
              <w:rPr>
                <w:rFonts w:ascii="Times New Roman" w:eastAsia="Times New Roman" w:hAnsi="Times New Roman" w:cs="Times New Roman"/>
                <w:lang w:val="lv-LV" w:eastAsia="lv-LV"/>
              </w:rPr>
              <w:t>projektu atlase</w:t>
            </w:r>
            <w:r w:rsidR="00845310">
              <w:rPr>
                <w:rFonts w:ascii="Times New Roman" w:eastAsia="Times New Roman" w:hAnsi="Times New Roman" w:cs="Times New Roman"/>
                <w:lang w:val="lv-LV" w:eastAsia="lv-LV"/>
              </w:rPr>
              <w:t>i</w:t>
            </w:r>
            <w:r w:rsidR="00845310" w:rsidRPr="00845310">
              <w:rPr>
                <w:rFonts w:ascii="Times New Roman" w:eastAsia="Times New Roman" w:hAnsi="Times New Roman" w:cs="Times New Roman"/>
                <w:lang w:val="lv-LV" w:eastAsia="lv-LV"/>
              </w:rPr>
              <w:t>, gan gala rezultātu izvērtējumam</w:t>
            </w:r>
            <w:r w:rsidR="00845310">
              <w:rPr>
                <w:rFonts w:ascii="Times New Roman" w:eastAsia="Times New Roman" w:hAnsi="Times New Roman" w:cs="Times New Roman"/>
                <w:lang w:val="lv-LV" w:eastAsia="lv-LV"/>
              </w:rPr>
              <w:t>)</w:t>
            </w:r>
            <w:r w:rsidR="00845310" w:rsidRPr="00845310">
              <w:rPr>
                <w:rFonts w:ascii="Times New Roman" w:eastAsia="Times New Roman" w:hAnsi="Times New Roman" w:cs="Times New Roman"/>
                <w:lang w:val="lv-LV" w:eastAsia="lv-LV"/>
              </w:rPr>
              <w:t xml:space="preserve"> netiek plānotas no 14.1.1.1.</w:t>
            </w:r>
            <w:r w:rsidR="00845310">
              <w:rPr>
                <w:rFonts w:ascii="Times New Roman" w:eastAsia="Times New Roman" w:hAnsi="Times New Roman" w:cs="Times New Roman"/>
                <w:lang w:val="lv-LV" w:eastAsia="lv-LV"/>
              </w:rPr>
              <w:t xml:space="preserve"> </w:t>
            </w:r>
            <w:r w:rsidR="00845310" w:rsidRPr="00845310">
              <w:rPr>
                <w:rFonts w:ascii="Times New Roman" w:eastAsia="Times New Roman" w:hAnsi="Times New Roman" w:cs="Times New Roman"/>
                <w:lang w:val="lv-LV" w:eastAsia="lv-LV"/>
              </w:rPr>
              <w:t xml:space="preserve">pasākuma finansējuma, līdz ar to neietekmē </w:t>
            </w:r>
            <w:r w:rsidR="00845310">
              <w:rPr>
                <w:rFonts w:ascii="Times New Roman" w:eastAsia="Times New Roman" w:hAnsi="Times New Roman" w:cs="Times New Roman"/>
                <w:lang w:val="lv-LV" w:eastAsia="lv-LV"/>
              </w:rPr>
              <w:t>projekta īstenotājiem</w:t>
            </w:r>
            <w:r w:rsidR="00845310" w:rsidRPr="00845310">
              <w:rPr>
                <w:rFonts w:ascii="Times New Roman" w:eastAsia="Times New Roman" w:hAnsi="Times New Roman" w:cs="Times New Roman"/>
                <w:lang w:val="lv-LV" w:eastAsia="lv-LV"/>
              </w:rPr>
              <w:t xml:space="preserve"> pieejamo finansējum</w:t>
            </w:r>
            <w:r w:rsidR="00845310">
              <w:rPr>
                <w:rFonts w:ascii="Times New Roman" w:eastAsia="Times New Roman" w:hAnsi="Times New Roman" w:cs="Times New Roman"/>
                <w:lang w:val="lv-LV" w:eastAsia="lv-LV"/>
              </w:rPr>
              <w:t>a apjomu.</w:t>
            </w:r>
          </w:p>
          <w:p w:rsidR="00FD2234" w:rsidRPr="00A635EA" w:rsidRDefault="00FD2234" w:rsidP="00866419">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Papildus sk. skaidrojumu izziņas 31. punktā.</w:t>
            </w:r>
          </w:p>
        </w:tc>
        <w:tc>
          <w:tcPr>
            <w:tcW w:w="3260" w:type="dxa"/>
          </w:tcPr>
          <w:p w:rsidR="00A635EA" w:rsidRPr="00B61645" w:rsidRDefault="00A635EA" w:rsidP="002E4E4F">
            <w:pPr>
              <w:pStyle w:val="tv2132"/>
              <w:spacing w:line="240" w:lineRule="auto"/>
              <w:ind w:firstLine="0"/>
              <w:contextualSpacing/>
              <w:jc w:val="both"/>
              <w:rPr>
                <w:rFonts w:cstheme="minorBidi"/>
                <w:color w:val="auto"/>
                <w:sz w:val="22"/>
                <w:szCs w:val="22"/>
                <w:lang w:val="lv-LV"/>
              </w:rPr>
            </w:pPr>
          </w:p>
        </w:tc>
      </w:tr>
      <w:tr w:rsidR="00A635EA" w:rsidRPr="0002494F" w:rsidTr="00F70E0C">
        <w:trPr>
          <w:trHeight w:val="274"/>
        </w:trPr>
        <w:tc>
          <w:tcPr>
            <w:tcW w:w="964" w:type="dxa"/>
            <w:shd w:val="clear" w:color="auto" w:fill="auto"/>
          </w:tcPr>
          <w:p w:rsidR="00A635EA" w:rsidRPr="00F55A65" w:rsidRDefault="007936F7" w:rsidP="000A6480">
            <w:pPr>
              <w:tabs>
                <w:tab w:val="center" w:pos="284"/>
              </w:tabs>
              <w:spacing w:after="0" w:line="240" w:lineRule="auto"/>
              <w:ind w:left="360" w:right="22"/>
              <w:rPr>
                <w:rFonts w:ascii="Times New Roman" w:eastAsia="Calibri" w:hAnsi="Times New Roman" w:cs="Times New Roman"/>
                <w:lang w:val="lv-LV"/>
              </w:rPr>
            </w:pPr>
            <w:r w:rsidRPr="00F55A65">
              <w:rPr>
                <w:rFonts w:ascii="Times New Roman" w:eastAsia="Calibri" w:hAnsi="Times New Roman" w:cs="Times New Roman"/>
                <w:lang w:val="lv-LV"/>
              </w:rPr>
              <w:lastRenderedPageBreak/>
              <w:t>56.</w:t>
            </w:r>
          </w:p>
        </w:tc>
        <w:tc>
          <w:tcPr>
            <w:tcW w:w="2575" w:type="dxa"/>
            <w:shd w:val="clear" w:color="auto" w:fill="auto"/>
          </w:tcPr>
          <w:p w:rsidR="00A635EA" w:rsidRPr="00F55A65" w:rsidRDefault="0021428B" w:rsidP="00B61645">
            <w:pPr>
              <w:pStyle w:val="tv2132"/>
              <w:spacing w:line="240" w:lineRule="auto"/>
              <w:ind w:firstLine="0"/>
              <w:contextualSpacing/>
              <w:jc w:val="both"/>
              <w:rPr>
                <w:rFonts w:cstheme="minorBidi"/>
                <w:b/>
                <w:color w:val="auto"/>
                <w:sz w:val="22"/>
                <w:szCs w:val="22"/>
                <w:lang w:val="lv-LV"/>
              </w:rPr>
            </w:pPr>
            <w:r w:rsidRPr="00F55A65">
              <w:rPr>
                <w:rFonts w:cstheme="minorBidi"/>
                <w:b/>
                <w:color w:val="auto"/>
                <w:sz w:val="22"/>
                <w:szCs w:val="22"/>
                <w:lang w:val="lv-LV"/>
              </w:rPr>
              <w:t>Anotācija</w:t>
            </w:r>
          </w:p>
          <w:p w:rsidR="00C6342B" w:rsidRPr="00F55A65" w:rsidRDefault="00C6342B" w:rsidP="00C6342B">
            <w:pPr>
              <w:pStyle w:val="tv2132"/>
              <w:spacing w:line="240" w:lineRule="auto"/>
              <w:contextualSpacing/>
              <w:jc w:val="both"/>
              <w:rPr>
                <w:rFonts w:cstheme="minorBidi"/>
                <w:color w:val="auto"/>
                <w:sz w:val="22"/>
                <w:szCs w:val="22"/>
                <w:lang w:val="lv-LV"/>
              </w:rPr>
            </w:pPr>
            <w:r w:rsidRPr="00F55A65">
              <w:rPr>
                <w:rFonts w:cstheme="minorBidi"/>
                <w:color w:val="auto"/>
                <w:sz w:val="22"/>
                <w:szCs w:val="22"/>
                <w:lang w:val="lv-LV"/>
              </w:rPr>
              <w:t>Attiecībā uz sadarbības partneri – augstskolu attiecināmi tie paši nosacījumi kā uz projekta iesniedzējiem, savukārt attiecībā uz sadarbības partneri – zinātnisko institūciju, citu publisko vai privāto organizāciju, paredzēts, ka tās projektos iesaistīsies ar to cilvēkresursiem kā projekta īstenošanas personālu, personālam sedzot faktiskās izmaksas, un tādējādi neradot projektos iesaistītajām zinātniskajām institūcijām, publiskajām vai privātajām organizācijām ekonomiskās priekšrocības.</w:t>
            </w:r>
          </w:p>
          <w:p w:rsidR="0021428B" w:rsidRPr="00F55A65" w:rsidRDefault="0021428B" w:rsidP="00D666C8">
            <w:pPr>
              <w:pStyle w:val="tv2132"/>
              <w:spacing w:line="240" w:lineRule="auto"/>
              <w:ind w:firstLine="0"/>
              <w:contextualSpacing/>
              <w:jc w:val="both"/>
              <w:rPr>
                <w:rFonts w:cstheme="minorBidi"/>
                <w:color w:val="FF0000"/>
                <w:sz w:val="22"/>
                <w:szCs w:val="22"/>
                <w:lang w:val="lv-LV"/>
              </w:rPr>
            </w:pPr>
          </w:p>
        </w:tc>
        <w:tc>
          <w:tcPr>
            <w:tcW w:w="3969" w:type="dxa"/>
            <w:shd w:val="clear" w:color="auto" w:fill="auto"/>
          </w:tcPr>
          <w:p w:rsidR="007936F7" w:rsidRPr="00F55A65" w:rsidRDefault="007936F7" w:rsidP="007936F7">
            <w:pPr>
              <w:widowControl w:val="0"/>
              <w:spacing w:after="0" w:line="240" w:lineRule="auto"/>
              <w:jc w:val="both"/>
              <w:rPr>
                <w:rFonts w:ascii="Times New Roman" w:eastAsia="Calibri" w:hAnsi="Times New Roman" w:cs="Times New Roman"/>
                <w:b/>
                <w:lang w:val="lv-LV"/>
              </w:rPr>
            </w:pPr>
            <w:r w:rsidRPr="00F55A65">
              <w:rPr>
                <w:rFonts w:ascii="Times New Roman" w:eastAsia="Calibri" w:hAnsi="Times New Roman" w:cs="Times New Roman"/>
                <w:b/>
                <w:lang w:val="lv-LV"/>
              </w:rPr>
              <w:t>Finanšu ministrija</w:t>
            </w:r>
          </w:p>
          <w:p w:rsidR="007936F7" w:rsidRPr="00F55A65" w:rsidRDefault="007936F7" w:rsidP="007936F7">
            <w:pPr>
              <w:widowControl w:val="0"/>
              <w:spacing w:after="0" w:line="240" w:lineRule="auto"/>
              <w:jc w:val="both"/>
              <w:rPr>
                <w:rFonts w:ascii="Times New Roman" w:eastAsia="Calibri" w:hAnsi="Times New Roman" w:cs="Times New Roman"/>
                <w:b/>
                <w:lang w:val="lv-LV"/>
              </w:rPr>
            </w:pPr>
            <w:r w:rsidRPr="00F55A65">
              <w:rPr>
                <w:rFonts w:ascii="Times New Roman" w:eastAsia="Calibri" w:hAnsi="Times New Roman" w:cs="Times New Roman"/>
                <w:b/>
                <w:lang w:val="lv-LV"/>
              </w:rPr>
              <w:t>11. novembra elektroniskās saskaņoš</w:t>
            </w:r>
            <w:r w:rsidR="007B48BD" w:rsidRPr="00F55A65">
              <w:rPr>
                <w:rFonts w:ascii="Times New Roman" w:eastAsia="Calibri" w:hAnsi="Times New Roman" w:cs="Times New Roman"/>
                <w:b/>
                <w:lang w:val="lv-LV"/>
              </w:rPr>
              <w:t>anas laikā izteiktais iebildums</w:t>
            </w:r>
          </w:p>
          <w:p w:rsidR="007936F7" w:rsidRPr="00F55A65" w:rsidRDefault="007936F7" w:rsidP="00DA6228">
            <w:pPr>
              <w:widowControl w:val="0"/>
              <w:spacing w:after="0" w:line="240" w:lineRule="auto"/>
              <w:jc w:val="both"/>
              <w:rPr>
                <w:rFonts w:ascii="Times New Roman" w:eastAsia="Calibri" w:hAnsi="Times New Roman" w:cs="Times New Roman"/>
                <w:lang w:val="lv-LV"/>
              </w:rPr>
            </w:pPr>
            <w:r w:rsidRPr="00F55A65">
              <w:rPr>
                <w:rFonts w:ascii="Times New Roman" w:eastAsia="Calibri" w:hAnsi="Times New Roman" w:cs="Times New Roman"/>
                <w:lang w:val="lv-LV"/>
              </w:rPr>
              <w:t xml:space="preserve">Lūdzam anotācijas I sadaļas “Tiesību akta projekta izstrādes nepieciešamība” 2.punktā (6.lp.) ietverto skaidrojumu, ka “Uzņēmumiem pozitīvais ieguvums no šādas sadarbības būtu tas, ka tie iegūtu labāk sagatavotus speciālistus, līdz ar to mazāk būtu jāinvestē to apmācībā, uzsākot darbu konkrētajā uzņēmumā. Līdz ar to uzņēmumi kā sadarbības partneri ir ieinteresēti veltīt savu laiku un cilvēkresursus, nodrošinot savu ekspertīzi digitālā satura radīšanai, par to saņemot tādu atlīdzību, kas sedz faktiskās izmaksas” papildināt ar informāciju, kādas tieši faktiskās izmaksas varētu tikt segtas šiem sadarbības partneriem, kā arī skaidrot, vai tie pamatā projektā iesaistīties ar savu ekspertīzi un zināšanām, un lūdzam norādīt, vai minēto faktisko izmaksu apmērs nepārsniegs vidējās izmaksas tirgū. Skaidrojam, ka komercdarbības atbalsta pazīmi – ekonomisko priekšrocību – var izslēgt, ja tiek pierādīts, ka saņēmējs negūst nekādu ekonomisko labumu, ņemot vērā, ka par tā radušajām izmaksām projekta iesaistē tiek maksāta tirgus līmenim atbilstoša samaksa. Papildus pēc iepriekš minētās informācijas izvērtēšanas un iekļaušanas anotācijas tekstā, lūdzam anotāciju papildināt ar gala secinājumu, vai sadarbības partneriem – īpaši uzņēmumiem, zinātniskajām institūcijām, citām publiskajām vai privātajām organizācijām – netiek radītas </w:t>
            </w:r>
            <w:r w:rsidRPr="00F55A65">
              <w:rPr>
                <w:rFonts w:ascii="Times New Roman" w:eastAsia="Calibri" w:hAnsi="Times New Roman" w:cs="Times New Roman"/>
                <w:lang w:val="lv-LV"/>
              </w:rPr>
              <w:lastRenderedPageBreak/>
              <w:t>ekonomiskās priekšrocības un attiecīgi to līmenī netiek konstatēta komercdarbības atbalsta sniegšana.</w:t>
            </w:r>
          </w:p>
        </w:tc>
        <w:tc>
          <w:tcPr>
            <w:tcW w:w="3119" w:type="dxa"/>
            <w:shd w:val="clear" w:color="auto" w:fill="auto"/>
          </w:tcPr>
          <w:p w:rsidR="00A635EA" w:rsidRDefault="007936F7"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tc>
        <w:tc>
          <w:tcPr>
            <w:tcW w:w="3260" w:type="dxa"/>
          </w:tcPr>
          <w:p w:rsidR="00C6342B" w:rsidRPr="00C6342B" w:rsidRDefault="00C6342B" w:rsidP="00C6342B">
            <w:pPr>
              <w:pStyle w:val="tv2132"/>
              <w:spacing w:line="240" w:lineRule="auto"/>
              <w:ind w:firstLine="0"/>
              <w:contextualSpacing/>
              <w:jc w:val="both"/>
              <w:rPr>
                <w:rFonts w:cstheme="minorBidi"/>
                <w:b/>
                <w:color w:val="auto"/>
                <w:sz w:val="22"/>
                <w:szCs w:val="22"/>
                <w:lang w:val="lv-LV"/>
              </w:rPr>
            </w:pPr>
            <w:r w:rsidRPr="00C6342B">
              <w:rPr>
                <w:rFonts w:cstheme="minorBidi"/>
                <w:b/>
                <w:color w:val="auto"/>
                <w:sz w:val="22"/>
                <w:szCs w:val="22"/>
                <w:lang w:val="lv-LV"/>
              </w:rPr>
              <w:t>Anotācija</w:t>
            </w:r>
          </w:p>
          <w:p w:rsidR="00C6342B" w:rsidRPr="00C6342B" w:rsidRDefault="00C6342B" w:rsidP="00C6342B">
            <w:pPr>
              <w:pStyle w:val="tv2132"/>
              <w:spacing w:line="240" w:lineRule="auto"/>
              <w:contextualSpacing/>
              <w:jc w:val="both"/>
              <w:rPr>
                <w:rFonts w:cstheme="minorBidi"/>
                <w:color w:val="auto"/>
                <w:sz w:val="22"/>
                <w:szCs w:val="22"/>
                <w:lang w:val="lv-LV"/>
              </w:rPr>
            </w:pPr>
            <w:r w:rsidRPr="00C6342B">
              <w:rPr>
                <w:rFonts w:cstheme="minorBidi"/>
                <w:color w:val="auto"/>
                <w:sz w:val="22"/>
                <w:szCs w:val="22"/>
                <w:lang w:val="lv-LV"/>
              </w:rPr>
              <w:t>Attiecībā uz sadarbības partneri – augstskolu attiecināmi tie paši nosacījumi kā uz projekta iesniedzējiem, savukārt attiecībā uz sadarbības partneri – zinātnisko institūciju, citu publisko vai privāto organizāciju, paredzēts, ka tās pamatā projektos iesaistīsies ar to cilvēkresursiem (</w:t>
            </w:r>
            <w:r w:rsidRPr="00D666C8">
              <w:rPr>
                <w:rFonts w:cstheme="minorBidi"/>
                <w:b/>
                <w:color w:val="auto"/>
                <w:sz w:val="22"/>
                <w:szCs w:val="22"/>
                <w:lang w:val="lv-LV"/>
              </w:rPr>
              <w:t>ekspertīzi, zināšanām</w:t>
            </w:r>
            <w:r w:rsidRPr="00C6342B">
              <w:rPr>
                <w:rFonts w:cstheme="minorBidi"/>
                <w:color w:val="auto"/>
                <w:sz w:val="22"/>
                <w:szCs w:val="22"/>
                <w:lang w:val="lv-LV"/>
              </w:rPr>
              <w:t xml:space="preserve">) kā projekta īstenošanas personālu, personālam sedzot faktiskās nepieciešamās izmaksas, </w:t>
            </w:r>
            <w:r w:rsidRPr="00D666C8">
              <w:rPr>
                <w:rFonts w:cstheme="minorBidi"/>
                <w:b/>
                <w:color w:val="auto"/>
                <w:sz w:val="22"/>
                <w:szCs w:val="22"/>
                <w:lang w:val="lv-LV"/>
              </w:rPr>
              <w:t>kas būs pamatotas un pierādāmas, piemēram, atlīdzības izmaksas atbilstoši tirgus līmenim, komandējumu un darba braucienu izmaksas.</w:t>
            </w:r>
            <w:r w:rsidRPr="00C6342B">
              <w:rPr>
                <w:rFonts w:cstheme="minorBidi"/>
                <w:color w:val="auto"/>
                <w:sz w:val="22"/>
                <w:szCs w:val="22"/>
                <w:lang w:val="lv-LV"/>
              </w:rPr>
              <w:t xml:space="preserve"> Līdz ar to sadarbības partneriem – uzņēmumiem, zinātniskajām institūcijām, citām publiskajām vai privātajām organizācijām – </w:t>
            </w:r>
            <w:r w:rsidRPr="00D666C8">
              <w:rPr>
                <w:rFonts w:cstheme="minorBidi"/>
                <w:b/>
                <w:color w:val="auto"/>
                <w:sz w:val="22"/>
                <w:szCs w:val="22"/>
                <w:lang w:val="lv-LV"/>
              </w:rPr>
              <w:t>netiek radītas ekonomiskās priekšrocības, un attiecīgi to līmenī netiek konstatēta komercdarbības atbalsta sniegšana</w:t>
            </w:r>
            <w:r w:rsidRPr="00C6342B">
              <w:rPr>
                <w:rFonts w:cstheme="minorBidi"/>
                <w:color w:val="auto"/>
                <w:sz w:val="22"/>
                <w:szCs w:val="22"/>
                <w:lang w:val="lv-LV"/>
              </w:rPr>
              <w:t>.</w:t>
            </w:r>
          </w:p>
          <w:p w:rsidR="00A635EA" w:rsidRPr="00B61645" w:rsidRDefault="00A635EA" w:rsidP="00C6342B">
            <w:pPr>
              <w:pStyle w:val="tv2132"/>
              <w:spacing w:line="240" w:lineRule="auto"/>
              <w:ind w:firstLine="0"/>
              <w:contextualSpacing/>
              <w:jc w:val="both"/>
              <w:rPr>
                <w:rFonts w:cstheme="minorBidi"/>
                <w:color w:val="auto"/>
                <w:sz w:val="22"/>
                <w:szCs w:val="22"/>
                <w:lang w:val="lv-LV"/>
              </w:rPr>
            </w:pPr>
          </w:p>
        </w:tc>
      </w:tr>
      <w:tr w:rsidR="00DB0807" w:rsidRPr="0002494F" w:rsidTr="00F70E0C">
        <w:trPr>
          <w:trHeight w:val="274"/>
        </w:trPr>
        <w:tc>
          <w:tcPr>
            <w:tcW w:w="13887" w:type="dxa"/>
            <w:gridSpan w:val="5"/>
            <w:shd w:val="clear" w:color="auto" w:fill="D0CECE" w:themeFill="background2" w:themeFillShade="E6"/>
          </w:tcPr>
          <w:p w:rsidR="00DB0807" w:rsidRPr="0002494F" w:rsidRDefault="00DB0807" w:rsidP="002E4E4F">
            <w:pPr>
              <w:pStyle w:val="tv2132"/>
              <w:spacing w:line="240" w:lineRule="auto"/>
              <w:ind w:firstLine="0"/>
              <w:contextualSpacing/>
              <w:jc w:val="both"/>
              <w:rPr>
                <w:rFonts w:cstheme="minorBidi"/>
                <w:color w:val="auto"/>
                <w:sz w:val="22"/>
                <w:szCs w:val="22"/>
                <w:lang w:val="lv-LV"/>
              </w:rPr>
            </w:pPr>
            <w:r w:rsidRPr="000A6480">
              <w:rPr>
                <w:rFonts w:cstheme="minorBidi"/>
                <w:b/>
                <w:color w:val="auto"/>
                <w:sz w:val="22"/>
                <w:szCs w:val="22"/>
                <w:lang w:val="lv-LV"/>
              </w:rPr>
              <w:lastRenderedPageBreak/>
              <w:t>Priekšlikumi</w:t>
            </w:r>
          </w:p>
        </w:tc>
      </w:tr>
      <w:tr w:rsidR="005770BE" w:rsidRPr="0002494F" w:rsidTr="00F70E0C">
        <w:trPr>
          <w:trHeight w:val="274"/>
        </w:trPr>
        <w:tc>
          <w:tcPr>
            <w:tcW w:w="964" w:type="dxa"/>
            <w:shd w:val="clear" w:color="auto" w:fill="auto"/>
          </w:tcPr>
          <w:p w:rsidR="00163D79" w:rsidRPr="0002494F" w:rsidRDefault="00163D79" w:rsidP="00E120DB">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5</w:t>
            </w:r>
            <w:r w:rsidR="00E120DB">
              <w:rPr>
                <w:rFonts w:ascii="Times New Roman" w:eastAsia="Calibri" w:hAnsi="Times New Roman" w:cs="Times New Roman"/>
                <w:lang w:val="lv-LV"/>
              </w:rPr>
              <w:t>7</w:t>
            </w:r>
            <w:r>
              <w:rPr>
                <w:rFonts w:ascii="Times New Roman" w:eastAsia="Calibri" w:hAnsi="Times New Roman" w:cs="Times New Roman"/>
                <w:lang w:val="lv-LV"/>
              </w:rPr>
              <w:t>.</w:t>
            </w:r>
          </w:p>
        </w:tc>
        <w:tc>
          <w:tcPr>
            <w:tcW w:w="2575" w:type="dxa"/>
            <w:shd w:val="clear" w:color="auto" w:fill="auto"/>
          </w:tcPr>
          <w:p w:rsidR="005770BE" w:rsidRDefault="005770BE"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5770BE" w:rsidRPr="005770BE" w:rsidRDefault="005770BE" w:rsidP="00E018FF">
            <w:pPr>
              <w:widowControl w:val="0"/>
              <w:spacing w:after="0" w:line="240" w:lineRule="auto"/>
              <w:jc w:val="both"/>
              <w:rPr>
                <w:rFonts w:ascii="Times New Roman" w:hAnsi="Times New Roman"/>
                <w:b/>
                <w:lang w:val="lv-LV"/>
              </w:rPr>
            </w:pPr>
            <w:r w:rsidRPr="005770BE">
              <w:rPr>
                <w:rFonts w:ascii="Times New Roman" w:hAnsi="Times New Roman"/>
                <w:b/>
                <w:lang w:val="lv-LV"/>
              </w:rPr>
              <w:t>Ku</w:t>
            </w:r>
            <w:r w:rsidR="00DB0807">
              <w:rPr>
                <w:rFonts w:ascii="Times New Roman" w:hAnsi="Times New Roman"/>
                <w:b/>
                <w:lang w:val="lv-LV"/>
              </w:rPr>
              <w:t>ltūras ministrijas priekšlikums</w:t>
            </w:r>
          </w:p>
          <w:p w:rsidR="005770BE" w:rsidRPr="005770BE" w:rsidRDefault="005770BE" w:rsidP="00E018FF">
            <w:pPr>
              <w:widowControl w:val="0"/>
              <w:spacing w:after="0" w:line="240" w:lineRule="auto"/>
              <w:jc w:val="both"/>
              <w:rPr>
                <w:rFonts w:ascii="Times New Roman" w:hAnsi="Times New Roman"/>
                <w:lang w:val="lv-LV"/>
              </w:rPr>
            </w:pPr>
            <w:r w:rsidRPr="005770BE">
              <w:rPr>
                <w:rFonts w:ascii="Times New Roman" w:hAnsi="Times New Roman"/>
                <w:lang w:val="lv-LV"/>
              </w:rPr>
              <w:t>Lūdzam izvērtēt iespēju un papildināt Projektu ar atbalstāmajām izmaksām un tajās iekļaut arī pamatlīdzekļu iegādi (tehnisko aprīkojuma studiju un pētniecības procesa nodrošināšanai) līdz konkrētam procentam (5-10%) no kopējās projekta summas. Pamatojums – specifiskā atbalsta mērķa ietvaros uzstādītos mērķus varētu būt grūti sasniegt ar esošo materiālo bāzi, piemēram, Latvijas Kultūras akadēmijas gadījumā –  8.1.1. specifiskā atbalsta mērķa projekta ietvaros pamatā tika iegādāta kino tehnika, bet 8.2.3. specifiskā atbalsta mērķa ietvaros pēc grozījumu veikšanas bija iespēja iegādāties tehniku tikai attālinātā studiju procesa nodrošināšanai, kas pavisam cita tehniskā nodrošinājuma grupa. Vēl ir arī jāņem vērā fakts, ka 8.1.1. specifiskā atbalsta mērķa ietvaros iegādātā datortehnika uz 14.1.1.1. pasākuma īstenošanas brīdi jau būs nokalpojusi  ap četriem gadiem</w:t>
            </w:r>
            <w:r>
              <w:rPr>
                <w:rFonts w:ascii="Times New Roman" w:hAnsi="Times New Roman"/>
                <w:lang w:val="lv-LV"/>
              </w:rPr>
              <w:t>.</w:t>
            </w:r>
          </w:p>
        </w:tc>
        <w:tc>
          <w:tcPr>
            <w:tcW w:w="3119" w:type="dxa"/>
            <w:shd w:val="clear" w:color="auto" w:fill="auto"/>
          </w:tcPr>
          <w:p w:rsidR="005770BE" w:rsidRPr="007A638F" w:rsidRDefault="00C84FF1"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983457" w:rsidRPr="007A638F" w:rsidRDefault="00983457" w:rsidP="00ED7C06">
            <w:pPr>
              <w:spacing w:after="0" w:line="240" w:lineRule="auto"/>
              <w:jc w:val="both"/>
              <w:rPr>
                <w:rFonts w:ascii="Times New Roman" w:eastAsia="Times New Roman" w:hAnsi="Times New Roman" w:cs="Times New Roman"/>
                <w:lang w:val="lv-LV" w:eastAsia="lv-LV"/>
              </w:rPr>
            </w:pPr>
            <w:r w:rsidRPr="00ED7C06">
              <w:rPr>
                <w:rFonts w:ascii="Times New Roman" w:eastAsia="Times New Roman" w:hAnsi="Times New Roman" w:cs="Times New Roman"/>
                <w:lang w:val="lv-LV" w:eastAsia="lv-LV"/>
              </w:rPr>
              <w:t>Vienlaikus skaidrojam, ka 14.1.1.1. pas</w:t>
            </w:r>
            <w:r w:rsidR="00ED7C06" w:rsidRPr="00ED7C06">
              <w:rPr>
                <w:rFonts w:ascii="Times New Roman" w:eastAsia="Times New Roman" w:hAnsi="Times New Roman" w:cs="Times New Roman"/>
                <w:lang w:val="lv-LV" w:eastAsia="lv-LV"/>
              </w:rPr>
              <w:t>ākuma i</w:t>
            </w:r>
            <w:r w:rsidRPr="00ED7C06">
              <w:rPr>
                <w:rFonts w:ascii="Times New Roman" w:eastAsia="Times New Roman" w:hAnsi="Times New Roman" w:cs="Times New Roman"/>
                <w:lang w:val="lv-LV" w:eastAsia="lv-LV"/>
              </w:rPr>
              <w:t xml:space="preserve">etvaros </w:t>
            </w:r>
            <w:r w:rsidR="00ED7C06" w:rsidRPr="00ED7C06">
              <w:rPr>
                <w:rFonts w:ascii="Times New Roman" w:eastAsia="Times New Roman" w:hAnsi="Times New Roman" w:cs="Times New Roman"/>
                <w:lang w:val="lv-LV" w:eastAsia="lv-LV"/>
              </w:rPr>
              <w:t>ir</w:t>
            </w:r>
            <w:r w:rsidRPr="00ED7C06">
              <w:rPr>
                <w:rFonts w:ascii="Times New Roman" w:eastAsia="Times New Roman" w:hAnsi="Times New Roman" w:cs="Times New Roman"/>
                <w:lang w:val="lv-LV" w:eastAsia="lv-LV"/>
              </w:rPr>
              <w:t xml:space="preserve"> atbalstāma tikai specifisku pamatl</w:t>
            </w:r>
            <w:r w:rsidR="00ED7C06" w:rsidRPr="00ED7C06">
              <w:rPr>
                <w:rFonts w:ascii="Times New Roman" w:eastAsia="Times New Roman" w:hAnsi="Times New Roman" w:cs="Times New Roman"/>
                <w:lang w:val="lv-LV" w:eastAsia="lv-LV"/>
              </w:rPr>
              <w:t>ī</w:t>
            </w:r>
            <w:r w:rsidRPr="00ED7C06">
              <w:rPr>
                <w:rFonts w:ascii="Times New Roman" w:eastAsia="Times New Roman" w:hAnsi="Times New Roman" w:cs="Times New Roman"/>
                <w:lang w:val="lv-LV" w:eastAsia="lv-LV"/>
              </w:rPr>
              <w:t>dzekļu iegāde</w:t>
            </w:r>
            <w:r w:rsidR="00ED7C06" w:rsidRPr="00ED7C06">
              <w:rPr>
                <w:rFonts w:ascii="Times New Roman" w:eastAsia="Times New Roman" w:hAnsi="Times New Roman" w:cs="Times New Roman"/>
                <w:lang w:val="lv-LV" w:eastAsia="lv-LV"/>
              </w:rPr>
              <w:t xml:space="preserve"> (piemēram, ar programmatūru saistītais tehniskais aprīkojums), </w:t>
            </w:r>
            <w:r w:rsidRPr="00ED7C06">
              <w:rPr>
                <w:rFonts w:ascii="Times New Roman" w:eastAsia="Times New Roman" w:hAnsi="Times New Roman" w:cs="Times New Roman"/>
                <w:lang w:val="lv-LV" w:eastAsia="lv-LV"/>
              </w:rPr>
              <w:t>bet nav atbalstāma datortehnikas</w:t>
            </w:r>
            <w:r w:rsidR="00ED7C06" w:rsidRPr="00ED7C06">
              <w:rPr>
                <w:rFonts w:ascii="Times New Roman" w:eastAsia="Times New Roman" w:hAnsi="Times New Roman" w:cs="Times New Roman"/>
                <w:lang w:val="lv-LV" w:eastAsia="lv-LV"/>
              </w:rPr>
              <w:t xml:space="preserve"> kā tādas</w:t>
            </w:r>
            <w:r w:rsidRPr="00ED7C06">
              <w:rPr>
                <w:rFonts w:ascii="Times New Roman" w:eastAsia="Times New Roman" w:hAnsi="Times New Roman" w:cs="Times New Roman"/>
                <w:lang w:val="lv-LV" w:eastAsia="lv-LV"/>
              </w:rPr>
              <w:t xml:space="preserve"> iegāde, kas bija atbalstāma </w:t>
            </w:r>
            <w:r w:rsidR="007A638F" w:rsidRPr="00ED7C06">
              <w:rPr>
                <w:rFonts w:ascii="Times New Roman" w:eastAsia="Times New Roman" w:hAnsi="Times New Roman" w:cs="Times New Roman"/>
                <w:lang w:val="lv-LV" w:eastAsia="lv-LV"/>
              </w:rPr>
              <w:t>8.1.1.</w:t>
            </w:r>
            <w:r w:rsidR="00653113">
              <w:rPr>
                <w:rFonts w:ascii="Times New Roman" w:eastAsia="Times New Roman" w:hAnsi="Times New Roman" w:cs="Times New Roman"/>
                <w:lang w:val="lv-LV" w:eastAsia="lv-LV"/>
              </w:rPr>
              <w:t xml:space="preserve"> </w:t>
            </w:r>
            <w:r w:rsidR="007A638F" w:rsidRPr="00ED7C06">
              <w:rPr>
                <w:rFonts w:ascii="Times New Roman" w:eastAsia="Times New Roman" w:hAnsi="Times New Roman" w:cs="Times New Roman"/>
                <w:lang w:val="lv-LV" w:eastAsia="lv-LV"/>
              </w:rPr>
              <w:t>SAM projektā</w:t>
            </w:r>
            <w:r w:rsidR="007A638F" w:rsidRPr="007A638F">
              <w:rPr>
                <w:rFonts w:ascii="Times New Roman" w:eastAsia="Times New Roman" w:hAnsi="Times New Roman" w:cs="Times New Roman"/>
                <w:lang w:val="lv-LV" w:eastAsia="lv-LV"/>
              </w:rPr>
              <w:t>.</w:t>
            </w:r>
          </w:p>
        </w:tc>
        <w:tc>
          <w:tcPr>
            <w:tcW w:w="3260" w:type="dxa"/>
          </w:tcPr>
          <w:p w:rsidR="005770BE" w:rsidRPr="0002494F" w:rsidRDefault="00C84FF1" w:rsidP="003233A8">
            <w:pPr>
              <w:pStyle w:val="tv2132"/>
              <w:spacing w:line="240" w:lineRule="auto"/>
              <w:ind w:firstLine="0"/>
              <w:contextualSpacing/>
              <w:jc w:val="both"/>
              <w:rPr>
                <w:rFonts w:cstheme="minorBidi"/>
                <w:color w:val="auto"/>
                <w:sz w:val="22"/>
                <w:szCs w:val="22"/>
                <w:lang w:val="lv-LV"/>
              </w:rPr>
            </w:pPr>
            <w:r w:rsidRPr="00C84FF1">
              <w:rPr>
                <w:rFonts w:cstheme="minorBidi"/>
                <w:color w:val="auto"/>
                <w:sz w:val="22"/>
                <w:szCs w:val="22"/>
                <w:lang w:val="lv-LV"/>
              </w:rPr>
              <w:t>2</w:t>
            </w:r>
            <w:r w:rsidR="00EB3CEA">
              <w:rPr>
                <w:rFonts w:cstheme="minorBidi"/>
                <w:color w:val="auto"/>
                <w:sz w:val="22"/>
                <w:szCs w:val="22"/>
                <w:lang w:val="lv-LV"/>
              </w:rPr>
              <w:t>0</w:t>
            </w:r>
            <w:r w:rsidRPr="00C84FF1">
              <w:rPr>
                <w:rFonts w:cstheme="minorBidi"/>
                <w:color w:val="auto"/>
                <w:sz w:val="22"/>
                <w:szCs w:val="22"/>
                <w:lang w:val="lv-LV"/>
              </w:rPr>
              <w:t>.7. tehniskā aprīkojuma un inventāra iegādes izmaksas šo noteikumu 1</w:t>
            </w:r>
            <w:r w:rsidR="00C25C25">
              <w:rPr>
                <w:rFonts w:cstheme="minorBidi"/>
                <w:color w:val="auto"/>
                <w:sz w:val="22"/>
                <w:szCs w:val="22"/>
                <w:lang w:val="lv-LV"/>
              </w:rPr>
              <w:t>8</w:t>
            </w:r>
            <w:r w:rsidRPr="00C84FF1">
              <w:rPr>
                <w:rFonts w:cstheme="minorBidi"/>
                <w:color w:val="auto"/>
                <w:sz w:val="22"/>
                <w:szCs w:val="22"/>
                <w:lang w:val="lv-LV"/>
              </w:rPr>
              <w:t>.</w:t>
            </w:r>
            <w:r w:rsidR="00EB3CEA">
              <w:rPr>
                <w:rFonts w:cstheme="minorBidi"/>
                <w:color w:val="auto"/>
                <w:sz w:val="22"/>
                <w:szCs w:val="22"/>
                <w:lang w:val="lv-LV"/>
              </w:rPr>
              <w:t>6</w:t>
            </w:r>
            <w:r w:rsidRPr="00C84FF1">
              <w:rPr>
                <w:rFonts w:cstheme="minorBidi"/>
                <w:color w:val="auto"/>
                <w:sz w:val="22"/>
                <w:szCs w:val="22"/>
                <w:lang w:val="lv-LV"/>
              </w:rPr>
              <w:t xml:space="preserve">. apakšpunktā minēto atbalstāmo darbību īstenošanai, ja </w:t>
            </w:r>
            <w:r w:rsidR="003233A8">
              <w:rPr>
                <w:rFonts w:cstheme="minorBidi"/>
                <w:color w:val="auto"/>
                <w:sz w:val="22"/>
                <w:szCs w:val="22"/>
                <w:lang w:val="lv-LV"/>
              </w:rPr>
              <w:t>to</w:t>
            </w:r>
            <w:r w:rsidRPr="00C84FF1">
              <w:rPr>
                <w:rFonts w:cstheme="minorBidi"/>
                <w:color w:val="auto"/>
                <w:sz w:val="22"/>
                <w:szCs w:val="22"/>
                <w:lang w:val="lv-LV"/>
              </w:rPr>
              <w:t xml:space="preserve"> iegāde ir tieši nepieciešama šo noteikumu 1</w:t>
            </w:r>
            <w:r w:rsidR="00EB3CEA">
              <w:rPr>
                <w:rFonts w:cstheme="minorBidi"/>
                <w:color w:val="auto"/>
                <w:sz w:val="22"/>
                <w:szCs w:val="22"/>
                <w:lang w:val="lv-LV"/>
              </w:rPr>
              <w:t>7</w:t>
            </w:r>
            <w:r w:rsidRPr="00C84FF1">
              <w:rPr>
                <w:rFonts w:cstheme="minorBidi"/>
                <w:color w:val="auto"/>
                <w:sz w:val="22"/>
                <w:szCs w:val="22"/>
                <w:lang w:val="lv-LV"/>
              </w:rPr>
              <w:t xml:space="preserve">.1. punktā </w:t>
            </w:r>
            <w:r w:rsidR="008B0A2E" w:rsidRPr="008B0A2E">
              <w:rPr>
                <w:rFonts w:cstheme="minorBidi"/>
                <w:color w:val="auto"/>
                <w:sz w:val="22"/>
                <w:szCs w:val="22"/>
                <w:lang w:val="lv-LV"/>
              </w:rPr>
              <w:t>minētā digitālo prasmju studiju satura īstenošanai</w:t>
            </w:r>
            <w:r w:rsidR="008B0A2E">
              <w:rPr>
                <w:rFonts w:cstheme="minorBidi"/>
                <w:color w:val="auto"/>
                <w:sz w:val="22"/>
                <w:szCs w:val="22"/>
                <w:lang w:val="lv-LV"/>
              </w:rPr>
              <w:t xml:space="preserve"> un</w:t>
            </w:r>
            <w:r w:rsidR="008B0A2E" w:rsidRPr="008B0A2E">
              <w:rPr>
                <w:rFonts w:cstheme="minorBidi"/>
                <w:color w:val="auto"/>
                <w:sz w:val="22"/>
                <w:szCs w:val="22"/>
                <w:lang w:val="lv-LV"/>
              </w:rPr>
              <w:t xml:space="preserve"> </w:t>
            </w:r>
            <w:r w:rsidRPr="00C84FF1">
              <w:rPr>
                <w:rFonts w:cstheme="minorBidi"/>
                <w:color w:val="auto"/>
                <w:sz w:val="22"/>
                <w:szCs w:val="22"/>
                <w:lang w:val="lv-LV"/>
              </w:rPr>
              <w:t>digitālo tehnoloģisko risinājumu ieviešanai</w:t>
            </w:r>
            <w:r w:rsidR="00B81EBB">
              <w:rPr>
                <w:rFonts w:cstheme="minorBidi"/>
                <w:color w:val="auto"/>
                <w:sz w:val="22"/>
                <w:szCs w:val="22"/>
                <w:lang w:val="lv-LV"/>
              </w:rPr>
              <w:t>.</w:t>
            </w:r>
          </w:p>
        </w:tc>
      </w:tr>
      <w:tr w:rsidR="005770BE" w:rsidRPr="0002494F" w:rsidTr="00F70E0C">
        <w:trPr>
          <w:trHeight w:val="274"/>
        </w:trPr>
        <w:tc>
          <w:tcPr>
            <w:tcW w:w="964" w:type="dxa"/>
            <w:shd w:val="clear" w:color="auto" w:fill="auto"/>
          </w:tcPr>
          <w:p w:rsidR="00163D79" w:rsidRPr="0002494F" w:rsidRDefault="00163D79" w:rsidP="00E120DB">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t>5</w:t>
            </w:r>
            <w:r w:rsidR="00E120DB">
              <w:rPr>
                <w:rFonts w:ascii="Times New Roman" w:eastAsia="Calibri" w:hAnsi="Times New Roman" w:cs="Times New Roman"/>
                <w:lang w:val="lv-LV"/>
              </w:rPr>
              <w:t>8</w:t>
            </w:r>
            <w:r>
              <w:rPr>
                <w:rFonts w:ascii="Times New Roman" w:eastAsia="Calibri" w:hAnsi="Times New Roman" w:cs="Times New Roman"/>
                <w:lang w:val="lv-LV"/>
              </w:rPr>
              <w:t>.</w:t>
            </w:r>
          </w:p>
        </w:tc>
        <w:tc>
          <w:tcPr>
            <w:tcW w:w="2575" w:type="dxa"/>
            <w:shd w:val="clear" w:color="auto" w:fill="auto"/>
          </w:tcPr>
          <w:p w:rsidR="005770BE" w:rsidRDefault="00BE4AB9" w:rsidP="00CD76E6">
            <w:pPr>
              <w:pStyle w:val="tv2132"/>
              <w:spacing w:line="240" w:lineRule="auto"/>
              <w:ind w:firstLine="0"/>
              <w:contextualSpacing/>
              <w:jc w:val="both"/>
              <w:rPr>
                <w:rFonts w:cstheme="minorBidi"/>
                <w:color w:val="auto"/>
                <w:sz w:val="22"/>
                <w:szCs w:val="22"/>
                <w:lang w:val="lv-LV"/>
              </w:rPr>
            </w:pPr>
            <w:r w:rsidRPr="00BE4AB9">
              <w:rPr>
                <w:rFonts w:cstheme="minorBidi"/>
                <w:color w:val="auto"/>
                <w:sz w:val="22"/>
                <w:szCs w:val="22"/>
                <w:lang w:val="lv-LV"/>
              </w:rPr>
              <w:t xml:space="preserve">12. Projekta iesniedzējs projekta iesniegumu iesniedz un projektu īsteno ar vismaz diviem sadarbības partneriem – augstskolām, projekta iesniegumā pamatojot to izvēli, nepieciešamību un norādot tās iesaisti atbalstāmo darbību īstenošanā. Projekta </w:t>
            </w:r>
            <w:r w:rsidRPr="00BE4AB9">
              <w:rPr>
                <w:rFonts w:cstheme="minorBidi"/>
                <w:color w:val="auto"/>
                <w:sz w:val="22"/>
                <w:szCs w:val="22"/>
                <w:lang w:val="lv-LV"/>
              </w:rPr>
              <w:lastRenderedPageBreak/>
              <w:t>iesniedzējs projektu var īstenot arī ar vairākiem sadarbības partneriem, tai skaitā zinātniskajām institūcijām un citām privātajām vai publiskajām organizācijām</w:t>
            </w:r>
            <w:r>
              <w:rPr>
                <w:rFonts w:cstheme="minorBidi"/>
                <w:color w:val="auto"/>
                <w:sz w:val="22"/>
                <w:szCs w:val="22"/>
                <w:lang w:val="lv-LV"/>
              </w:rPr>
              <w:t>.</w:t>
            </w:r>
          </w:p>
        </w:tc>
        <w:tc>
          <w:tcPr>
            <w:tcW w:w="3969" w:type="dxa"/>
            <w:shd w:val="clear" w:color="auto" w:fill="auto"/>
          </w:tcPr>
          <w:p w:rsidR="005770BE" w:rsidRDefault="005770BE" w:rsidP="005770BE">
            <w:pPr>
              <w:widowControl w:val="0"/>
              <w:spacing w:after="0" w:line="240" w:lineRule="auto"/>
              <w:jc w:val="both"/>
              <w:rPr>
                <w:rFonts w:ascii="Times New Roman" w:hAnsi="Times New Roman"/>
                <w:b/>
                <w:lang w:val="lv-LV"/>
              </w:rPr>
            </w:pPr>
            <w:r>
              <w:rPr>
                <w:rFonts w:ascii="Times New Roman" w:hAnsi="Times New Roman"/>
                <w:b/>
                <w:lang w:val="lv-LV"/>
              </w:rPr>
              <w:lastRenderedPageBreak/>
              <w:t>Latvijas Universitāšu asociācijas  priekšlikums</w:t>
            </w:r>
          </w:p>
          <w:p w:rsidR="005770BE" w:rsidRPr="00BA2BFD" w:rsidRDefault="00BA2BFD" w:rsidP="005770BE">
            <w:pPr>
              <w:widowControl w:val="0"/>
              <w:spacing w:after="0" w:line="240" w:lineRule="auto"/>
              <w:jc w:val="both"/>
              <w:rPr>
                <w:rFonts w:ascii="Times New Roman" w:hAnsi="Times New Roman"/>
                <w:lang w:val="lv-LV"/>
              </w:rPr>
            </w:pPr>
            <w:r w:rsidRPr="00BA2BFD">
              <w:rPr>
                <w:rFonts w:ascii="Times New Roman" w:hAnsi="Times New Roman"/>
                <w:lang w:val="lv-LV"/>
              </w:rPr>
              <w:t xml:space="preserve">Vairāku augstskolu digitalizācijas iniciatīvu kopēja īstenošana var radīt neprognozējamus sarežģījumus nākotnē. Tas izriet no apstākļiem, ka augstskolu konsolidācijas rezultātā projekta saistības var pāriet citām augstskolām, kuras realizē atšķirīgus digitalizācijas risinājumus. Lai šādu iespējamo risku mazinātu, MK noteikumu projektā būtu atrunājams, ka </w:t>
            </w:r>
            <w:r w:rsidRPr="00BA2BFD">
              <w:rPr>
                <w:rFonts w:ascii="Times New Roman" w:hAnsi="Times New Roman"/>
                <w:lang w:val="lv-LV"/>
              </w:rPr>
              <w:lastRenderedPageBreak/>
              <w:t>projekts īstenojams ar vismaz vienu sadarbības partneri (MK noteikumu projekta 12.punkts). Līdz ar to lielāks sadarbības partneru skaits varētu būt izvēles gadījums, ja pastāvētu iespēja prognozēt pilnvērtīgas projekta realizācijas perspektīvas</w:t>
            </w:r>
            <w:r>
              <w:rPr>
                <w:rFonts w:ascii="Times New Roman" w:hAnsi="Times New Roman"/>
                <w:lang w:val="lv-LV"/>
              </w:rPr>
              <w:t>.</w:t>
            </w:r>
            <w:r w:rsidR="00BC6DBF">
              <w:rPr>
                <w:rFonts w:ascii="Times New Roman" w:hAnsi="Times New Roman"/>
                <w:lang w:val="lv-LV"/>
              </w:rPr>
              <w:t xml:space="preserve"> </w:t>
            </w:r>
            <w:r w:rsidR="00BC6DBF" w:rsidRPr="00BC6DBF">
              <w:rPr>
                <w:rFonts w:ascii="Times New Roman" w:hAnsi="Times New Roman"/>
                <w:lang w:val="lv-LV"/>
              </w:rPr>
              <w:t>Plašāku sadarbības partneru loku projektā varētu sekmēt sabiedriski nozīmīgu pakalpojumu sniedzēju piesaiste. Tas, piemēram, dotu iespēju sadarbību medicīnas jomā realizēt augstskolai ar konkrētu klīniku vai vairākām klīnikām, attiecīgi sekmējot pakalpojumu sniegšanu universitātes stratēģiskās specializācijas jomās</w:t>
            </w:r>
            <w:r w:rsidR="00BC6DBF">
              <w:rPr>
                <w:rFonts w:ascii="Times New Roman" w:hAnsi="Times New Roman"/>
                <w:lang w:val="lv-LV"/>
              </w:rPr>
              <w:t>.</w:t>
            </w:r>
          </w:p>
        </w:tc>
        <w:tc>
          <w:tcPr>
            <w:tcW w:w="3119" w:type="dxa"/>
            <w:shd w:val="clear" w:color="auto" w:fill="auto"/>
          </w:tcPr>
          <w:p w:rsidR="00EB3CEA" w:rsidRDefault="00EB3CEA" w:rsidP="00E018FF">
            <w:pPr>
              <w:spacing w:after="0" w:line="240" w:lineRule="auto"/>
              <w:jc w:val="both"/>
              <w:rPr>
                <w:rFonts w:ascii="Times New Roman" w:eastAsia="Times New Roman" w:hAnsi="Times New Roman" w:cs="Times New Roman"/>
                <w:b/>
                <w:lang w:val="lv-LV" w:eastAsia="lv-LV"/>
              </w:rPr>
            </w:pPr>
            <w:r w:rsidRPr="00F70E0C">
              <w:rPr>
                <w:rFonts w:ascii="Times New Roman" w:eastAsia="Times New Roman" w:hAnsi="Times New Roman" w:cs="Times New Roman"/>
                <w:b/>
                <w:lang w:val="lv-LV" w:eastAsia="lv-LV"/>
              </w:rPr>
              <w:lastRenderedPageBreak/>
              <w:t>Nav ņ</w:t>
            </w:r>
            <w:r w:rsidR="00BA2BFD" w:rsidRPr="00F70E0C">
              <w:rPr>
                <w:rFonts w:ascii="Times New Roman" w:eastAsia="Times New Roman" w:hAnsi="Times New Roman" w:cs="Times New Roman"/>
                <w:b/>
                <w:lang w:val="lv-LV" w:eastAsia="lv-LV"/>
              </w:rPr>
              <w:t>emts vērā</w:t>
            </w:r>
            <w:r w:rsidR="0019058E">
              <w:rPr>
                <w:rFonts w:ascii="Times New Roman" w:eastAsia="Times New Roman" w:hAnsi="Times New Roman" w:cs="Times New Roman"/>
                <w:b/>
                <w:lang w:val="lv-LV" w:eastAsia="lv-LV"/>
              </w:rPr>
              <w:t xml:space="preserve"> </w:t>
            </w:r>
          </w:p>
          <w:p w:rsidR="00661B1A" w:rsidRPr="00661B1A" w:rsidRDefault="00661B1A" w:rsidP="00661B1A">
            <w:pPr>
              <w:spacing w:after="0" w:line="240" w:lineRule="auto"/>
              <w:jc w:val="both"/>
              <w:rPr>
                <w:rFonts w:ascii="Times New Roman" w:eastAsia="Times New Roman" w:hAnsi="Times New Roman" w:cs="Times New Roman"/>
                <w:lang w:val="lv-LV" w:eastAsia="lv-LV"/>
              </w:rPr>
            </w:pPr>
            <w:r w:rsidRPr="00661B1A">
              <w:rPr>
                <w:rFonts w:ascii="Times New Roman" w:eastAsia="Times New Roman" w:hAnsi="Times New Roman" w:cs="Times New Roman"/>
                <w:lang w:val="lv-LV" w:eastAsia="lv-LV"/>
              </w:rPr>
              <w:t xml:space="preserve">Skaidrojam, ka divu augstskolu sadarbības gadījumā var nebūt pietiekami pārstāvētas intereses un vajadzības. No laika, cilvēku un finanšu resursu viedokļa mērķtiecīgāks un efektīvāks ir tāds ieguldījums, kur studiju saturu kopīgi pilnveido vairāk kā divas augstskolas. Vismaz trīs augstskolu sadarbība projektā </w:t>
            </w:r>
            <w:r w:rsidRPr="00661B1A">
              <w:rPr>
                <w:rFonts w:ascii="Times New Roman" w:eastAsia="Times New Roman" w:hAnsi="Times New Roman" w:cs="Times New Roman"/>
                <w:lang w:val="lv-LV" w:eastAsia="lv-LV"/>
              </w:rPr>
              <w:lastRenderedPageBreak/>
              <w:t>mazinās risku, ka dažādos projektos tiek ieviestas līdzīgas iniciatīvas, kā arī radīs tādus rezultātus, kas būs izmantojami pēc iespējas lielākam studējošo skaitam.</w:t>
            </w:r>
          </w:p>
          <w:p w:rsidR="00661B1A" w:rsidRPr="00661B1A" w:rsidRDefault="00661B1A" w:rsidP="00661B1A">
            <w:pPr>
              <w:spacing w:after="0" w:line="240" w:lineRule="auto"/>
              <w:jc w:val="both"/>
              <w:rPr>
                <w:rFonts w:ascii="Times New Roman" w:eastAsia="Times New Roman" w:hAnsi="Times New Roman" w:cs="Times New Roman"/>
                <w:lang w:val="lv-LV" w:eastAsia="lv-LV"/>
              </w:rPr>
            </w:pPr>
            <w:r w:rsidRPr="00661B1A">
              <w:rPr>
                <w:rFonts w:ascii="Times New Roman" w:eastAsia="Times New Roman" w:hAnsi="Times New Roman" w:cs="Times New Roman"/>
                <w:lang w:val="lv-LV" w:eastAsia="lv-LV"/>
              </w:rPr>
              <w:t>Vismaz trīs augstskolu partnerība projektā dos iespēju apvienot savus spēkus, labākās idejas un intelektuālo potenciālu no vairākām augstskolām, lai kopīgi radītu (pielāgotu) tādu digitālu saturu, kas ir universāls (starpdisciplinārs), vienlaikus piemērots partneraugstskolu kopīgajām studiju jomām, tomēr nefokusējoties uz ļoti šaurām specializācijas jomām, lai tas būtu izmantojams pēc iespējas plašākam interesentu lokam.</w:t>
            </w:r>
          </w:p>
          <w:p w:rsidR="00EB3CEA" w:rsidRDefault="00661B1A" w:rsidP="00661B1A">
            <w:pPr>
              <w:spacing w:after="0" w:line="240" w:lineRule="auto"/>
              <w:jc w:val="both"/>
              <w:rPr>
                <w:rFonts w:ascii="Times New Roman" w:eastAsia="Times New Roman" w:hAnsi="Times New Roman" w:cs="Times New Roman"/>
                <w:b/>
                <w:lang w:val="lv-LV" w:eastAsia="lv-LV"/>
              </w:rPr>
            </w:pPr>
            <w:r w:rsidRPr="00661B1A">
              <w:rPr>
                <w:rFonts w:ascii="Times New Roman" w:eastAsia="Times New Roman" w:hAnsi="Times New Roman" w:cs="Times New Roman"/>
                <w:lang w:val="lv-LV" w:eastAsia="lv-LV"/>
              </w:rPr>
              <w:t xml:space="preserve">Ņemot vērā, ka 14.1.1.1. pasākums primāri ir vērsts uz studiju satura pilnveidi, IZM ieskatā nepastāv risks, ka projekta saistības vismaz trīs augstskolu sadarbībā pēc augstskolu konsolidācijas var pāriet citām augstskolām. </w:t>
            </w:r>
          </w:p>
          <w:p w:rsidR="007A638F" w:rsidRPr="0002494F" w:rsidRDefault="00EB3CEA" w:rsidP="00B61645">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lang w:val="lv-LV" w:eastAsia="lv-LV"/>
              </w:rPr>
              <w:t>Papildus s</w:t>
            </w:r>
            <w:r w:rsidR="001B7C2B" w:rsidRPr="007340A4">
              <w:rPr>
                <w:rFonts w:ascii="Times New Roman" w:eastAsia="Times New Roman" w:hAnsi="Times New Roman" w:cs="Times New Roman"/>
                <w:lang w:val="lv-LV" w:eastAsia="lv-LV"/>
              </w:rPr>
              <w:t xml:space="preserve">k. izziņas </w:t>
            </w:r>
            <w:r w:rsidR="007340A4">
              <w:rPr>
                <w:rFonts w:ascii="Times New Roman" w:eastAsia="Times New Roman" w:hAnsi="Times New Roman" w:cs="Times New Roman"/>
                <w:lang w:val="lv-LV" w:eastAsia="lv-LV"/>
              </w:rPr>
              <w:t>1</w:t>
            </w:r>
            <w:r w:rsidR="00B61645">
              <w:rPr>
                <w:rFonts w:ascii="Times New Roman" w:eastAsia="Times New Roman" w:hAnsi="Times New Roman" w:cs="Times New Roman"/>
                <w:lang w:val="lv-LV" w:eastAsia="lv-LV"/>
              </w:rPr>
              <w:t>7</w:t>
            </w:r>
            <w:r w:rsidR="007340A4">
              <w:rPr>
                <w:rFonts w:ascii="Times New Roman" w:eastAsia="Times New Roman" w:hAnsi="Times New Roman" w:cs="Times New Roman"/>
                <w:lang w:val="lv-LV" w:eastAsia="lv-LV"/>
              </w:rPr>
              <w:t xml:space="preserve">. punkta skaidrojumu </w:t>
            </w:r>
            <w:r>
              <w:rPr>
                <w:rFonts w:ascii="Times New Roman" w:eastAsia="Times New Roman" w:hAnsi="Times New Roman" w:cs="Times New Roman"/>
                <w:lang w:val="lv-LV" w:eastAsia="lv-LV"/>
              </w:rPr>
              <w:t>2</w:t>
            </w:r>
            <w:r w:rsidR="007340A4">
              <w:rPr>
                <w:rFonts w:ascii="Times New Roman" w:eastAsia="Times New Roman" w:hAnsi="Times New Roman" w:cs="Times New Roman"/>
                <w:lang w:val="lv-LV" w:eastAsia="lv-LV"/>
              </w:rPr>
              <w:t>).</w:t>
            </w:r>
          </w:p>
        </w:tc>
        <w:tc>
          <w:tcPr>
            <w:tcW w:w="3260" w:type="dxa"/>
          </w:tcPr>
          <w:p w:rsidR="005770BE" w:rsidRPr="0002494F" w:rsidRDefault="00BE4AB9" w:rsidP="002E4E4F">
            <w:pPr>
              <w:pStyle w:val="tv2132"/>
              <w:spacing w:line="240" w:lineRule="auto"/>
              <w:ind w:firstLine="0"/>
              <w:contextualSpacing/>
              <w:jc w:val="both"/>
              <w:rPr>
                <w:rFonts w:cstheme="minorBidi"/>
                <w:color w:val="auto"/>
                <w:sz w:val="22"/>
                <w:szCs w:val="22"/>
                <w:lang w:val="lv-LV"/>
              </w:rPr>
            </w:pPr>
            <w:r w:rsidRPr="00BE4AB9">
              <w:rPr>
                <w:rFonts w:cstheme="minorBidi"/>
                <w:color w:val="auto"/>
                <w:sz w:val="22"/>
                <w:szCs w:val="22"/>
                <w:lang w:val="lv-LV"/>
              </w:rPr>
              <w:lastRenderedPageBreak/>
              <w:t xml:space="preserve">12. Projekta iesniedzējs projekta iesniegumu iesniedz un projektu īsteno ar vismaz diviem sadarbības partneriem – augstskolām, projekta iesniegumā pamatojot tās izvēli, nepieciešamību un norādot tās iesaisti atbalstāmo darbību īstenošanā. </w:t>
            </w:r>
            <w:r w:rsidRPr="00BE4AB9">
              <w:rPr>
                <w:rFonts w:cstheme="minorBidi"/>
                <w:b/>
                <w:color w:val="auto"/>
                <w:sz w:val="22"/>
                <w:szCs w:val="22"/>
                <w:lang w:val="lv-LV"/>
              </w:rPr>
              <w:t>Papildu obligātajiem diviem sadarbības partneriem</w:t>
            </w:r>
            <w:r w:rsidRPr="00BE4AB9">
              <w:rPr>
                <w:rFonts w:cstheme="minorBidi"/>
                <w:color w:val="auto"/>
                <w:sz w:val="22"/>
                <w:szCs w:val="22"/>
                <w:lang w:val="lv-LV"/>
              </w:rPr>
              <w:t xml:space="preserve">  projekta iesniedzējs projektu var īstenot arī ar vairākiem sadarbības </w:t>
            </w:r>
            <w:r w:rsidRPr="00BE4AB9">
              <w:rPr>
                <w:rFonts w:cstheme="minorBidi"/>
                <w:color w:val="auto"/>
                <w:sz w:val="22"/>
                <w:szCs w:val="22"/>
                <w:lang w:val="lv-LV"/>
              </w:rPr>
              <w:lastRenderedPageBreak/>
              <w:t xml:space="preserve">partneriem, tai skaitā </w:t>
            </w:r>
            <w:r w:rsidRPr="00BE4AB9">
              <w:rPr>
                <w:rFonts w:cstheme="minorBidi"/>
                <w:b/>
                <w:color w:val="auto"/>
                <w:sz w:val="22"/>
                <w:szCs w:val="22"/>
                <w:lang w:val="lv-LV"/>
              </w:rPr>
              <w:t>citām augstskolām</w:t>
            </w:r>
            <w:r w:rsidRPr="00BE4AB9">
              <w:rPr>
                <w:rFonts w:cstheme="minorBidi"/>
                <w:color w:val="auto"/>
                <w:sz w:val="22"/>
                <w:szCs w:val="22"/>
                <w:lang w:val="lv-LV"/>
              </w:rPr>
              <w:t xml:space="preserve">, zinātniskajām institūcijām, privātajām vai publiskajām organizācijām </w:t>
            </w:r>
            <w:r w:rsidRPr="00BE4AB9">
              <w:rPr>
                <w:rFonts w:cstheme="minorBidi"/>
                <w:b/>
                <w:color w:val="auto"/>
                <w:sz w:val="22"/>
                <w:szCs w:val="22"/>
                <w:lang w:val="lv-LV"/>
              </w:rPr>
              <w:t>un ārvalstu augstskolām.</w:t>
            </w:r>
          </w:p>
        </w:tc>
      </w:tr>
      <w:tr w:rsidR="005770BE" w:rsidRPr="0002494F" w:rsidTr="00F70E0C">
        <w:trPr>
          <w:trHeight w:val="274"/>
        </w:trPr>
        <w:tc>
          <w:tcPr>
            <w:tcW w:w="964" w:type="dxa"/>
            <w:shd w:val="clear" w:color="auto" w:fill="auto"/>
          </w:tcPr>
          <w:p w:rsidR="00163D79" w:rsidRPr="0002494F" w:rsidRDefault="00163D79" w:rsidP="00E120DB">
            <w:pPr>
              <w:tabs>
                <w:tab w:val="center" w:pos="284"/>
              </w:tabs>
              <w:spacing w:after="0" w:line="240" w:lineRule="auto"/>
              <w:ind w:left="360" w:right="22"/>
              <w:rPr>
                <w:rFonts w:ascii="Times New Roman" w:eastAsia="Calibri" w:hAnsi="Times New Roman" w:cs="Times New Roman"/>
                <w:lang w:val="lv-LV"/>
              </w:rPr>
            </w:pPr>
            <w:r>
              <w:rPr>
                <w:rFonts w:ascii="Times New Roman" w:eastAsia="Calibri" w:hAnsi="Times New Roman" w:cs="Times New Roman"/>
                <w:lang w:val="lv-LV"/>
              </w:rPr>
              <w:lastRenderedPageBreak/>
              <w:t>5</w:t>
            </w:r>
            <w:r w:rsidR="00E120DB">
              <w:rPr>
                <w:rFonts w:ascii="Times New Roman" w:eastAsia="Calibri" w:hAnsi="Times New Roman" w:cs="Times New Roman"/>
                <w:lang w:val="lv-LV"/>
              </w:rPr>
              <w:t>9</w:t>
            </w:r>
            <w:r>
              <w:rPr>
                <w:rFonts w:ascii="Times New Roman" w:eastAsia="Calibri" w:hAnsi="Times New Roman" w:cs="Times New Roman"/>
                <w:lang w:val="lv-LV"/>
              </w:rPr>
              <w:t>.</w:t>
            </w:r>
          </w:p>
        </w:tc>
        <w:tc>
          <w:tcPr>
            <w:tcW w:w="2575" w:type="dxa"/>
            <w:shd w:val="clear" w:color="auto" w:fill="auto"/>
          </w:tcPr>
          <w:p w:rsidR="005770BE" w:rsidRDefault="005770BE" w:rsidP="005770BE">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5770BE" w:rsidRDefault="005770BE" w:rsidP="005770BE">
            <w:pPr>
              <w:spacing w:after="0" w:line="240" w:lineRule="auto"/>
              <w:rPr>
                <w:rFonts w:ascii="Times New Roman" w:hAnsi="Times New Roman"/>
                <w:b/>
                <w:lang w:val="lv-LV"/>
              </w:rPr>
            </w:pPr>
            <w:r w:rsidRPr="00E35858">
              <w:rPr>
                <w:rFonts w:ascii="Times New Roman" w:hAnsi="Times New Roman"/>
                <w:b/>
                <w:lang w:val="lv-LV"/>
              </w:rPr>
              <w:t>Latvijas Universitāšu asociācijas  priekšlikum</w:t>
            </w:r>
            <w:r>
              <w:rPr>
                <w:rFonts w:ascii="Times New Roman" w:hAnsi="Times New Roman"/>
                <w:b/>
                <w:lang w:val="lv-LV"/>
              </w:rPr>
              <w:t>s</w:t>
            </w:r>
          </w:p>
          <w:p w:rsidR="00BC6DBF" w:rsidRPr="00BC6DBF" w:rsidRDefault="00BC6DBF" w:rsidP="00B80A68">
            <w:pPr>
              <w:spacing w:after="0" w:line="240" w:lineRule="auto"/>
              <w:jc w:val="both"/>
            </w:pPr>
            <w:r w:rsidRPr="00BC6DBF">
              <w:rPr>
                <w:rFonts w:ascii="Times New Roman" w:eastAsia="Calibri" w:hAnsi="Times New Roman" w:cs="Times New Roman"/>
                <w:lang w:val="lv-LV"/>
              </w:rPr>
              <w:t xml:space="preserve">Pasākuma kopējais  finansējums ir 7 860 001 </w:t>
            </w:r>
            <w:r w:rsidRPr="00BC6DBF">
              <w:rPr>
                <w:rFonts w:ascii="Times New Roman" w:eastAsia="Calibri" w:hAnsi="Times New Roman" w:cs="Times New Roman"/>
                <w:i/>
                <w:lang w:val="lv-LV"/>
              </w:rPr>
              <w:t>euro</w:t>
            </w:r>
            <w:r w:rsidRPr="00BC6DBF">
              <w:rPr>
                <w:rFonts w:ascii="Times New Roman" w:eastAsia="Calibri" w:hAnsi="Times New Roman" w:cs="Times New Roman"/>
                <w:lang w:val="lv-LV"/>
              </w:rPr>
              <w:t xml:space="preserve"> un plānotais augstākās izglītības institūciju skaits, kuras saņems finansējumu atklāta konkursa rezultātā – 7, tomēr nav skaidrs, vai plānoti kādi specifiski ierobežojumi vai atlases </w:t>
            </w:r>
            <w:r w:rsidRPr="00BC6DBF">
              <w:rPr>
                <w:rFonts w:ascii="Times New Roman" w:eastAsia="Calibri" w:hAnsi="Times New Roman" w:cs="Times New Roman"/>
                <w:lang w:val="lv-LV"/>
              </w:rPr>
              <w:lastRenderedPageBreak/>
              <w:t>metodika, pēc kā tiks noteiks finansējuma apjoms katram projektam vai institūcijai</w:t>
            </w:r>
          </w:p>
        </w:tc>
        <w:tc>
          <w:tcPr>
            <w:tcW w:w="3119" w:type="dxa"/>
            <w:shd w:val="clear" w:color="auto" w:fill="auto"/>
          </w:tcPr>
          <w:p w:rsidR="007A638F" w:rsidRPr="007A638F" w:rsidRDefault="00205EBE" w:rsidP="005770BE">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5770BE" w:rsidRDefault="00BC6DBF" w:rsidP="007A638F">
            <w:pPr>
              <w:spacing w:after="0" w:line="240" w:lineRule="auto"/>
              <w:jc w:val="both"/>
              <w:rPr>
                <w:rFonts w:ascii="Times New Roman" w:eastAsia="Times New Roman" w:hAnsi="Times New Roman" w:cs="Times New Roman"/>
                <w:i/>
                <w:lang w:val="lv-LV" w:eastAsia="lv-LV"/>
              </w:rPr>
            </w:pPr>
            <w:r w:rsidRPr="00BC6DBF">
              <w:rPr>
                <w:rFonts w:ascii="Times New Roman" w:eastAsia="Times New Roman" w:hAnsi="Times New Roman" w:cs="Times New Roman"/>
                <w:lang w:val="lv-LV" w:eastAsia="lv-LV"/>
              </w:rPr>
              <w:t xml:space="preserve">Skaidrojam, ka </w:t>
            </w:r>
            <w:r w:rsidR="007A638F">
              <w:rPr>
                <w:rFonts w:ascii="Times New Roman" w:eastAsia="Times New Roman" w:hAnsi="Times New Roman" w:cs="Times New Roman"/>
                <w:lang w:val="lv-LV" w:eastAsia="lv-LV"/>
              </w:rPr>
              <w:t xml:space="preserve">noteikumu projekta </w:t>
            </w:r>
            <w:r w:rsidR="007A638F" w:rsidRPr="007A638F">
              <w:rPr>
                <w:rFonts w:ascii="Times New Roman" w:eastAsia="Times New Roman" w:hAnsi="Times New Roman" w:cs="Times New Roman"/>
                <w:lang w:val="lv-LV" w:eastAsia="lv-LV"/>
              </w:rPr>
              <w:t>1</w:t>
            </w:r>
            <w:r w:rsidR="00062C29">
              <w:rPr>
                <w:rFonts w:ascii="Times New Roman" w:eastAsia="Times New Roman" w:hAnsi="Times New Roman" w:cs="Times New Roman"/>
                <w:lang w:val="lv-LV" w:eastAsia="lv-LV"/>
              </w:rPr>
              <w:t>6</w:t>
            </w:r>
            <w:r w:rsidR="007A638F" w:rsidRPr="007A638F">
              <w:rPr>
                <w:rFonts w:ascii="Times New Roman" w:eastAsia="Times New Roman" w:hAnsi="Times New Roman" w:cs="Times New Roman"/>
                <w:lang w:val="lv-LV" w:eastAsia="lv-LV"/>
              </w:rPr>
              <w:t xml:space="preserve">. </w:t>
            </w:r>
            <w:r w:rsidR="007A638F">
              <w:rPr>
                <w:rFonts w:ascii="Times New Roman" w:eastAsia="Times New Roman" w:hAnsi="Times New Roman" w:cs="Times New Roman"/>
                <w:lang w:val="lv-LV" w:eastAsia="lv-LV"/>
              </w:rPr>
              <w:t>punkts nosaka, ka p</w:t>
            </w:r>
            <w:r w:rsidR="007A638F" w:rsidRPr="007A638F">
              <w:rPr>
                <w:rFonts w:ascii="Times New Roman" w:eastAsia="Times New Roman" w:hAnsi="Times New Roman" w:cs="Times New Roman"/>
                <w:lang w:val="lv-LV" w:eastAsia="lv-LV"/>
              </w:rPr>
              <w:t xml:space="preserve">rojekta minimālais kopējais attiecināmais finansējuma apmērs ir 600 000 </w:t>
            </w:r>
            <w:r w:rsidR="007A638F" w:rsidRPr="007A638F">
              <w:rPr>
                <w:rFonts w:ascii="Times New Roman" w:eastAsia="Times New Roman" w:hAnsi="Times New Roman" w:cs="Times New Roman"/>
                <w:i/>
                <w:lang w:val="lv-LV" w:eastAsia="lv-LV"/>
              </w:rPr>
              <w:t>euro</w:t>
            </w:r>
            <w:r w:rsidR="007A638F" w:rsidRPr="007A638F">
              <w:rPr>
                <w:rFonts w:ascii="Times New Roman" w:eastAsia="Times New Roman" w:hAnsi="Times New Roman" w:cs="Times New Roman"/>
                <w:lang w:val="lv-LV" w:eastAsia="lv-LV"/>
              </w:rPr>
              <w:t xml:space="preserve">, projekta maksimālais kopējais </w:t>
            </w:r>
            <w:r w:rsidR="007A638F" w:rsidRPr="007A638F">
              <w:rPr>
                <w:rFonts w:ascii="Times New Roman" w:eastAsia="Times New Roman" w:hAnsi="Times New Roman" w:cs="Times New Roman"/>
                <w:lang w:val="lv-LV" w:eastAsia="lv-LV"/>
              </w:rPr>
              <w:lastRenderedPageBreak/>
              <w:t xml:space="preserve">attiecināmais finansējuma apmērs ir 2 </w:t>
            </w:r>
            <w:r w:rsidR="00BE1BD5">
              <w:rPr>
                <w:rFonts w:ascii="Times New Roman" w:eastAsia="Times New Roman" w:hAnsi="Times New Roman" w:cs="Times New Roman"/>
                <w:lang w:val="lv-LV" w:eastAsia="lv-LV"/>
              </w:rPr>
              <w:t>5</w:t>
            </w:r>
            <w:r w:rsidR="007A638F" w:rsidRPr="007A638F">
              <w:rPr>
                <w:rFonts w:ascii="Times New Roman" w:eastAsia="Times New Roman" w:hAnsi="Times New Roman" w:cs="Times New Roman"/>
                <w:lang w:val="lv-LV" w:eastAsia="lv-LV"/>
              </w:rPr>
              <w:t xml:space="preserve">00 000 </w:t>
            </w:r>
            <w:r w:rsidR="007A638F" w:rsidRPr="007A638F">
              <w:rPr>
                <w:rFonts w:ascii="Times New Roman" w:eastAsia="Times New Roman" w:hAnsi="Times New Roman" w:cs="Times New Roman"/>
                <w:i/>
                <w:lang w:val="lv-LV" w:eastAsia="lv-LV"/>
              </w:rPr>
              <w:t>euro</w:t>
            </w:r>
            <w:r w:rsidR="007A638F">
              <w:rPr>
                <w:rFonts w:ascii="Times New Roman" w:eastAsia="Times New Roman" w:hAnsi="Times New Roman" w:cs="Times New Roman"/>
                <w:i/>
                <w:lang w:val="lv-LV" w:eastAsia="lv-LV"/>
              </w:rPr>
              <w:t>.</w:t>
            </w:r>
          </w:p>
          <w:p w:rsidR="007A638F" w:rsidRPr="007A638F" w:rsidRDefault="007A638F" w:rsidP="007A638F">
            <w:pPr>
              <w:spacing w:after="0" w:line="240" w:lineRule="auto"/>
              <w:jc w:val="both"/>
              <w:rPr>
                <w:rFonts w:ascii="Times New Roman" w:eastAsia="Times New Roman" w:hAnsi="Times New Roman" w:cs="Times New Roman"/>
                <w:lang w:val="lv-LV" w:eastAsia="lv-LV"/>
              </w:rPr>
            </w:pPr>
          </w:p>
        </w:tc>
        <w:tc>
          <w:tcPr>
            <w:tcW w:w="3260" w:type="dxa"/>
          </w:tcPr>
          <w:p w:rsidR="005770BE" w:rsidRPr="0002494F" w:rsidRDefault="005770BE" w:rsidP="005770BE">
            <w:pPr>
              <w:pStyle w:val="tv2132"/>
              <w:spacing w:line="240" w:lineRule="auto"/>
              <w:ind w:firstLine="0"/>
              <w:contextualSpacing/>
              <w:jc w:val="both"/>
              <w:rPr>
                <w:rFonts w:cstheme="minorBidi"/>
                <w:color w:val="auto"/>
                <w:sz w:val="22"/>
                <w:szCs w:val="22"/>
                <w:lang w:val="lv-LV"/>
              </w:rPr>
            </w:pPr>
          </w:p>
        </w:tc>
      </w:tr>
      <w:tr w:rsidR="005770BE" w:rsidRPr="0002494F" w:rsidTr="00F70E0C">
        <w:trPr>
          <w:trHeight w:val="274"/>
        </w:trPr>
        <w:tc>
          <w:tcPr>
            <w:tcW w:w="964" w:type="dxa"/>
            <w:shd w:val="clear" w:color="auto" w:fill="auto"/>
          </w:tcPr>
          <w:p w:rsidR="00163D79" w:rsidRPr="0002494F" w:rsidRDefault="00E120DB" w:rsidP="000A6480">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60</w:t>
            </w:r>
            <w:r w:rsidR="00163D79">
              <w:rPr>
                <w:rFonts w:ascii="Times New Roman" w:eastAsia="Calibri" w:hAnsi="Times New Roman" w:cs="Times New Roman"/>
                <w:lang w:val="lv-LV"/>
              </w:rPr>
              <w:t>.</w:t>
            </w:r>
          </w:p>
        </w:tc>
        <w:tc>
          <w:tcPr>
            <w:tcW w:w="2575" w:type="dxa"/>
            <w:shd w:val="clear" w:color="auto" w:fill="auto"/>
          </w:tcPr>
          <w:p w:rsidR="005770BE" w:rsidRDefault="005770BE" w:rsidP="005770BE">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5770BE" w:rsidRDefault="005770BE" w:rsidP="005770BE">
            <w:pPr>
              <w:spacing w:after="0" w:line="240" w:lineRule="auto"/>
              <w:rPr>
                <w:rFonts w:ascii="Times New Roman" w:hAnsi="Times New Roman"/>
                <w:b/>
                <w:lang w:val="lv-LV"/>
              </w:rPr>
            </w:pPr>
            <w:r w:rsidRPr="00E35858">
              <w:rPr>
                <w:rFonts w:ascii="Times New Roman" w:hAnsi="Times New Roman"/>
                <w:b/>
                <w:lang w:val="lv-LV"/>
              </w:rPr>
              <w:t>Latvijas Universitāšu asociācijas priekšlikum</w:t>
            </w:r>
            <w:r>
              <w:rPr>
                <w:rFonts w:ascii="Times New Roman" w:hAnsi="Times New Roman"/>
                <w:b/>
                <w:lang w:val="lv-LV"/>
              </w:rPr>
              <w:t>s</w:t>
            </w:r>
          </w:p>
          <w:p w:rsidR="007000F0" w:rsidRPr="007000F0" w:rsidRDefault="007000F0" w:rsidP="007000F0">
            <w:pPr>
              <w:spacing w:after="0" w:line="240" w:lineRule="auto"/>
              <w:jc w:val="both"/>
            </w:pPr>
            <w:r w:rsidRPr="007000F0">
              <w:rPr>
                <w:rFonts w:ascii="Times New Roman" w:hAnsi="Times New Roman"/>
                <w:lang w:val="lv-LV"/>
              </w:rPr>
              <w:t>Pasākuma noteikumi nosaka, ka projektu vērtēšanai tiks piesaistīti EK eksperti, kuriem ir vēlama pieredze Ekonomiskās sadarbības un attīstības organizācijas vai citos līdzvērtīgos starptautiskā līmeņa pētījumos augstākajā izglītībā, savukārt pasākuma anotācijā minēts, ka “atbalstam 14.1.1.1. pasākuma ietvaros ir vienīgi vietēja mēroga ietekme”. Nav skaidrs, vai vietēja mēroga projektiem būtu nepieciešams piesaistīt projektu vērtēšanā EK ekspertus, tādejādi pagarinot vērtēšanas procesu un palielinot administratīvās izmaksas. Turklāt vērtēšanas eksperti tiek piesaistīti no Erasmus+ aktivitātes, savukārt šajā pasākumā paredzētas gan pamatlīdzekļu iegādes, gan specifiska digitālās infrastruktūras attīstība, kuru novērtēt šī tipa eksperti nav kvalificēti</w:t>
            </w:r>
            <w:r>
              <w:rPr>
                <w:rFonts w:ascii="Times New Roman" w:hAnsi="Times New Roman"/>
                <w:lang w:val="lv-LV"/>
              </w:rPr>
              <w:t>.</w:t>
            </w:r>
          </w:p>
        </w:tc>
        <w:tc>
          <w:tcPr>
            <w:tcW w:w="3119" w:type="dxa"/>
            <w:shd w:val="clear" w:color="auto" w:fill="auto"/>
          </w:tcPr>
          <w:p w:rsidR="005770BE" w:rsidRPr="00B1578F" w:rsidRDefault="000B0A7F" w:rsidP="005770BE">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Daļēji ņ</w:t>
            </w:r>
            <w:r w:rsidR="007A638F" w:rsidRPr="00B1578F">
              <w:rPr>
                <w:rFonts w:ascii="Times New Roman" w:eastAsia="Times New Roman" w:hAnsi="Times New Roman" w:cs="Times New Roman"/>
                <w:b/>
                <w:lang w:val="lv-LV" w:eastAsia="lv-LV"/>
              </w:rPr>
              <w:t xml:space="preserve">emts vērā </w:t>
            </w:r>
          </w:p>
          <w:p w:rsidR="007A638F" w:rsidRDefault="000B0A7F" w:rsidP="007E0CD7">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Skaidrojumu attiecībā uz ārvalstu ekspertu piesaisti sk. </w:t>
            </w:r>
            <w:r w:rsidRPr="005D6408">
              <w:rPr>
                <w:rFonts w:ascii="Times New Roman" w:eastAsia="Times New Roman" w:hAnsi="Times New Roman" w:cs="Times New Roman"/>
                <w:lang w:val="lv-LV" w:eastAsia="lv-LV"/>
              </w:rPr>
              <w:t xml:space="preserve">izziņas </w:t>
            </w:r>
            <w:r w:rsidR="005D6408" w:rsidRPr="005D6408">
              <w:rPr>
                <w:rFonts w:ascii="Times New Roman" w:eastAsia="Times New Roman" w:hAnsi="Times New Roman" w:cs="Times New Roman"/>
                <w:lang w:val="lv-LV" w:eastAsia="lv-LV"/>
              </w:rPr>
              <w:t>31</w:t>
            </w:r>
            <w:r w:rsidR="007E0CD7" w:rsidRPr="005D6408">
              <w:rPr>
                <w:rFonts w:ascii="Times New Roman" w:eastAsia="Times New Roman" w:hAnsi="Times New Roman" w:cs="Times New Roman"/>
                <w:lang w:val="lv-LV" w:eastAsia="lv-LV"/>
              </w:rPr>
              <w:t>.</w:t>
            </w:r>
            <w:r w:rsidRPr="005D6408">
              <w:rPr>
                <w:rFonts w:ascii="Times New Roman" w:eastAsia="Times New Roman" w:hAnsi="Times New Roman" w:cs="Times New Roman"/>
                <w:lang w:val="lv-LV" w:eastAsia="lv-LV"/>
              </w:rPr>
              <w:t xml:space="preserve"> punktā</w:t>
            </w:r>
            <w:r w:rsidR="007E0CD7" w:rsidRPr="005D6408">
              <w:rPr>
                <w:rFonts w:ascii="Times New Roman" w:eastAsia="Times New Roman" w:hAnsi="Times New Roman" w:cs="Times New Roman"/>
                <w:lang w:val="lv-LV" w:eastAsia="lv-LV"/>
              </w:rPr>
              <w:t>.</w:t>
            </w:r>
          </w:p>
          <w:p w:rsidR="00AE7756" w:rsidRPr="00B1578F" w:rsidRDefault="00AE7756" w:rsidP="008936C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Papildus skaidrojam, ka eksperta pieredze </w:t>
            </w:r>
            <w:r w:rsidR="005833EE">
              <w:rPr>
                <w:rFonts w:ascii="Times New Roman" w:eastAsia="Times New Roman" w:hAnsi="Times New Roman" w:cs="Times New Roman"/>
                <w:lang w:val="lv-LV" w:eastAsia="lv-LV"/>
              </w:rPr>
              <w:t xml:space="preserve">starptautiska līmeņa pētījumos ir vēlams, bet ne obligāts nosacījums, kā arī netiek izvirzīts nosacījums par ekspertu saistību ar Erasmus+ aktivitāti. </w:t>
            </w:r>
          </w:p>
        </w:tc>
        <w:tc>
          <w:tcPr>
            <w:tcW w:w="3260" w:type="dxa"/>
          </w:tcPr>
          <w:p w:rsidR="005770BE" w:rsidRPr="0002494F" w:rsidRDefault="005770BE" w:rsidP="005770BE">
            <w:pPr>
              <w:pStyle w:val="tv2132"/>
              <w:spacing w:line="240" w:lineRule="auto"/>
              <w:ind w:firstLine="0"/>
              <w:contextualSpacing/>
              <w:jc w:val="both"/>
              <w:rPr>
                <w:rFonts w:cstheme="minorBidi"/>
                <w:color w:val="auto"/>
                <w:sz w:val="22"/>
                <w:szCs w:val="22"/>
                <w:lang w:val="lv-LV"/>
              </w:rPr>
            </w:pPr>
          </w:p>
        </w:tc>
      </w:tr>
      <w:tr w:rsidR="005770BE" w:rsidRPr="0002494F" w:rsidTr="00F70E0C">
        <w:trPr>
          <w:trHeight w:val="274"/>
        </w:trPr>
        <w:tc>
          <w:tcPr>
            <w:tcW w:w="964" w:type="dxa"/>
            <w:shd w:val="clear" w:color="auto" w:fill="auto"/>
          </w:tcPr>
          <w:p w:rsidR="00163D79" w:rsidRPr="0002494F" w:rsidRDefault="00E120DB" w:rsidP="000A6480">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61</w:t>
            </w:r>
            <w:r w:rsidR="00163D79">
              <w:rPr>
                <w:rFonts w:ascii="Times New Roman" w:eastAsia="Calibri" w:hAnsi="Times New Roman" w:cs="Times New Roman"/>
                <w:lang w:val="lv-LV"/>
              </w:rPr>
              <w:t>.</w:t>
            </w:r>
          </w:p>
        </w:tc>
        <w:tc>
          <w:tcPr>
            <w:tcW w:w="2575" w:type="dxa"/>
            <w:shd w:val="clear" w:color="auto" w:fill="auto"/>
          </w:tcPr>
          <w:p w:rsidR="005770BE" w:rsidRDefault="005770BE" w:rsidP="005770BE">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5770BE" w:rsidRDefault="005770BE" w:rsidP="005770BE">
            <w:pPr>
              <w:spacing w:after="0" w:line="240" w:lineRule="auto"/>
              <w:rPr>
                <w:rFonts w:ascii="Times New Roman" w:hAnsi="Times New Roman"/>
                <w:b/>
                <w:lang w:val="lv-LV"/>
              </w:rPr>
            </w:pPr>
            <w:r w:rsidRPr="00E35858">
              <w:rPr>
                <w:rFonts w:ascii="Times New Roman" w:hAnsi="Times New Roman"/>
                <w:b/>
                <w:lang w:val="lv-LV"/>
              </w:rPr>
              <w:t>Latvijas Universitāšu asociācijas priekšlikum</w:t>
            </w:r>
            <w:r>
              <w:rPr>
                <w:rFonts w:ascii="Times New Roman" w:hAnsi="Times New Roman"/>
                <w:b/>
                <w:lang w:val="lv-LV"/>
              </w:rPr>
              <w:t>s</w:t>
            </w:r>
          </w:p>
          <w:p w:rsidR="007000F0" w:rsidRPr="0020246F" w:rsidRDefault="0020246F" w:rsidP="0020246F">
            <w:pPr>
              <w:spacing w:after="0" w:line="240" w:lineRule="auto"/>
              <w:jc w:val="both"/>
            </w:pPr>
            <w:r w:rsidRPr="0020246F">
              <w:rPr>
                <w:rFonts w:ascii="Times New Roman" w:eastAsia="Calibri" w:hAnsi="Times New Roman" w:cs="Times New Roman"/>
                <w:lang w:val="lv-LV"/>
              </w:rPr>
              <w:t>Ņemot vērā pieredzi citu projektu īstenošanā, lai nodrošinātu projekta realizāciju bez papildu administratīvā sloga elementiem un neradītu kavējošus faktorus un šķēršļus, kas nav atkarīgi no projekta realizētāja gribas un iespējām, tad ārvalstu ekspertu un citu šaura profila speciālistu piesaiste projektā būtu nosakāma kā projekta realizētāja izvēle nevis pienākumus</w:t>
            </w:r>
            <w:r w:rsidRPr="00EC658F">
              <w:rPr>
                <w:rFonts w:ascii="Times New Roman" w:eastAsia="Calibri" w:hAnsi="Times New Roman" w:cs="Times New Roman"/>
                <w:lang w:val="lv-LV"/>
              </w:rPr>
              <w:t xml:space="preserve">. Tāpat arī ārvalstu ekspertu iesaisti projektā nevajadzētu </w:t>
            </w:r>
            <w:r w:rsidRPr="00EC658F">
              <w:rPr>
                <w:rFonts w:ascii="Times New Roman" w:eastAsia="Calibri" w:hAnsi="Times New Roman" w:cs="Times New Roman"/>
                <w:lang w:val="lv-LV"/>
              </w:rPr>
              <w:lastRenderedPageBreak/>
              <w:t>saistīt ar vērtēšanas kritērijiem. Vēršam uzmanību uz apstākli</w:t>
            </w:r>
            <w:r w:rsidRPr="0020246F">
              <w:rPr>
                <w:rFonts w:ascii="Times New Roman" w:eastAsia="Calibri" w:hAnsi="Times New Roman" w:cs="Times New Roman"/>
                <w:lang w:val="lv-LV"/>
              </w:rPr>
              <w:t>, ka situācijā, kad atalgojums ekspertiem ir jānosaka, ievērojot Valsts un pašvaldību institūciju amatpersonu un darbinieku atlīdzības likumu, augsta līmeņa ekspertus digitalizācijas jomā piesaistīt nebūs iespējams</w:t>
            </w:r>
            <w:r>
              <w:rPr>
                <w:rFonts w:ascii="Times New Roman" w:eastAsia="Calibri" w:hAnsi="Times New Roman" w:cs="Times New Roman"/>
                <w:lang w:val="lv-LV"/>
              </w:rPr>
              <w:t>.</w:t>
            </w:r>
          </w:p>
        </w:tc>
        <w:tc>
          <w:tcPr>
            <w:tcW w:w="3119" w:type="dxa"/>
            <w:shd w:val="clear" w:color="auto" w:fill="auto"/>
          </w:tcPr>
          <w:p w:rsidR="005770BE" w:rsidRDefault="007A638F" w:rsidP="005770BE">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Ņemts vērā</w:t>
            </w:r>
          </w:p>
          <w:p w:rsidR="007A638F" w:rsidRPr="007A638F" w:rsidRDefault="007A638F" w:rsidP="00EC658F">
            <w:pPr>
              <w:spacing w:after="0" w:line="240" w:lineRule="auto"/>
              <w:jc w:val="both"/>
              <w:rPr>
                <w:rFonts w:ascii="Times New Roman" w:eastAsia="Times New Roman" w:hAnsi="Times New Roman" w:cs="Times New Roman"/>
                <w:lang w:val="lv-LV" w:eastAsia="lv-LV"/>
              </w:rPr>
            </w:pPr>
            <w:r w:rsidRPr="007A638F">
              <w:rPr>
                <w:rFonts w:ascii="Times New Roman" w:eastAsia="Times New Roman" w:hAnsi="Times New Roman" w:cs="Times New Roman"/>
                <w:lang w:val="lv-LV" w:eastAsia="lv-LV"/>
              </w:rPr>
              <w:t xml:space="preserve">Skaidrojam, ka </w:t>
            </w:r>
            <w:r>
              <w:rPr>
                <w:rFonts w:ascii="Times New Roman" w:eastAsia="Times New Roman" w:hAnsi="Times New Roman" w:cs="Times New Roman"/>
                <w:lang w:val="lv-LV" w:eastAsia="lv-LV"/>
              </w:rPr>
              <w:t xml:space="preserve">ārvalstu ekspertu iesaiste un citu šaura profila speciālistu piesaiste ir projekta īstenotāja izvēle nevis pienākums. </w:t>
            </w:r>
            <w:r w:rsidR="00EC658F" w:rsidRPr="00EC658F">
              <w:rPr>
                <w:rFonts w:ascii="Times New Roman" w:eastAsia="Times New Roman" w:hAnsi="Times New Roman" w:cs="Times New Roman"/>
                <w:lang w:val="lv-LV" w:eastAsia="lv-LV"/>
              </w:rPr>
              <w:t>Attiecīgajā kritērijā m</w:t>
            </w:r>
            <w:r w:rsidRPr="00EC658F">
              <w:rPr>
                <w:rFonts w:ascii="Times New Roman" w:eastAsia="Times New Roman" w:hAnsi="Times New Roman" w:cs="Times New Roman"/>
                <w:lang w:val="lv-LV" w:eastAsia="lv-LV"/>
              </w:rPr>
              <w:t xml:space="preserve">inimālo punktu skaitu var iegūt arī nepiesaistot </w:t>
            </w:r>
            <w:r w:rsidR="00EC658F" w:rsidRPr="00EC658F">
              <w:rPr>
                <w:rFonts w:ascii="Times New Roman" w:eastAsia="Times New Roman" w:hAnsi="Times New Roman" w:cs="Times New Roman"/>
                <w:lang w:val="lv-LV" w:eastAsia="lv-LV"/>
              </w:rPr>
              <w:t xml:space="preserve">ārvalstu ekspertus. </w:t>
            </w:r>
          </w:p>
        </w:tc>
        <w:tc>
          <w:tcPr>
            <w:tcW w:w="3260" w:type="dxa"/>
          </w:tcPr>
          <w:p w:rsidR="005770BE" w:rsidRPr="0002494F" w:rsidRDefault="005770BE" w:rsidP="005770BE">
            <w:pPr>
              <w:pStyle w:val="tv2132"/>
              <w:spacing w:line="240" w:lineRule="auto"/>
              <w:ind w:firstLine="0"/>
              <w:contextualSpacing/>
              <w:jc w:val="both"/>
              <w:rPr>
                <w:rFonts w:cstheme="minorBidi"/>
                <w:color w:val="auto"/>
                <w:sz w:val="22"/>
                <w:szCs w:val="22"/>
                <w:lang w:val="lv-LV"/>
              </w:rPr>
            </w:pPr>
          </w:p>
        </w:tc>
      </w:tr>
      <w:tr w:rsidR="009B3C4D" w:rsidRPr="0002494F" w:rsidTr="00F70E0C">
        <w:trPr>
          <w:trHeight w:val="274"/>
        </w:trPr>
        <w:tc>
          <w:tcPr>
            <w:tcW w:w="964" w:type="dxa"/>
            <w:shd w:val="clear" w:color="auto" w:fill="auto"/>
          </w:tcPr>
          <w:p w:rsidR="00163D79"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6</w:t>
            </w:r>
            <w:r w:rsidR="00E120DB">
              <w:rPr>
                <w:rFonts w:ascii="Times New Roman" w:eastAsia="Calibri" w:hAnsi="Times New Roman" w:cs="Times New Roman"/>
                <w:lang w:val="lv-LV"/>
              </w:rPr>
              <w:t>2</w:t>
            </w:r>
            <w:r>
              <w:rPr>
                <w:rFonts w:ascii="Times New Roman" w:eastAsia="Calibri" w:hAnsi="Times New Roman" w:cs="Times New Roman"/>
                <w:lang w:val="lv-LV"/>
              </w:rPr>
              <w:t>.</w:t>
            </w:r>
          </w:p>
        </w:tc>
        <w:tc>
          <w:tcPr>
            <w:tcW w:w="2575" w:type="dxa"/>
            <w:shd w:val="clear" w:color="auto" w:fill="auto"/>
          </w:tcPr>
          <w:p w:rsidR="009B3C4D" w:rsidRPr="0002494F" w:rsidRDefault="009B3C4D"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9B3C4D" w:rsidRPr="009B3C4D" w:rsidRDefault="009B3C4D" w:rsidP="009B3C4D">
            <w:pPr>
              <w:widowControl w:val="0"/>
              <w:spacing w:after="0" w:line="240" w:lineRule="auto"/>
              <w:jc w:val="both"/>
              <w:rPr>
                <w:rFonts w:ascii="Times New Roman" w:hAnsi="Times New Roman"/>
                <w:b/>
                <w:lang w:val="lv-LV"/>
              </w:rPr>
            </w:pPr>
            <w:r w:rsidRPr="009B3C4D">
              <w:rPr>
                <w:rFonts w:ascii="Times New Roman" w:hAnsi="Times New Roman"/>
                <w:b/>
                <w:lang w:val="lv-LV"/>
              </w:rPr>
              <w:t>Latvijas Universitāšu asociācijas priekšlikums</w:t>
            </w:r>
          </w:p>
          <w:p w:rsidR="009B3C4D" w:rsidRPr="009B3C4D" w:rsidRDefault="009B3C4D" w:rsidP="009B3C4D">
            <w:pPr>
              <w:widowControl w:val="0"/>
              <w:spacing w:after="0" w:line="240" w:lineRule="auto"/>
              <w:jc w:val="both"/>
              <w:rPr>
                <w:rFonts w:ascii="Times New Roman" w:hAnsi="Times New Roman"/>
                <w:lang w:val="lv-LV"/>
              </w:rPr>
            </w:pPr>
            <w:r w:rsidRPr="009B3C4D">
              <w:rPr>
                <w:rFonts w:ascii="Times New Roman" w:hAnsi="Times New Roman"/>
                <w:lang w:val="lv-LV"/>
              </w:rPr>
              <w:t>Lai nodrošinātu kritēriju izpildi par jēgpilnu un ilgtspējīgu trīs augstskolu sadarbību viena projekta ietvaros, IZM būtu jāprezentē visu augstskolu stratēģiskās specializācijas un SAM 8.2.3. otrajā kārtā plānotās augstskolu konsolidācijas un jāsniedz skaidrs laika grafiks, kā šīs investīcijas ir saskaņotas ar SAM 8.2.3. otro kārtu, kurā plānota Padomju apstiprināšana, kuras izstrādā attīstības stratēģijas, augstskolu konsolidācijas plānu un stratēģisko specializāciju. Anotācijā ir norādīts ka 14.1.1.1. pasākuma projektos plānotās digitalizācijas iniciatīvas ir vērstas uz sadarbības un resursu koplietošanas tālāku attīstību, tādēļ uzskatām, ka bez skaidra redzējuma par augstskolu tipiem, stratēģisko specializāciju un konsolidācijas plānu nav iespējams nodrošināt projektu rezultātu sasniegšanu un uzturēšanu.</w:t>
            </w:r>
          </w:p>
        </w:tc>
        <w:tc>
          <w:tcPr>
            <w:tcW w:w="3119" w:type="dxa"/>
            <w:shd w:val="clear" w:color="auto" w:fill="auto"/>
          </w:tcPr>
          <w:p w:rsidR="009B3C4D" w:rsidRDefault="00C82E5A"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Daļēji ņemts vērā</w:t>
            </w:r>
          </w:p>
          <w:p w:rsidR="00B1578F" w:rsidRPr="00B1578F" w:rsidRDefault="009B3C4D" w:rsidP="00D54F01">
            <w:pPr>
              <w:jc w:val="both"/>
              <w:rPr>
                <w:rFonts w:ascii="Times New Roman" w:eastAsia="Times New Roman" w:hAnsi="Times New Roman" w:cs="Times New Roman"/>
                <w:lang w:val="lv-LV" w:eastAsia="lv-LV"/>
              </w:rPr>
            </w:pPr>
            <w:r w:rsidRPr="009B3C4D">
              <w:rPr>
                <w:rFonts w:ascii="Times New Roman" w:eastAsia="Times New Roman" w:hAnsi="Times New Roman" w:cs="Times New Roman"/>
                <w:lang w:val="lv-LV" w:eastAsia="lv-LV"/>
              </w:rPr>
              <w:t xml:space="preserve">Sk. izziņas </w:t>
            </w:r>
            <w:r w:rsidR="00B1578F">
              <w:t xml:space="preserve"> </w:t>
            </w:r>
            <w:r w:rsidR="00163D79">
              <w:rPr>
                <w:rFonts w:ascii="Times New Roman" w:eastAsia="Times New Roman" w:hAnsi="Times New Roman" w:cs="Times New Roman"/>
                <w:lang w:val="lv-LV" w:eastAsia="lv-LV"/>
              </w:rPr>
              <w:t>17</w:t>
            </w:r>
            <w:r w:rsidR="00B1578F" w:rsidRPr="00B1578F">
              <w:rPr>
                <w:rFonts w:ascii="Times New Roman" w:eastAsia="Times New Roman" w:hAnsi="Times New Roman" w:cs="Times New Roman"/>
                <w:lang w:val="lv-LV" w:eastAsia="lv-LV"/>
              </w:rPr>
              <w:t>.</w:t>
            </w:r>
            <w:r w:rsidR="00B1578F">
              <w:rPr>
                <w:rFonts w:ascii="Times New Roman" w:eastAsia="Times New Roman" w:hAnsi="Times New Roman" w:cs="Times New Roman"/>
                <w:lang w:val="lv-LV" w:eastAsia="lv-LV"/>
              </w:rPr>
              <w:t xml:space="preserve"> </w:t>
            </w:r>
            <w:r w:rsidR="00B1578F" w:rsidRPr="00B1578F">
              <w:rPr>
                <w:rFonts w:ascii="Times New Roman" w:eastAsia="Times New Roman" w:hAnsi="Times New Roman" w:cs="Times New Roman"/>
                <w:lang w:val="lv-LV" w:eastAsia="lv-LV"/>
              </w:rPr>
              <w:t>punkta skaidrojumu 2).</w:t>
            </w:r>
          </w:p>
          <w:p w:rsidR="009B3C4D" w:rsidRPr="009B3C4D" w:rsidRDefault="009B3C4D" w:rsidP="00E018FF">
            <w:pPr>
              <w:spacing w:after="0" w:line="240" w:lineRule="auto"/>
              <w:jc w:val="both"/>
              <w:rPr>
                <w:rFonts w:ascii="Times New Roman" w:eastAsia="Times New Roman" w:hAnsi="Times New Roman" w:cs="Times New Roman"/>
                <w:lang w:val="lv-LV" w:eastAsia="lv-LV"/>
              </w:rPr>
            </w:pPr>
          </w:p>
        </w:tc>
        <w:tc>
          <w:tcPr>
            <w:tcW w:w="3260" w:type="dxa"/>
          </w:tcPr>
          <w:p w:rsidR="009B3C4D" w:rsidRPr="0002494F" w:rsidRDefault="009B3C4D" w:rsidP="002E4E4F">
            <w:pPr>
              <w:pStyle w:val="tv2132"/>
              <w:spacing w:line="240" w:lineRule="auto"/>
              <w:ind w:firstLine="0"/>
              <w:contextualSpacing/>
              <w:jc w:val="both"/>
              <w:rPr>
                <w:rFonts w:cstheme="minorBidi"/>
                <w:color w:val="auto"/>
                <w:sz w:val="22"/>
                <w:szCs w:val="22"/>
                <w:lang w:val="lv-LV"/>
              </w:rPr>
            </w:pPr>
          </w:p>
        </w:tc>
      </w:tr>
      <w:tr w:rsidR="00784DB7" w:rsidRPr="0002494F" w:rsidTr="00F70E0C">
        <w:trPr>
          <w:trHeight w:val="274"/>
        </w:trPr>
        <w:tc>
          <w:tcPr>
            <w:tcW w:w="964" w:type="dxa"/>
            <w:shd w:val="clear" w:color="auto" w:fill="auto"/>
          </w:tcPr>
          <w:p w:rsidR="00784DB7"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6</w:t>
            </w:r>
            <w:r w:rsidR="00E120DB">
              <w:rPr>
                <w:rFonts w:ascii="Times New Roman" w:eastAsia="Calibri" w:hAnsi="Times New Roman" w:cs="Times New Roman"/>
                <w:lang w:val="lv-LV"/>
              </w:rPr>
              <w:t>3</w:t>
            </w:r>
            <w:r>
              <w:rPr>
                <w:rFonts w:ascii="Times New Roman" w:eastAsia="Calibri" w:hAnsi="Times New Roman" w:cs="Times New Roman"/>
                <w:lang w:val="lv-LV"/>
              </w:rPr>
              <w:t>.</w:t>
            </w:r>
          </w:p>
        </w:tc>
        <w:tc>
          <w:tcPr>
            <w:tcW w:w="2575" w:type="dxa"/>
            <w:shd w:val="clear" w:color="auto" w:fill="auto"/>
          </w:tcPr>
          <w:p w:rsidR="00784DB7" w:rsidRPr="0002494F" w:rsidRDefault="00784DB7"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784DB7" w:rsidRPr="00C66AEF" w:rsidRDefault="00784DB7" w:rsidP="00784DB7">
            <w:pPr>
              <w:widowControl w:val="0"/>
              <w:spacing w:after="0" w:line="240" w:lineRule="auto"/>
              <w:jc w:val="both"/>
              <w:rPr>
                <w:rFonts w:ascii="Times New Roman" w:hAnsi="Times New Roman"/>
                <w:b/>
                <w:lang w:val="lv-LV"/>
              </w:rPr>
            </w:pPr>
            <w:r w:rsidRPr="00C66AEF">
              <w:rPr>
                <w:rFonts w:ascii="Times New Roman" w:hAnsi="Times New Roman"/>
                <w:b/>
                <w:lang w:val="lv-LV"/>
              </w:rPr>
              <w:t>Latvijas Universitāšu asociācijas 19. oktobra elektroniskās saskaņošanas laikā izteiktais priekšlikums</w:t>
            </w:r>
          </w:p>
          <w:p w:rsidR="00784DB7" w:rsidRPr="00C66AEF" w:rsidRDefault="00784DB7" w:rsidP="00784DB7">
            <w:pPr>
              <w:widowControl w:val="0"/>
              <w:spacing w:after="0" w:line="240" w:lineRule="auto"/>
              <w:jc w:val="both"/>
              <w:rPr>
                <w:rFonts w:ascii="Times New Roman" w:hAnsi="Times New Roman"/>
                <w:lang w:val="lv-LV"/>
              </w:rPr>
            </w:pPr>
            <w:r w:rsidRPr="00C66AEF">
              <w:rPr>
                <w:rFonts w:ascii="Times New Roman" w:hAnsi="Times New Roman"/>
                <w:lang w:val="lv-LV"/>
              </w:rPr>
              <w:t xml:space="preserve">Latvijas Universitāšu asociācija atkārtoti pauž viedokli, ka būtu jānodrošina šī pasākuma sinerģija ar SAM 8.2.3. 2. kārtas projektu, kurā plānots “augstskolu </w:t>
            </w:r>
            <w:r w:rsidRPr="00C66AEF">
              <w:rPr>
                <w:rFonts w:ascii="Times New Roman" w:hAnsi="Times New Roman"/>
                <w:lang w:val="lv-LV"/>
              </w:rPr>
              <w:lastRenderedPageBreak/>
              <w:t>institucionālās attīstības un konsolidācijas plāns – valsts dibinātu augstskolu izstrādāts institucionālās attīstības un konsolidācijas redzējums, kas ietver nosacījumus un termiņus, lai panāktu divu vai vairāk augstākās izglītības institūciju vai zinātnisko institūtu iekšējo vai ārējo konsolidāciju, tostarp izveidojot konsorcijus vai augstskolu apvienības ar mērķi nodrošināt augstskolu reorganizāciju, ja tas nepieciešams ārējās konsolidācijas īstenošanai, pamatojumu, laika grafiku plānotajām darbībām un sadarbības institūcijas”, lai arī pasākumā "Digitalizācijas iniciatīvas studiju kvalitātes pilnveidei" veidotu sadarbības ar tām institūcijām, ar kurām plānots veidot konsorcijus vai jebkāda veida institucionālas konsolidācijas.</w:t>
            </w:r>
          </w:p>
          <w:p w:rsidR="002A2590" w:rsidRPr="00C66AEF" w:rsidRDefault="002A2590" w:rsidP="00784DB7">
            <w:pPr>
              <w:widowControl w:val="0"/>
              <w:spacing w:after="0" w:line="240" w:lineRule="auto"/>
              <w:jc w:val="both"/>
              <w:rPr>
                <w:rFonts w:ascii="Times New Roman" w:hAnsi="Times New Roman"/>
                <w:lang w:val="lv-LV"/>
              </w:rPr>
            </w:pPr>
            <w:r w:rsidRPr="00C66AEF">
              <w:rPr>
                <w:rFonts w:ascii="Times New Roman" w:hAnsi="Times New Roman"/>
                <w:lang w:val="lv-LV"/>
              </w:rPr>
              <w:t>Uzskatām, ka, lai nodrošinātu pamatotu plānoto darbību papildinātību un sinerģiju ar jau īstenošanā esošajiem SAM projektiem, kā arī ar SAM 8.2.3. 2. kārtas projektu un turpmākajām investīcijām, kuras saistītas ar Ministru kabineta atbalstīto konceptuālo ziņojumu “Par augstskolu iekšējās pārvaldības modeļa maiņu”, kā arī pie tik ierobežota pasākuma kopējā finansējuma un īstenošanas ilguma, šajā pasākumā būtu jāpiemēro ierobežota projektu atlase un projektu vērtēšanai nebūtu jāpiesaista Eiropas Komisijas eksperti, lai nepaildzinātu projektu vērtēšanas procedūru, tādējādi ietaupot administratīvos resursus.</w:t>
            </w:r>
          </w:p>
        </w:tc>
        <w:tc>
          <w:tcPr>
            <w:tcW w:w="3119" w:type="dxa"/>
            <w:shd w:val="clear" w:color="auto" w:fill="auto"/>
          </w:tcPr>
          <w:p w:rsidR="00784DB7" w:rsidRPr="00C66AEF" w:rsidRDefault="00784DB7" w:rsidP="00E018FF">
            <w:pPr>
              <w:spacing w:after="0" w:line="240" w:lineRule="auto"/>
              <w:jc w:val="both"/>
              <w:rPr>
                <w:rFonts w:ascii="Times New Roman" w:eastAsia="Times New Roman" w:hAnsi="Times New Roman" w:cs="Times New Roman"/>
                <w:b/>
                <w:lang w:val="lv-LV" w:eastAsia="lv-LV"/>
              </w:rPr>
            </w:pPr>
            <w:r w:rsidRPr="00C66AEF">
              <w:rPr>
                <w:rFonts w:ascii="Times New Roman" w:eastAsia="Times New Roman" w:hAnsi="Times New Roman" w:cs="Times New Roman"/>
                <w:b/>
                <w:lang w:val="lv-LV" w:eastAsia="lv-LV"/>
              </w:rPr>
              <w:lastRenderedPageBreak/>
              <w:t>Nav ņemts vērā</w:t>
            </w:r>
          </w:p>
          <w:p w:rsidR="002A2590" w:rsidRPr="00C66AEF" w:rsidRDefault="00E10500" w:rsidP="00A236D2">
            <w:pPr>
              <w:spacing w:after="0" w:line="240" w:lineRule="auto"/>
              <w:jc w:val="both"/>
              <w:rPr>
                <w:rFonts w:ascii="Times New Roman" w:eastAsia="Times New Roman" w:hAnsi="Times New Roman" w:cs="Times New Roman"/>
                <w:lang w:val="lv-LV" w:eastAsia="lv-LV"/>
              </w:rPr>
            </w:pPr>
            <w:r w:rsidRPr="00C66AEF">
              <w:rPr>
                <w:rFonts w:ascii="Times New Roman" w:eastAsia="Times New Roman" w:hAnsi="Times New Roman" w:cs="Times New Roman"/>
                <w:lang w:val="lv-LV" w:eastAsia="lv-LV"/>
              </w:rPr>
              <w:t xml:space="preserve">Sk. </w:t>
            </w:r>
            <w:r w:rsidR="002A2590" w:rsidRPr="00C66AEF">
              <w:rPr>
                <w:rFonts w:ascii="Times New Roman" w:eastAsia="Times New Roman" w:hAnsi="Times New Roman" w:cs="Times New Roman"/>
                <w:lang w:val="lv-LV" w:eastAsia="lv-LV"/>
              </w:rPr>
              <w:t>izziņas 1</w:t>
            </w:r>
            <w:r w:rsidR="00163D79" w:rsidRPr="00C66AEF">
              <w:rPr>
                <w:rFonts w:ascii="Times New Roman" w:eastAsia="Times New Roman" w:hAnsi="Times New Roman" w:cs="Times New Roman"/>
                <w:lang w:val="lv-LV" w:eastAsia="lv-LV"/>
              </w:rPr>
              <w:t>7</w:t>
            </w:r>
            <w:r w:rsidR="002A2590" w:rsidRPr="00C66AEF">
              <w:rPr>
                <w:rFonts w:ascii="Times New Roman" w:eastAsia="Times New Roman" w:hAnsi="Times New Roman" w:cs="Times New Roman"/>
                <w:lang w:val="lv-LV" w:eastAsia="lv-LV"/>
              </w:rPr>
              <w:t xml:space="preserve">. </w:t>
            </w:r>
            <w:r w:rsidR="00A236D2" w:rsidRPr="00C66AEF">
              <w:rPr>
                <w:rFonts w:ascii="Times New Roman" w:eastAsia="Times New Roman" w:hAnsi="Times New Roman" w:cs="Times New Roman"/>
                <w:lang w:val="lv-LV" w:eastAsia="lv-LV"/>
              </w:rPr>
              <w:t xml:space="preserve">punkta skaidrojumu </w:t>
            </w:r>
            <w:r w:rsidR="000769E3" w:rsidRPr="00C66AEF">
              <w:rPr>
                <w:rFonts w:ascii="Times New Roman" w:eastAsia="Times New Roman" w:hAnsi="Times New Roman" w:cs="Times New Roman"/>
                <w:lang w:val="lv-LV" w:eastAsia="lv-LV"/>
              </w:rPr>
              <w:t>2</w:t>
            </w:r>
            <w:r w:rsidR="00A236D2" w:rsidRPr="00C66AEF">
              <w:rPr>
                <w:rFonts w:ascii="Times New Roman" w:eastAsia="Times New Roman" w:hAnsi="Times New Roman" w:cs="Times New Roman"/>
                <w:lang w:val="lv-LV" w:eastAsia="lv-LV"/>
              </w:rPr>
              <w:t>)</w:t>
            </w:r>
            <w:r w:rsidR="000769E3" w:rsidRPr="00C66AEF">
              <w:rPr>
                <w:rFonts w:ascii="Times New Roman" w:eastAsia="Times New Roman" w:hAnsi="Times New Roman" w:cs="Times New Roman"/>
                <w:lang w:val="lv-LV" w:eastAsia="lv-LV"/>
              </w:rPr>
              <w:t xml:space="preserve">, kā arī </w:t>
            </w:r>
            <w:r w:rsidR="00A236D2" w:rsidRPr="00C66AEF">
              <w:rPr>
                <w:rFonts w:ascii="Times New Roman" w:eastAsia="Times New Roman" w:hAnsi="Times New Roman" w:cs="Times New Roman"/>
                <w:lang w:val="lv-LV" w:eastAsia="lv-LV"/>
              </w:rPr>
              <w:t xml:space="preserve">izziņas </w:t>
            </w:r>
            <w:r w:rsidR="000769E3" w:rsidRPr="00C66AEF">
              <w:rPr>
                <w:rFonts w:ascii="Times New Roman" w:eastAsia="Times New Roman" w:hAnsi="Times New Roman" w:cs="Times New Roman"/>
                <w:lang w:val="lv-LV" w:eastAsia="lv-LV"/>
              </w:rPr>
              <w:t>31. punktā</w:t>
            </w:r>
            <w:r w:rsidR="002A2590" w:rsidRPr="00C66AEF">
              <w:rPr>
                <w:rFonts w:ascii="Times New Roman" w:eastAsia="Times New Roman" w:hAnsi="Times New Roman" w:cs="Times New Roman"/>
                <w:lang w:val="lv-LV" w:eastAsia="lv-LV"/>
              </w:rPr>
              <w:t xml:space="preserve"> sniegt</w:t>
            </w:r>
            <w:r w:rsidRPr="00C66AEF">
              <w:rPr>
                <w:rFonts w:ascii="Times New Roman" w:eastAsia="Times New Roman" w:hAnsi="Times New Roman" w:cs="Times New Roman"/>
                <w:lang w:val="lv-LV" w:eastAsia="lv-LV"/>
              </w:rPr>
              <w:t>o skaidrojumu</w:t>
            </w:r>
            <w:r w:rsidR="003233A8" w:rsidRPr="00C66AEF">
              <w:rPr>
                <w:rFonts w:ascii="Times New Roman" w:eastAsia="Times New Roman" w:hAnsi="Times New Roman" w:cs="Times New Roman"/>
                <w:lang w:val="lv-LV" w:eastAsia="lv-LV"/>
              </w:rPr>
              <w:t>.</w:t>
            </w:r>
          </w:p>
        </w:tc>
        <w:tc>
          <w:tcPr>
            <w:tcW w:w="3260" w:type="dxa"/>
          </w:tcPr>
          <w:p w:rsidR="00784DB7" w:rsidRPr="0002494F" w:rsidRDefault="00784DB7" w:rsidP="002E4E4F">
            <w:pPr>
              <w:pStyle w:val="tv2132"/>
              <w:spacing w:line="240" w:lineRule="auto"/>
              <w:ind w:firstLine="0"/>
              <w:contextualSpacing/>
              <w:jc w:val="both"/>
              <w:rPr>
                <w:rFonts w:cstheme="minorBidi"/>
                <w:color w:val="auto"/>
                <w:sz w:val="22"/>
                <w:szCs w:val="22"/>
                <w:lang w:val="lv-LV"/>
              </w:rPr>
            </w:pPr>
          </w:p>
        </w:tc>
      </w:tr>
      <w:tr w:rsidR="009B3C4D" w:rsidRPr="0002494F" w:rsidTr="00F70E0C">
        <w:trPr>
          <w:trHeight w:val="274"/>
        </w:trPr>
        <w:tc>
          <w:tcPr>
            <w:tcW w:w="964" w:type="dxa"/>
            <w:shd w:val="clear" w:color="auto" w:fill="auto"/>
          </w:tcPr>
          <w:p w:rsidR="00163D79"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6</w:t>
            </w:r>
            <w:r w:rsidR="00E120DB">
              <w:rPr>
                <w:rFonts w:ascii="Times New Roman" w:eastAsia="Calibri" w:hAnsi="Times New Roman" w:cs="Times New Roman"/>
                <w:lang w:val="lv-LV"/>
              </w:rPr>
              <w:t>4</w:t>
            </w:r>
            <w:r>
              <w:rPr>
                <w:rFonts w:ascii="Times New Roman" w:eastAsia="Calibri" w:hAnsi="Times New Roman" w:cs="Times New Roman"/>
                <w:lang w:val="lv-LV"/>
              </w:rPr>
              <w:t>.</w:t>
            </w:r>
          </w:p>
        </w:tc>
        <w:tc>
          <w:tcPr>
            <w:tcW w:w="2575" w:type="dxa"/>
            <w:shd w:val="clear" w:color="auto" w:fill="auto"/>
          </w:tcPr>
          <w:p w:rsidR="009B3C4D" w:rsidRPr="0002494F" w:rsidRDefault="009B3C4D" w:rsidP="00CD76E6">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9B3C4D" w:rsidRDefault="00054F4A" w:rsidP="00E018FF">
            <w:pPr>
              <w:widowControl w:val="0"/>
              <w:spacing w:after="0" w:line="240" w:lineRule="auto"/>
              <w:jc w:val="both"/>
              <w:rPr>
                <w:rFonts w:ascii="Times New Roman" w:hAnsi="Times New Roman"/>
                <w:b/>
                <w:lang w:val="lv-LV"/>
              </w:rPr>
            </w:pPr>
            <w:r>
              <w:rPr>
                <w:rFonts w:ascii="Times New Roman" w:hAnsi="Times New Roman"/>
                <w:b/>
                <w:lang w:val="lv-LV"/>
              </w:rPr>
              <w:t>Finanšu ministrijas 1. priekšlikums</w:t>
            </w:r>
          </w:p>
          <w:p w:rsidR="00054F4A" w:rsidRPr="00054F4A" w:rsidRDefault="00054F4A" w:rsidP="00054F4A">
            <w:pPr>
              <w:widowControl w:val="0"/>
              <w:spacing w:after="0" w:line="240" w:lineRule="auto"/>
              <w:jc w:val="both"/>
              <w:rPr>
                <w:rFonts w:ascii="Times New Roman" w:hAnsi="Times New Roman"/>
                <w:lang w:val="lv-LV"/>
              </w:rPr>
            </w:pPr>
            <w:r w:rsidRPr="00054F4A">
              <w:rPr>
                <w:rFonts w:ascii="Times New Roman" w:hAnsi="Times New Roman"/>
                <w:lang w:val="lv-LV"/>
              </w:rPr>
              <w:t xml:space="preserve">Lai nodrošinātu viennozīmīgu izpratni par noteikumu projekta 5.punktā norādītajiem </w:t>
            </w:r>
            <w:r w:rsidRPr="00054F4A">
              <w:rPr>
                <w:rFonts w:ascii="Times New Roman" w:hAnsi="Times New Roman"/>
                <w:lang w:val="lv-LV"/>
              </w:rPr>
              <w:lastRenderedPageBreak/>
              <w:t xml:space="preserve">sasniedzamajiem rādītājiem, rosinām papildināt anotāciju </w:t>
            </w:r>
            <w:r w:rsidRPr="0001215C">
              <w:rPr>
                <w:rFonts w:ascii="Times New Roman" w:hAnsi="Times New Roman"/>
                <w:lang w:val="lv-LV"/>
              </w:rPr>
              <w:t>ar skaidrojumu, ka pasākuma  īstenošanas laikā tiks atbalstītas kopumā 7 augstskolas, t.i., iznākuma rādītājs tiks sasniegts, kad tiks noslēgts līgums/vienošanās</w:t>
            </w:r>
            <w:r w:rsidRPr="00054F4A">
              <w:rPr>
                <w:rFonts w:ascii="Times New Roman" w:hAnsi="Times New Roman"/>
                <w:lang w:val="lv-LV"/>
              </w:rPr>
              <w:t xml:space="preserve"> ar finansējuma saņēmējiem un tas paliks nemainīgs līdz pasākuma beigām, proti, par 2021.gada piešķīrumu tiks noslēgti līgumi/vienošanās ar visām 7 augstskolām un par 2022.gada līdzekļiem turpinās sniegt atbalstu šīm pašām 7 augstskolām, savukārt rezultāta rādītājs tiks sasniegts, kad finansējuma saņēmēji iesniegs noslēguma maksājuma pieprasījumus, ar kuriem tiks apstiprināti arī sasniegtie rādītāji, un 2023.gadam izvirzītā mērķa vērtība – 7, tiks sasniegta par abu gadu (2021.gada un 2022.gada) ReactEU finansējuma piešķīrumu. </w:t>
            </w:r>
          </w:p>
          <w:p w:rsidR="00054F4A" w:rsidRPr="0020246F" w:rsidRDefault="00054F4A" w:rsidP="00054F4A">
            <w:pPr>
              <w:widowControl w:val="0"/>
              <w:spacing w:after="0" w:line="240" w:lineRule="auto"/>
              <w:jc w:val="both"/>
              <w:rPr>
                <w:rFonts w:ascii="Times New Roman" w:hAnsi="Times New Roman"/>
                <w:b/>
                <w:lang w:val="lv-LV"/>
              </w:rPr>
            </w:pPr>
            <w:r w:rsidRPr="00054F4A">
              <w:rPr>
                <w:rFonts w:ascii="Times New Roman" w:hAnsi="Times New Roman"/>
                <w:lang w:val="lv-LV"/>
              </w:rPr>
              <w:t>Vienlaikus vēršam uzmanību, ka, pirmšķietami, rādītājs “augstskolu skaits, kuras saņēmušas atbalstu”, var būt attiecināms jau 2021.gadā un 2022.gadā bet rādītājs, “augstskolu skaits, kuras ieviesušas iniciatīvas, būtu attiecināms tikai pēc plānu izpildes, t.i., 2021. un 2022.gadā nebūtu plānojami skaitliski rezultāti</w:t>
            </w:r>
            <w:r w:rsidR="00703D06">
              <w:rPr>
                <w:rFonts w:ascii="Times New Roman" w:hAnsi="Times New Roman"/>
                <w:lang w:val="lv-LV"/>
              </w:rPr>
              <w:t>.</w:t>
            </w:r>
          </w:p>
        </w:tc>
        <w:tc>
          <w:tcPr>
            <w:tcW w:w="3119" w:type="dxa"/>
            <w:shd w:val="clear" w:color="auto" w:fill="auto"/>
          </w:tcPr>
          <w:p w:rsidR="009B3C4D" w:rsidRDefault="00350FA8"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Daļēji ņ</w:t>
            </w:r>
            <w:r w:rsidR="00054F4A">
              <w:rPr>
                <w:rFonts w:ascii="Times New Roman" w:eastAsia="Times New Roman" w:hAnsi="Times New Roman" w:cs="Times New Roman"/>
                <w:b/>
                <w:lang w:val="lv-LV" w:eastAsia="lv-LV"/>
              </w:rPr>
              <w:t>emts vērā</w:t>
            </w:r>
          </w:p>
          <w:p w:rsidR="000B0A7F" w:rsidRPr="00054F4A" w:rsidRDefault="00054F4A" w:rsidP="00FF5C84">
            <w:pPr>
              <w:spacing w:after="0" w:line="240" w:lineRule="auto"/>
              <w:jc w:val="both"/>
              <w:rPr>
                <w:rFonts w:ascii="Times New Roman" w:eastAsia="Times New Roman" w:hAnsi="Times New Roman" w:cs="Times New Roman"/>
                <w:lang w:val="lv-LV" w:eastAsia="lv-LV"/>
              </w:rPr>
            </w:pPr>
            <w:r w:rsidRPr="00054F4A">
              <w:rPr>
                <w:rFonts w:ascii="Times New Roman" w:eastAsia="Times New Roman" w:hAnsi="Times New Roman" w:cs="Times New Roman"/>
                <w:lang w:val="lv-LV" w:eastAsia="lv-LV"/>
              </w:rPr>
              <w:lastRenderedPageBreak/>
              <w:t xml:space="preserve">Sk. </w:t>
            </w:r>
            <w:r w:rsidRPr="00B61645">
              <w:rPr>
                <w:rFonts w:ascii="Times New Roman" w:eastAsia="Times New Roman" w:hAnsi="Times New Roman" w:cs="Times New Roman"/>
                <w:lang w:val="lv-LV" w:eastAsia="lv-LV"/>
              </w:rPr>
              <w:t xml:space="preserve">izziņas </w:t>
            </w:r>
            <w:r w:rsidR="00FF5C84" w:rsidRPr="00B61645">
              <w:rPr>
                <w:rFonts w:ascii="Times New Roman" w:eastAsia="Times New Roman" w:hAnsi="Times New Roman" w:cs="Times New Roman"/>
                <w:lang w:val="lv-LV" w:eastAsia="lv-LV"/>
              </w:rPr>
              <w:t>12</w:t>
            </w:r>
            <w:r w:rsidRPr="00B61645">
              <w:rPr>
                <w:rFonts w:ascii="Times New Roman" w:eastAsia="Times New Roman" w:hAnsi="Times New Roman" w:cs="Times New Roman"/>
                <w:lang w:val="lv-LV" w:eastAsia="lv-LV"/>
              </w:rPr>
              <w:t xml:space="preserve">. un </w:t>
            </w:r>
            <w:r w:rsidR="00FF5C84" w:rsidRPr="00B61645">
              <w:rPr>
                <w:rFonts w:ascii="Times New Roman" w:eastAsia="Times New Roman" w:hAnsi="Times New Roman" w:cs="Times New Roman"/>
                <w:lang w:val="lv-LV" w:eastAsia="lv-LV"/>
              </w:rPr>
              <w:t>41</w:t>
            </w:r>
            <w:r w:rsidRPr="00B61645">
              <w:rPr>
                <w:rFonts w:ascii="Times New Roman" w:eastAsia="Times New Roman" w:hAnsi="Times New Roman" w:cs="Times New Roman"/>
                <w:lang w:val="lv-LV" w:eastAsia="lv-LV"/>
              </w:rPr>
              <w:t>. punktu</w:t>
            </w:r>
            <w:r w:rsidR="00062C29">
              <w:rPr>
                <w:rFonts w:ascii="Times New Roman" w:eastAsia="Times New Roman" w:hAnsi="Times New Roman" w:cs="Times New Roman"/>
                <w:lang w:val="lv-LV" w:eastAsia="lv-LV"/>
              </w:rPr>
              <w:t>.</w:t>
            </w:r>
            <w:r w:rsidR="00857273">
              <w:rPr>
                <w:rFonts w:ascii="Times New Roman" w:eastAsia="Times New Roman" w:hAnsi="Times New Roman" w:cs="Times New Roman"/>
                <w:lang w:val="lv-LV" w:eastAsia="lv-LV"/>
              </w:rPr>
              <w:t xml:space="preserve"> </w:t>
            </w:r>
            <w:r w:rsidR="000B0A7F">
              <w:rPr>
                <w:rFonts w:ascii="Times New Roman" w:eastAsia="Times New Roman" w:hAnsi="Times New Roman" w:cs="Times New Roman"/>
                <w:lang w:val="lv-LV" w:eastAsia="lv-LV"/>
              </w:rPr>
              <w:t>Anotācija papildināta ar skaidrojumu.</w:t>
            </w:r>
          </w:p>
        </w:tc>
        <w:tc>
          <w:tcPr>
            <w:tcW w:w="3260" w:type="dxa"/>
          </w:tcPr>
          <w:p w:rsidR="00054F4A" w:rsidRPr="000B0A7F" w:rsidRDefault="00054F4A" w:rsidP="00054F4A">
            <w:pPr>
              <w:pStyle w:val="tv2132"/>
              <w:spacing w:line="240" w:lineRule="auto"/>
              <w:ind w:firstLine="0"/>
              <w:contextualSpacing/>
              <w:jc w:val="both"/>
              <w:rPr>
                <w:rFonts w:cstheme="minorBidi"/>
                <w:b/>
                <w:color w:val="auto"/>
                <w:sz w:val="22"/>
                <w:szCs w:val="22"/>
                <w:lang w:val="lv-LV"/>
              </w:rPr>
            </w:pPr>
            <w:r w:rsidRPr="000B0A7F">
              <w:rPr>
                <w:rFonts w:cstheme="minorBidi"/>
                <w:b/>
                <w:color w:val="auto"/>
                <w:sz w:val="22"/>
                <w:szCs w:val="22"/>
                <w:lang w:val="lv-LV"/>
              </w:rPr>
              <w:lastRenderedPageBreak/>
              <w:t>Anotācija</w:t>
            </w:r>
          </w:p>
          <w:p w:rsidR="00054F4A" w:rsidRPr="00062C29" w:rsidRDefault="00054F4A" w:rsidP="00C6598D">
            <w:pPr>
              <w:pStyle w:val="tv2132"/>
              <w:spacing w:line="240" w:lineRule="auto"/>
              <w:ind w:firstLine="0"/>
              <w:contextualSpacing/>
              <w:jc w:val="both"/>
              <w:rPr>
                <w:rFonts w:cstheme="minorBidi"/>
                <w:color w:val="auto"/>
                <w:sz w:val="22"/>
                <w:szCs w:val="22"/>
                <w:lang w:val="lv-LV"/>
              </w:rPr>
            </w:pPr>
            <w:r w:rsidRPr="00062C29">
              <w:rPr>
                <w:rFonts w:cstheme="minorBidi"/>
                <w:color w:val="auto"/>
                <w:sz w:val="22"/>
                <w:szCs w:val="22"/>
                <w:lang w:val="lv-LV"/>
              </w:rPr>
              <w:t xml:space="preserve">Sadalījums pa gadiem nav skaitāms kumulatīvi, bet atbalsts </w:t>
            </w:r>
            <w:r w:rsidRPr="00062C29">
              <w:rPr>
                <w:rFonts w:cstheme="minorBidi"/>
                <w:color w:val="auto"/>
                <w:sz w:val="22"/>
                <w:szCs w:val="22"/>
                <w:lang w:val="lv-LV"/>
              </w:rPr>
              <w:lastRenderedPageBreak/>
              <w:t>abos gados tiks nodrošināts tām pašām 7 augstskolām.</w:t>
            </w:r>
          </w:p>
          <w:p w:rsidR="00062C29" w:rsidRPr="0002494F" w:rsidRDefault="00062C29" w:rsidP="00350FA8">
            <w:pPr>
              <w:pStyle w:val="tv2132"/>
              <w:spacing w:line="240" w:lineRule="auto"/>
              <w:ind w:firstLine="0"/>
              <w:contextualSpacing/>
              <w:jc w:val="both"/>
              <w:rPr>
                <w:rFonts w:cstheme="minorBidi"/>
                <w:color w:val="auto"/>
                <w:sz w:val="22"/>
                <w:szCs w:val="22"/>
                <w:lang w:val="lv-LV"/>
              </w:rPr>
            </w:pPr>
            <w:r w:rsidRPr="00062C29">
              <w:rPr>
                <w:rFonts w:cstheme="minorBidi"/>
                <w:color w:val="auto"/>
                <w:sz w:val="22"/>
                <w:szCs w:val="22"/>
                <w:lang w:val="lv-LV"/>
              </w:rPr>
              <w:t>Nosakot iznākuma un rezultāta rādītāju, tajā tiek ieskaitītas arī sadarbības partneru augstskolas (Latvijas augstskolas), ievērojot nosacījumu, ka katra augstskola tiek ieskaitīta vienu reizi (rādītājā tiek iekļautas unikālās augstskolas).</w:t>
            </w:r>
          </w:p>
        </w:tc>
      </w:tr>
      <w:tr w:rsidR="00054F4A" w:rsidRPr="0002494F" w:rsidTr="00F70E0C">
        <w:trPr>
          <w:trHeight w:val="274"/>
        </w:trPr>
        <w:tc>
          <w:tcPr>
            <w:tcW w:w="964" w:type="dxa"/>
            <w:shd w:val="clear" w:color="auto" w:fill="auto"/>
          </w:tcPr>
          <w:p w:rsidR="00163D79"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6</w:t>
            </w:r>
            <w:r w:rsidR="00E120DB">
              <w:rPr>
                <w:rFonts w:ascii="Times New Roman" w:eastAsia="Calibri" w:hAnsi="Times New Roman" w:cs="Times New Roman"/>
                <w:lang w:val="lv-LV"/>
              </w:rPr>
              <w:t>5</w:t>
            </w:r>
            <w:r>
              <w:rPr>
                <w:rFonts w:ascii="Times New Roman" w:eastAsia="Calibri" w:hAnsi="Times New Roman" w:cs="Times New Roman"/>
                <w:lang w:val="lv-LV"/>
              </w:rPr>
              <w:t>.</w:t>
            </w:r>
          </w:p>
        </w:tc>
        <w:tc>
          <w:tcPr>
            <w:tcW w:w="2575" w:type="dxa"/>
            <w:shd w:val="clear" w:color="auto" w:fill="auto"/>
          </w:tcPr>
          <w:p w:rsidR="0015521F" w:rsidRPr="0015521F" w:rsidRDefault="0015521F" w:rsidP="0015521F">
            <w:pPr>
              <w:pStyle w:val="tv2132"/>
              <w:spacing w:line="240" w:lineRule="auto"/>
              <w:contextualSpacing/>
              <w:jc w:val="both"/>
              <w:rPr>
                <w:rFonts w:cstheme="minorBidi"/>
                <w:color w:val="auto"/>
                <w:sz w:val="22"/>
                <w:szCs w:val="22"/>
                <w:lang w:val="lv-LV"/>
              </w:rPr>
            </w:pPr>
            <w:r w:rsidRPr="0015521F">
              <w:rPr>
                <w:rFonts w:cstheme="minorBidi"/>
                <w:color w:val="auto"/>
                <w:sz w:val="22"/>
                <w:szCs w:val="22"/>
                <w:lang w:val="lv-LV"/>
              </w:rPr>
              <w:t xml:space="preserve">6. Pasākumam pieejamais kopējais finansējums ir 7 860 001 euro, tajā skaitā Eiropas Sociālā fonda finansējums – 6 681 000 euro un valsts budžeta līdzfinansējums – 1 179 001 euro, nodrošinot to no finansējuma Kohēzijas politikai 2014. – </w:t>
            </w:r>
            <w:r w:rsidRPr="0015521F">
              <w:rPr>
                <w:rFonts w:cstheme="minorBidi"/>
                <w:color w:val="auto"/>
                <w:sz w:val="22"/>
                <w:szCs w:val="22"/>
                <w:lang w:val="lv-LV"/>
              </w:rPr>
              <w:lastRenderedPageBreak/>
              <w:t>2020. gada plānošanas periodā (REACT-EU):</w:t>
            </w:r>
          </w:p>
          <w:p w:rsidR="0015521F" w:rsidRPr="0015521F" w:rsidRDefault="0015521F" w:rsidP="0015521F">
            <w:pPr>
              <w:pStyle w:val="tv2132"/>
              <w:spacing w:line="240" w:lineRule="auto"/>
              <w:contextualSpacing/>
              <w:jc w:val="both"/>
              <w:rPr>
                <w:rFonts w:cstheme="minorBidi"/>
                <w:color w:val="auto"/>
                <w:sz w:val="22"/>
                <w:szCs w:val="22"/>
                <w:lang w:val="lv-LV"/>
              </w:rPr>
            </w:pPr>
            <w:r w:rsidRPr="0015521F">
              <w:rPr>
                <w:rFonts w:cstheme="minorBidi"/>
                <w:color w:val="auto"/>
                <w:sz w:val="22"/>
                <w:szCs w:val="22"/>
                <w:lang w:val="lv-LV"/>
              </w:rPr>
              <w:t xml:space="preserve">6.1. 2021. gada Eiropas Komisijas piešķīrums ir 6 068 071 euro, tajā skaitā Eiropas Sociālā fonda finansējums – 5 157 860 euro un valsts budžeta līdzfinansējums – 910 211 euro; </w:t>
            </w:r>
          </w:p>
          <w:p w:rsidR="00054F4A" w:rsidRPr="0002494F" w:rsidRDefault="0015521F" w:rsidP="0015521F">
            <w:pPr>
              <w:pStyle w:val="tv2132"/>
              <w:spacing w:line="240" w:lineRule="auto"/>
              <w:ind w:firstLine="0"/>
              <w:contextualSpacing/>
              <w:jc w:val="both"/>
              <w:rPr>
                <w:rFonts w:cstheme="minorBidi"/>
                <w:color w:val="auto"/>
                <w:sz w:val="22"/>
                <w:szCs w:val="22"/>
                <w:lang w:val="lv-LV"/>
              </w:rPr>
            </w:pPr>
            <w:r w:rsidRPr="0015521F">
              <w:rPr>
                <w:rFonts w:cstheme="minorBidi"/>
                <w:color w:val="auto"/>
                <w:sz w:val="22"/>
                <w:szCs w:val="22"/>
                <w:lang w:val="lv-LV"/>
              </w:rPr>
              <w:t>6.2. 2022. gada Eiropas Komisijas piešķīrums ir 1 791 930 euro, ko veido Eiropas Sociālā fonda finansējums – 1 523 140 euro un valsts budžeta līdzfinansējums – 268 790 euro</w:t>
            </w:r>
          </w:p>
        </w:tc>
        <w:tc>
          <w:tcPr>
            <w:tcW w:w="3969" w:type="dxa"/>
            <w:shd w:val="clear" w:color="auto" w:fill="auto"/>
          </w:tcPr>
          <w:p w:rsidR="00054F4A" w:rsidRDefault="00054F4A" w:rsidP="00054F4A">
            <w:pPr>
              <w:spacing w:after="0"/>
              <w:rPr>
                <w:rFonts w:ascii="Times New Roman" w:hAnsi="Times New Roman"/>
                <w:b/>
                <w:lang w:val="lv-LV"/>
              </w:rPr>
            </w:pPr>
            <w:r w:rsidRPr="00BB47C8">
              <w:rPr>
                <w:rFonts w:ascii="Times New Roman" w:hAnsi="Times New Roman"/>
                <w:b/>
                <w:lang w:val="lv-LV"/>
              </w:rPr>
              <w:lastRenderedPageBreak/>
              <w:t xml:space="preserve">Finanšu ministrijas </w:t>
            </w:r>
            <w:r w:rsidR="00703D06">
              <w:rPr>
                <w:rFonts w:ascii="Times New Roman" w:hAnsi="Times New Roman"/>
                <w:b/>
                <w:lang w:val="lv-LV"/>
              </w:rPr>
              <w:t xml:space="preserve">2. </w:t>
            </w:r>
            <w:r w:rsidRPr="00BB47C8">
              <w:rPr>
                <w:rFonts w:ascii="Times New Roman" w:hAnsi="Times New Roman"/>
                <w:b/>
                <w:lang w:val="lv-LV"/>
              </w:rPr>
              <w:t>priekšlikums</w:t>
            </w:r>
          </w:p>
          <w:p w:rsidR="00703D06" w:rsidRPr="00703D06" w:rsidRDefault="00703D06" w:rsidP="00703D06">
            <w:pPr>
              <w:spacing w:after="0" w:line="240" w:lineRule="auto"/>
            </w:pPr>
            <w:r w:rsidRPr="00703D06">
              <w:rPr>
                <w:rFonts w:ascii="Times New Roman" w:eastAsia="Times New Roman" w:hAnsi="Times New Roman" w:cs="Times New Roman"/>
                <w:lang w:val="lv-LV"/>
              </w:rPr>
              <w:t>Lūdzam precizēt noteikumu projekta 6.punktu, aiz vārda “kopējais” papildinot ar vārdu “attiecināmais”</w:t>
            </w:r>
            <w:r>
              <w:rPr>
                <w:rFonts w:ascii="Times New Roman" w:eastAsia="Times New Roman" w:hAnsi="Times New Roman" w:cs="Times New Roman"/>
                <w:lang w:val="lv-LV"/>
              </w:rPr>
              <w:t>.</w:t>
            </w:r>
          </w:p>
        </w:tc>
        <w:tc>
          <w:tcPr>
            <w:tcW w:w="3119" w:type="dxa"/>
            <w:shd w:val="clear" w:color="auto" w:fill="auto"/>
          </w:tcPr>
          <w:p w:rsidR="00054F4A" w:rsidRDefault="00703D06" w:rsidP="00054F4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15521F" w:rsidRPr="0015521F" w:rsidRDefault="0015521F" w:rsidP="0015521F">
            <w:pPr>
              <w:pStyle w:val="tv2132"/>
              <w:spacing w:line="240" w:lineRule="auto"/>
              <w:contextualSpacing/>
              <w:jc w:val="both"/>
              <w:rPr>
                <w:rFonts w:cstheme="minorBidi"/>
                <w:color w:val="auto"/>
                <w:sz w:val="22"/>
                <w:szCs w:val="22"/>
                <w:lang w:val="lv-LV"/>
              </w:rPr>
            </w:pPr>
            <w:r w:rsidRPr="0015521F">
              <w:rPr>
                <w:rFonts w:cstheme="minorBidi"/>
                <w:color w:val="auto"/>
                <w:sz w:val="22"/>
                <w:szCs w:val="22"/>
                <w:lang w:val="lv-LV"/>
              </w:rPr>
              <w:t xml:space="preserve">6. Pasākumam pieejamais kopējais </w:t>
            </w:r>
            <w:r w:rsidRPr="0015521F">
              <w:rPr>
                <w:rFonts w:cstheme="minorBidi"/>
                <w:b/>
                <w:color w:val="auto"/>
                <w:sz w:val="22"/>
                <w:szCs w:val="22"/>
                <w:lang w:val="lv-LV"/>
              </w:rPr>
              <w:t>attiecināmais</w:t>
            </w:r>
            <w:r w:rsidRPr="0015521F">
              <w:rPr>
                <w:rFonts w:cstheme="minorBidi"/>
                <w:color w:val="auto"/>
                <w:sz w:val="22"/>
                <w:szCs w:val="22"/>
                <w:lang w:val="lv-LV"/>
              </w:rPr>
              <w:t xml:space="preserve"> finansējums ir 7 860 001 euro, tajā skaitā Eiropas Sociālā fonda finansējums – 6 681 000 euro un valsts budžeta līdzfinansējums – 1 179 001 euro, tai skaitā:</w:t>
            </w:r>
          </w:p>
          <w:p w:rsidR="0015521F" w:rsidRPr="0015521F" w:rsidRDefault="0015521F" w:rsidP="0015521F">
            <w:pPr>
              <w:pStyle w:val="tv2132"/>
              <w:spacing w:line="240" w:lineRule="auto"/>
              <w:contextualSpacing/>
              <w:jc w:val="both"/>
              <w:rPr>
                <w:rFonts w:cstheme="minorBidi"/>
                <w:color w:val="auto"/>
                <w:sz w:val="22"/>
                <w:szCs w:val="22"/>
                <w:lang w:val="lv-LV"/>
              </w:rPr>
            </w:pPr>
            <w:r w:rsidRPr="0015521F">
              <w:rPr>
                <w:rFonts w:cstheme="minorBidi"/>
                <w:color w:val="auto"/>
                <w:sz w:val="22"/>
                <w:szCs w:val="22"/>
                <w:lang w:val="lv-LV"/>
              </w:rPr>
              <w:t xml:space="preserve">6.1. atbilstoši REACT-EU 2021. gada piešķīrumam, kopējais </w:t>
            </w:r>
            <w:r w:rsidRPr="0015521F">
              <w:rPr>
                <w:rFonts w:cstheme="minorBidi"/>
                <w:b/>
                <w:color w:val="auto"/>
                <w:sz w:val="22"/>
                <w:szCs w:val="22"/>
                <w:lang w:val="lv-LV"/>
              </w:rPr>
              <w:t>attiecināmais</w:t>
            </w:r>
            <w:r w:rsidRPr="0015521F">
              <w:rPr>
                <w:rFonts w:cstheme="minorBidi"/>
                <w:color w:val="auto"/>
                <w:sz w:val="22"/>
                <w:szCs w:val="22"/>
                <w:lang w:val="lv-LV"/>
              </w:rPr>
              <w:t xml:space="preserve"> finansējums ir 6 </w:t>
            </w:r>
            <w:r w:rsidRPr="0015521F">
              <w:rPr>
                <w:rFonts w:cstheme="minorBidi"/>
                <w:color w:val="auto"/>
                <w:sz w:val="22"/>
                <w:szCs w:val="22"/>
                <w:lang w:val="lv-LV"/>
              </w:rPr>
              <w:lastRenderedPageBreak/>
              <w:t xml:space="preserve">068 071 euro, tajā skaitā Eiropas Sociālā fonda finansējums – 5 157 860 euro un valsts budžeta līdzfinansējums – 910 211 euro; </w:t>
            </w:r>
          </w:p>
          <w:p w:rsidR="00054F4A" w:rsidRPr="0002494F" w:rsidRDefault="0015521F" w:rsidP="00FF5C84">
            <w:pPr>
              <w:pStyle w:val="tv2132"/>
              <w:spacing w:line="240" w:lineRule="auto"/>
              <w:ind w:firstLine="0"/>
              <w:contextualSpacing/>
              <w:jc w:val="both"/>
              <w:rPr>
                <w:rFonts w:cstheme="minorBidi"/>
                <w:color w:val="auto"/>
                <w:sz w:val="22"/>
                <w:szCs w:val="22"/>
                <w:lang w:val="lv-LV"/>
              </w:rPr>
            </w:pPr>
            <w:r w:rsidRPr="0015521F">
              <w:rPr>
                <w:rFonts w:cstheme="minorBidi"/>
                <w:color w:val="auto"/>
                <w:sz w:val="22"/>
                <w:szCs w:val="22"/>
                <w:lang w:val="lv-LV"/>
              </w:rPr>
              <w:t xml:space="preserve">6.2. atbilstoši plānotajam REACT-EU 2022. gada piešķīrumam, kopējais </w:t>
            </w:r>
            <w:r w:rsidRPr="0015521F">
              <w:rPr>
                <w:rFonts w:cstheme="minorBidi"/>
                <w:b/>
                <w:color w:val="auto"/>
                <w:sz w:val="22"/>
                <w:szCs w:val="22"/>
                <w:lang w:val="lv-LV"/>
              </w:rPr>
              <w:t>attiecināmais</w:t>
            </w:r>
            <w:r w:rsidRPr="0015521F">
              <w:rPr>
                <w:rFonts w:cstheme="minorBidi"/>
                <w:color w:val="auto"/>
                <w:sz w:val="22"/>
                <w:szCs w:val="22"/>
                <w:lang w:val="lv-LV"/>
              </w:rPr>
              <w:t xml:space="preserve"> finansējums ir 1 791 930 euro, tai skaitā Eiropas Sociālā fonda finansējums – 1 523 140 euro un valsts budžeta līdzfinansējums – 268 790 euro</w:t>
            </w:r>
            <w:r w:rsidR="00703D06">
              <w:rPr>
                <w:rFonts w:cstheme="minorBidi"/>
                <w:color w:val="auto"/>
                <w:sz w:val="22"/>
                <w:szCs w:val="22"/>
                <w:lang w:val="lv-LV"/>
              </w:rPr>
              <w:t>.</w:t>
            </w:r>
          </w:p>
        </w:tc>
      </w:tr>
      <w:tr w:rsidR="00703D06" w:rsidRPr="0002494F" w:rsidTr="00F70E0C">
        <w:trPr>
          <w:trHeight w:val="274"/>
        </w:trPr>
        <w:tc>
          <w:tcPr>
            <w:tcW w:w="964" w:type="dxa"/>
            <w:shd w:val="clear" w:color="auto" w:fill="auto"/>
          </w:tcPr>
          <w:p w:rsidR="00163D79"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6</w:t>
            </w:r>
            <w:r w:rsidR="00E120DB">
              <w:rPr>
                <w:rFonts w:ascii="Times New Roman" w:eastAsia="Calibri" w:hAnsi="Times New Roman" w:cs="Times New Roman"/>
                <w:lang w:val="lv-LV"/>
              </w:rPr>
              <w:t>6</w:t>
            </w:r>
            <w:r>
              <w:rPr>
                <w:rFonts w:ascii="Times New Roman" w:eastAsia="Calibri" w:hAnsi="Times New Roman" w:cs="Times New Roman"/>
                <w:lang w:val="lv-LV"/>
              </w:rPr>
              <w:t>.</w:t>
            </w:r>
          </w:p>
        </w:tc>
        <w:tc>
          <w:tcPr>
            <w:tcW w:w="2575" w:type="dxa"/>
            <w:shd w:val="clear" w:color="auto" w:fill="auto"/>
          </w:tcPr>
          <w:p w:rsidR="00703D06" w:rsidRPr="0002494F" w:rsidRDefault="00363598" w:rsidP="00703D06">
            <w:pPr>
              <w:pStyle w:val="tv2132"/>
              <w:spacing w:line="240" w:lineRule="auto"/>
              <w:ind w:firstLine="0"/>
              <w:contextualSpacing/>
              <w:jc w:val="both"/>
              <w:rPr>
                <w:rFonts w:cstheme="minorBidi"/>
                <w:color w:val="auto"/>
                <w:sz w:val="22"/>
                <w:szCs w:val="22"/>
                <w:lang w:val="lv-LV"/>
              </w:rPr>
            </w:pPr>
            <w:r w:rsidRPr="00363598">
              <w:rPr>
                <w:rFonts w:cstheme="minorBidi"/>
                <w:color w:val="auto"/>
                <w:sz w:val="22"/>
                <w:szCs w:val="22"/>
                <w:lang w:val="lv-LV"/>
              </w:rPr>
              <w:t>14. Projekta iesniedzējs sagatavo projekta iesniegumu atbilstoši projekta iesniegumu atlases nolikumā noteiktajām prasībām un iesniedz to sadarbības iestādē Kohēzijas politikas fondu vadības informācijas sistēmā 2014.–2020. gadam elektroniskajā vidē</w:t>
            </w:r>
          </w:p>
        </w:tc>
        <w:tc>
          <w:tcPr>
            <w:tcW w:w="3969" w:type="dxa"/>
            <w:shd w:val="clear" w:color="auto" w:fill="auto"/>
          </w:tcPr>
          <w:p w:rsidR="00703D06" w:rsidRDefault="00703D06" w:rsidP="00703D06">
            <w:pPr>
              <w:spacing w:after="0"/>
              <w:rPr>
                <w:rFonts w:ascii="Times New Roman" w:hAnsi="Times New Roman"/>
                <w:b/>
                <w:lang w:val="lv-LV"/>
              </w:rPr>
            </w:pPr>
            <w:r w:rsidRPr="00BB47C8">
              <w:rPr>
                <w:rFonts w:ascii="Times New Roman" w:hAnsi="Times New Roman"/>
                <w:b/>
                <w:lang w:val="lv-LV"/>
              </w:rPr>
              <w:t xml:space="preserve">Finanšu ministrijas </w:t>
            </w:r>
            <w:r>
              <w:rPr>
                <w:rFonts w:ascii="Times New Roman" w:hAnsi="Times New Roman"/>
                <w:b/>
                <w:lang w:val="lv-LV"/>
              </w:rPr>
              <w:t xml:space="preserve">3. </w:t>
            </w:r>
            <w:r w:rsidRPr="00BB47C8">
              <w:rPr>
                <w:rFonts w:ascii="Times New Roman" w:hAnsi="Times New Roman"/>
                <w:b/>
                <w:lang w:val="lv-LV"/>
              </w:rPr>
              <w:t>priekšlikums</w:t>
            </w:r>
          </w:p>
          <w:p w:rsidR="00703D06" w:rsidRPr="00703D06" w:rsidRDefault="00703D06" w:rsidP="00703D06">
            <w:pPr>
              <w:spacing w:after="0" w:line="240" w:lineRule="auto"/>
              <w:jc w:val="both"/>
            </w:pPr>
            <w:r w:rsidRPr="00703D06">
              <w:rPr>
                <w:rFonts w:ascii="Times New Roman" w:eastAsia="Times New Roman" w:hAnsi="Times New Roman" w:cs="Times New Roman"/>
                <w:lang w:val="lv-LV"/>
              </w:rPr>
              <w:t>Lūdzam noteikumu projekta 14.punktā pirms vārdiem “Kohēzijas politikas fondu vadības” papildināt ar vārdu “izmantojot”</w:t>
            </w:r>
            <w:r>
              <w:rPr>
                <w:rFonts w:ascii="Times New Roman" w:eastAsia="Times New Roman" w:hAnsi="Times New Roman" w:cs="Times New Roman"/>
                <w:lang w:val="lv-LV"/>
              </w:rPr>
              <w:t>.</w:t>
            </w:r>
          </w:p>
        </w:tc>
        <w:tc>
          <w:tcPr>
            <w:tcW w:w="3119" w:type="dxa"/>
            <w:shd w:val="clear" w:color="auto" w:fill="auto"/>
          </w:tcPr>
          <w:p w:rsidR="00703D06" w:rsidRDefault="00703D06" w:rsidP="00703D0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703D06" w:rsidRPr="0002494F" w:rsidRDefault="00363598" w:rsidP="0094450E">
            <w:pPr>
              <w:pStyle w:val="tv2132"/>
              <w:spacing w:line="240" w:lineRule="auto"/>
              <w:ind w:firstLine="0"/>
              <w:contextualSpacing/>
              <w:jc w:val="both"/>
              <w:rPr>
                <w:rFonts w:cstheme="minorBidi"/>
                <w:color w:val="auto"/>
                <w:sz w:val="22"/>
                <w:szCs w:val="22"/>
                <w:lang w:val="lv-LV"/>
              </w:rPr>
            </w:pPr>
            <w:r w:rsidRPr="00363598">
              <w:rPr>
                <w:rFonts w:cstheme="minorBidi"/>
                <w:color w:val="auto"/>
                <w:sz w:val="22"/>
                <w:szCs w:val="22"/>
                <w:lang w:val="lv-LV"/>
              </w:rPr>
              <w:t xml:space="preserve">14. Projekta iesniedzējs sagatavo projekta iesniegumu atbilstoši projekta iesniegumu atlases nolikumā noteiktajām prasībām un iesniedz to sadarbības iestādē, </w:t>
            </w:r>
            <w:r w:rsidRPr="00363598">
              <w:rPr>
                <w:rFonts w:cstheme="minorBidi"/>
                <w:b/>
                <w:color w:val="auto"/>
                <w:sz w:val="22"/>
                <w:szCs w:val="22"/>
                <w:lang w:val="lv-LV"/>
              </w:rPr>
              <w:t>izmantojot</w:t>
            </w:r>
            <w:r w:rsidRPr="00363598">
              <w:rPr>
                <w:rFonts w:cstheme="minorBidi"/>
                <w:color w:val="auto"/>
                <w:sz w:val="22"/>
                <w:szCs w:val="22"/>
                <w:lang w:val="lv-LV"/>
              </w:rPr>
              <w:t xml:space="preserve"> Kohēzijas politikas fondu vadības informācijas sistēmas 2014.–2020. gadam elektronisko vidi</w:t>
            </w:r>
          </w:p>
        </w:tc>
      </w:tr>
      <w:tr w:rsidR="00054F4A" w:rsidRPr="0002494F" w:rsidTr="00F70E0C">
        <w:trPr>
          <w:trHeight w:val="274"/>
        </w:trPr>
        <w:tc>
          <w:tcPr>
            <w:tcW w:w="964" w:type="dxa"/>
            <w:shd w:val="clear" w:color="auto" w:fill="auto"/>
          </w:tcPr>
          <w:p w:rsidR="00163D79"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6</w:t>
            </w:r>
            <w:r w:rsidR="00E120DB">
              <w:rPr>
                <w:rFonts w:ascii="Times New Roman" w:eastAsia="Calibri" w:hAnsi="Times New Roman" w:cs="Times New Roman"/>
                <w:lang w:val="lv-LV"/>
              </w:rPr>
              <w:t>7</w:t>
            </w:r>
            <w:r>
              <w:rPr>
                <w:rFonts w:ascii="Times New Roman" w:eastAsia="Calibri" w:hAnsi="Times New Roman" w:cs="Times New Roman"/>
                <w:lang w:val="lv-LV"/>
              </w:rPr>
              <w:t>.</w:t>
            </w:r>
          </w:p>
        </w:tc>
        <w:tc>
          <w:tcPr>
            <w:tcW w:w="2575" w:type="dxa"/>
            <w:shd w:val="clear" w:color="auto" w:fill="auto"/>
          </w:tcPr>
          <w:p w:rsidR="00054F4A" w:rsidRPr="0002494F" w:rsidRDefault="00054F4A" w:rsidP="00054F4A">
            <w:pPr>
              <w:pStyle w:val="tv2132"/>
              <w:spacing w:line="240" w:lineRule="auto"/>
              <w:ind w:firstLine="0"/>
              <w:contextualSpacing/>
              <w:jc w:val="both"/>
              <w:rPr>
                <w:rFonts w:cstheme="minorBidi"/>
                <w:color w:val="auto"/>
                <w:sz w:val="22"/>
                <w:szCs w:val="22"/>
                <w:lang w:val="lv-LV"/>
              </w:rPr>
            </w:pPr>
          </w:p>
        </w:tc>
        <w:tc>
          <w:tcPr>
            <w:tcW w:w="3969" w:type="dxa"/>
            <w:shd w:val="clear" w:color="auto" w:fill="auto"/>
          </w:tcPr>
          <w:p w:rsidR="00054F4A" w:rsidRDefault="00054F4A" w:rsidP="00054F4A">
            <w:pPr>
              <w:spacing w:after="0"/>
              <w:rPr>
                <w:rFonts w:ascii="Times New Roman" w:hAnsi="Times New Roman"/>
                <w:b/>
                <w:lang w:val="lv-LV"/>
              </w:rPr>
            </w:pPr>
            <w:r w:rsidRPr="00BB47C8">
              <w:rPr>
                <w:rFonts w:ascii="Times New Roman" w:hAnsi="Times New Roman"/>
                <w:b/>
                <w:lang w:val="lv-LV"/>
              </w:rPr>
              <w:t xml:space="preserve">Finanšu ministrijas </w:t>
            </w:r>
            <w:r w:rsidR="00703D06">
              <w:rPr>
                <w:rFonts w:ascii="Times New Roman" w:hAnsi="Times New Roman"/>
                <w:b/>
                <w:lang w:val="lv-LV"/>
              </w:rPr>
              <w:t xml:space="preserve">4. </w:t>
            </w:r>
            <w:r w:rsidRPr="00BB47C8">
              <w:rPr>
                <w:rFonts w:ascii="Times New Roman" w:hAnsi="Times New Roman"/>
                <w:b/>
                <w:lang w:val="lv-LV"/>
              </w:rPr>
              <w:t>priekšlikums</w:t>
            </w:r>
          </w:p>
          <w:p w:rsidR="00EA1FE7" w:rsidRPr="00EA1FE7" w:rsidRDefault="00EA1FE7" w:rsidP="00EA1FE7">
            <w:pPr>
              <w:spacing w:after="0" w:line="240" w:lineRule="auto"/>
              <w:contextualSpacing/>
              <w:jc w:val="both"/>
            </w:pPr>
            <w:r w:rsidRPr="00EA1FE7">
              <w:rPr>
                <w:rFonts w:ascii="Times New Roman" w:eastAsia="Times New Roman" w:hAnsi="Times New Roman" w:cs="Times New Roman"/>
                <w:lang w:val="lv-LV"/>
              </w:rPr>
              <w:t xml:space="preserve">Rosinām papildināt noteikumu projekta 18.punktu ar jaunu apakšpunktu, kas paredz darbību, kas paredz starpinstitūciju sadarbības risinājumu izstrādi un/vai ieviešanu, ņemot vērā, ka DP un noteikumu projekta 17.2.apakšpunktā 14.1.1.1.pasākumā plānota atbalstāmā </w:t>
            </w:r>
            <w:r w:rsidRPr="00EA1FE7">
              <w:rPr>
                <w:rFonts w:ascii="Times New Roman" w:eastAsia="Times New Roman" w:hAnsi="Times New Roman" w:cs="Times New Roman"/>
                <w:lang w:val="lv-LV"/>
              </w:rPr>
              <w:lastRenderedPageBreak/>
              <w:t xml:space="preserve">darbība “augstskolu digitālās kapacitātes stiprināšana, izstrādājot un ieviešot inovatīvus digitālus tehnoloģiskus risinājumus studiju procesā, mācību </w:t>
            </w:r>
            <w:r w:rsidRPr="000B0A7F">
              <w:rPr>
                <w:rFonts w:ascii="Times New Roman" w:eastAsia="Times New Roman" w:hAnsi="Times New Roman" w:cs="Times New Roman"/>
                <w:lang w:val="lv-LV"/>
              </w:rPr>
              <w:t>rezultātu analīzē, tai skaitā starpinstitūciju sadarbības un koplietošanas risinājumus” vai skaidrot, kuras no noteikumu projekta 18.punktā plānotajām darbībām ietvaros tiks nodrošināta minēto starpinstitūciju sadarbības risinājumu izstrāde.</w:t>
            </w:r>
            <w:r w:rsidRPr="00EA1FE7">
              <w:rPr>
                <w:rFonts w:ascii="Times New Roman" w:eastAsia="Times New Roman" w:hAnsi="Times New Roman" w:cs="Times New Roman"/>
                <w:lang w:val="lv-LV"/>
              </w:rPr>
              <w:t xml:space="preserve"> </w:t>
            </w:r>
          </w:p>
        </w:tc>
        <w:tc>
          <w:tcPr>
            <w:tcW w:w="3119" w:type="dxa"/>
            <w:shd w:val="clear" w:color="auto" w:fill="auto"/>
          </w:tcPr>
          <w:p w:rsidR="00054F4A" w:rsidRDefault="007D1809" w:rsidP="00054F4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lastRenderedPageBreak/>
              <w:t>Nav ņ</w:t>
            </w:r>
            <w:r w:rsidR="00EA1FE7">
              <w:rPr>
                <w:rFonts w:ascii="Times New Roman" w:eastAsia="Times New Roman" w:hAnsi="Times New Roman" w:cs="Times New Roman"/>
                <w:b/>
                <w:lang w:val="lv-LV" w:eastAsia="lv-LV"/>
              </w:rPr>
              <w:t>emts vērā</w:t>
            </w:r>
          </w:p>
          <w:p w:rsidR="00EA1FE7" w:rsidRPr="00EA1FE7" w:rsidRDefault="00EA1FE7" w:rsidP="00EA1FE7">
            <w:pPr>
              <w:spacing w:after="0" w:line="240" w:lineRule="auto"/>
              <w:jc w:val="both"/>
              <w:rPr>
                <w:rFonts w:ascii="Times New Roman" w:eastAsia="Times New Roman" w:hAnsi="Times New Roman" w:cs="Times New Roman"/>
                <w:lang w:val="lv-LV" w:eastAsia="lv-LV"/>
              </w:rPr>
            </w:pPr>
            <w:r w:rsidRPr="008942EB">
              <w:rPr>
                <w:rFonts w:ascii="Times New Roman" w:eastAsia="Times New Roman" w:hAnsi="Times New Roman" w:cs="Times New Roman"/>
                <w:lang w:val="lv-LV" w:eastAsia="lv-LV"/>
              </w:rPr>
              <w:t>Skaidrojam, ka nav lietderīgi iekļaut atsevišķu atbalstāmo darbību, kas paredz</w:t>
            </w:r>
            <w:r w:rsidRPr="008942EB">
              <w:t xml:space="preserve"> </w:t>
            </w:r>
            <w:r w:rsidRPr="008942EB">
              <w:rPr>
                <w:rFonts w:ascii="Times New Roman" w:eastAsia="Times New Roman" w:hAnsi="Times New Roman" w:cs="Times New Roman"/>
                <w:lang w:val="lv-LV" w:eastAsia="lv-LV"/>
              </w:rPr>
              <w:t>starpinstitūciju sadarbības risinājumu  ieviešanu, tā kā to var paredzēt visu minēto atbalstāmo darbību ietvaros.</w:t>
            </w:r>
          </w:p>
        </w:tc>
        <w:tc>
          <w:tcPr>
            <w:tcW w:w="3260" w:type="dxa"/>
          </w:tcPr>
          <w:p w:rsidR="00054F4A" w:rsidRPr="0002494F" w:rsidRDefault="00054F4A" w:rsidP="00054F4A">
            <w:pPr>
              <w:pStyle w:val="tv2132"/>
              <w:spacing w:line="240" w:lineRule="auto"/>
              <w:ind w:firstLine="0"/>
              <w:contextualSpacing/>
              <w:jc w:val="both"/>
              <w:rPr>
                <w:rFonts w:cstheme="minorBidi"/>
                <w:color w:val="auto"/>
                <w:sz w:val="22"/>
                <w:szCs w:val="22"/>
                <w:lang w:val="lv-LV"/>
              </w:rPr>
            </w:pPr>
          </w:p>
        </w:tc>
      </w:tr>
      <w:tr w:rsidR="00DE15C7" w:rsidRPr="0002494F" w:rsidTr="00F70E0C">
        <w:trPr>
          <w:trHeight w:val="274"/>
        </w:trPr>
        <w:tc>
          <w:tcPr>
            <w:tcW w:w="964" w:type="dxa"/>
            <w:shd w:val="clear" w:color="auto" w:fill="auto"/>
          </w:tcPr>
          <w:p w:rsidR="00DE15C7"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6</w:t>
            </w:r>
            <w:r w:rsidR="00E120DB">
              <w:rPr>
                <w:rFonts w:ascii="Times New Roman" w:eastAsia="Calibri" w:hAnsi="Times New Roman" w:cs="Times New Roman"/>
                <w:lang w:val="lv-LV"/>
              </w:rPr>
              <w:t>8</w:t>
            </w:r>
            <w:r>
              <w:rPr>
                <w:rFonts w:ascii="Times New Roman" w:eastAsia="Calibri" w:hAnsi="Times New Roman" w:cs="Times New Roman"/>
                <w:lang w:val="lv-LV"/>
              </w:rPr>
              <w:t>.</w:t>
            </w:r>
          </w:p>
        </w:tc>
        <w:tc>
          <w:tcPr>
            <w:tcW w:w="2575" w:type="dxa"/>
            <w:shd w:val="clear" w:color="auto" w:fill="auto"/>
          </w:tcPr>
          <w:p w:rsidR="00DE15C7" w:rsidRPr="00DE15C7" w:rsidRDefault="00DE15C7" w:rsidP="00DE15C7">
            <w:pPr>
              <w:pStyle w:val="tv2132"/>
              <w:spacing w:line="240" w:lineRule="auto"/>
              <w:contextualSpacing/>
              <w:jc w:val="both"/>
              <w:rPr>
                <w:rFonts w:cstheme="minorBidi"/>
                <w:color w:val="auto"/>
                <w:sz w:val="22"/>
                <w:szCs w:val="22"/>
                <w:lang w:val="lv-LV"/>
              </w:rPr>
            </w:pPr>
            <w:r w:rsidRPr="00DE15C7">
              <w:rPr>
                <w:rFonts w:cstheme="minorBidi"/>
                <w:color w:val="auto"/>
                <w:sz w:val="22"/>
                <w:szCs w:val="22"/>
                <w:lang w:val="lv-LV"/>
              </w:rPr>
              <w:t>19. Pasākuma ietvaros ir šādi izmaksu veidi:</w:t>
            </w:r>
          </w:p>
          <w:p w:rsidR="00DE15C7" w:rsidRPr="00DE15C7" w:rsidRDefault="00DE15C7" w:rsidP="00DE15C7">
            <w:pPr>
              <w:pStyle w:val="tv2132"/>
              <w:spacing w:line="240" w:lineRule="auto"/>
              <w:contextualSpacing/>
              <w:jc w:val="both"/>
              <w:rPr>
                <w:rFonts w:cstheme="minorBidi"/>
                <w:color w:val="auto"/>
                <w:sz w:val="22"/>
                <w:szCs w:val="22"/>
                <w:lang w:val="lv-LV"/>
              </w:rPr>
            </w:pPr>
            <w:r w:rsidRPr="00DE15C7">
              <w:rPr>
                <w:rFonts w:cstheme="minorBidi"/>
                <w:color w:val="auto"/>
                <w:sz w:val="22"/>
                <w:szCs w:val="22"/>
                <w:lang w:val="lv-LV"/>
              </w:rPr>
              <w:t>19.1. tiešās attiecināmās izmaksas, kas ir tieši saistītas ar projekta darbību īstenošanu un nepieciešamas projekta rezultātu sasniegšanai, un šī saistība ir skaidri saprotama un pierādāma;</w:t>
            </w:r>
          </w:p>
          <w:p w:rsidR="00DE15C7" w:rsidRPr="008942EB" w:rsidRDefault="00DE15C7" w:rsidP="00DE15C7">
            <w:pPr>
              <w:pStyle w:val="tv2132"/>
              <w:spacing w:line="240" w:lineRule="auto"/>
              <w:contextualSpacing/>
              <w:jc w:val="both"/>
              <w:rPr>
                <w:rFonts w:cstheme="minorBidi"/>
                <w:color w:val="auto"/>
                <w:sz w:val="22"/>
                <w:szCs w:val="22"/>
                <w:lang w:val="lv-LV"/>
              </w:rPr>
            </w:pPr>
            <w:r w:rsidRPr="00DE15C7">
              <w:rPr>
                <w:rFonts w:cstheme="minorBidi"/>
                <w:color w:val="auto"/>
                <w:sz w:val="22"/>
                <w:szCs w:val="22"/>
                <w:lang w:val="lv-LV"/>
              </w:rPr>
              <w:t>19.2. netiešās attiecināmās izmaksas, kas nav tieši saistītas ar projekta rezultātu sasniegšanu, bet atbalsta un nodrošina atbilstošus apstākļus projekta darbību īstenošanai un projekta rezultātu sasniegšanai</w:t>
            </w:r>
            <w:r>
              <w:rPr>
                <w:rFonts w:cstheme="minorBidi"/>
                <w:color w:val="auto"/>
                <w:sz w:val="22"/>
                <w:szCs w:val="22"/>
                <w:lang w:val="lv-LV"/>
              </w:rPr>
              <w:t>.</w:t>
            </w:r>
          </w:p>
        </w:tc>
        <w:tc>
          <w:tcPr>
            <w:tcW w:w="3969" w:type="dxa"/>
            <w:shd w:val="clear" w:color="auto" w:fill="auto"/>
          </w:tcPr>
          <w:p w:rsidR="00DE15C7" w:rsidRDefault="00DE15C7" w:rsidP="00DE15C7">
            <w:pPr>
              <w:spacing w:after="0"/>
              <w:rPr>
                <w:rFonts w:ascii="Times New Roman" w:hAnsi="Times New Roman"/>
                <w:b/>
                <w:lang w:val="lv-LV"/>
              </w:rPr>
            </w:pPr>
            <w:r w:rsidRPr="00BB47C8">
              <w:rPr>
                <w:rFonts w:ascii="Times New Roman" w:hAnsi="Times New Roman"/>
                <w:b/>
                <w:lang w:val="lv-LV"/>
              </w:rPr>
              <w:t xml:space="preserve">Finanšu ministrijas </w:t>
            </w:r>
            <w:r>
              <w:rPr>
                <w:rFonts w:ascii="Times New Roman" w:hAnsi="Times New Roman"/>
                <w:b/>
                <w:lang w:val="lv-LV"/>
              </w:rPr>
              <w:t xml:space="preserve">5. </w:t>
            </w:r>
            <w:r w:rsidRPr="00BB47C8">
              <w:rPr>
                <w:rFonts w:ascii="Times New Roman" w:hAnsi="Times New Roman"/>
                <w:b/>
                <w:lang w:val="lv-LV"/>
              </w:rPr>
              <w:t>priekšlikums</w:t>
            </w:r>
          </w:p>
          <w:p w:rsidR="00DE15C7" w:rsidRPr="00BB47C8" w:rsidRDefault="00DE15C7" w:rsidP="00DE15C7">
            <w:pPr>
              <w:spacing w:after="0" w:line="240" w:lineRule="auto"/>
              <w:jc w:val="both"/>
              <w:rPr>
                <w:rFonts w:ascii="Times New Roman" w:hAnsi="Times New Roman"/>
                <w:b/>
                <w:lang w:val="lv-LV"/>
              </w:rPr>
            </w:pPr>
            <w:r w:rsidRPr="00EA1FE7">
              <w:rPr>
                <w:rFonts w:ascii="Times New Roman" w:eastAsia="Times New Roman" w:hAnsi="Times New Roman" w:cs="Times New Roman"/>
                <w:lang w:val="lv-LV"/>
              </w:rPr>
              <w:t xml:space="preserve">Lūdzam izvērtēt noteikumu projekta 19.punkta lietderību vai aicinām šo skaidrojumu iekļaut noteikumu projekta anotācijā, jo attiecināmo izmaksu definīcijas un skaidrojumi jau izriet no Finanšu ministrijas vadlīnijām Nr.2.1. “Vadlīnijas attiecināmo un neattiecināmo izmaksu noteikšanai 2014. – 2020.gada plānošanas periodā”. </w:t>
            </w:r>
          </w:p>
        </w:tc>
        <w:tc>
          <w:tcPr>
            <w:tcW w:w="3119" w:type="dxa"/>
            <w:shd w:val="clear" w:color="auto" w:fill="auto"/>
          </w:tcPr>
          <w:p w:rsidR="00DE15C7" w:rsidRDefault="00DE15C7" w:rsidP="00DE15C7">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DE15C7" w:rsidRDefault="00DE15C7" w:rsidP="00DE15C7">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lang w:val="lv-LV" w:eastAsia="lv-LV"/>
              </w:rPr>
              <w:t>N</w:t>
            </w:r>
            <w:r w:rsidRPr="00EA1FE7">
              <w:rPr>
                <w:rFonts w:ascii="Times New Roman" w:eastAsia="Times New Roman" w:hAnsi="Times New Roman" w:cs="Times New Roman"/>
                <w:lang w:val="lv-LV" w:eastAsia="lv-LV"/>
              </w:rPr>
              <w:t>oteikumu projekta 19.</w:t>
            </w:r>
            <w:r>
              <w:rPr>
                <w:rFonts w:ascii="Times New Roman" w:eastAsia="Times New Roman" w:hAnsi="Times New Roman" w:cs="Times New Roman"/>
                <w:lang w:val="lv-LV" w:eastAsia="lv-LV"/>
              </w:rPr>
              <w:t xml:space="preserve"> </w:t>
            </w:r>
            <w:r w:rsidRPr="00EA1FE7">
              <w:rPr>
                <w:rFonts w:ascii="Times New Roman" w:eastAsia="Times New Roman" w:hAnsi="Times New Roman" w:cs="Times New Roman"/>
                <w:lang w:val="lv-LV" w:eastAsia="lv-LV"/>
              </w:rPr>
              <w:t xml:space="preserve">punkts </w:t>
            </w:r>
            <w:r>
              <w:rPr>
                <w:rFonts w:ascii="Times New Roman" w:eastAsia="Times New Roman" w:hAnsi="Times New Roman" w:cs="Times New Roman"/>
                <w:lang w:val="lv-LV" w:eastAsia="lv-LV"/>
              </w:rPr>
              <w:t>svītrots.</w:t>
            </w:r>
          </w:p>
        </w:tc>
        <w:tc>
          <w:tcPr>
            <w:tcW w:w="3260" w:type="dxa"/>
          </w:tcPr>
          <w:p w:rsidR="00DE15C7" w:rsidRDefault="00DE15C7" w:rsidP="00054F4A">
            <w:pPr>
              <w:pStyle w:val="tv2132"/>
              <w:spacing w:line="240" w:lineRule="auto"/>
              <w:ind w:firstLine="0"/>
              <w:contextualSpacing/>
              <w:jc w:val="both"/>
              <w:rPr>
                <w:rFonts w:cstheme="minorBidi"/>
                <w:color w:val="auto"/>
                <w:sz w:val="22"/>
                <w:szCs w:val="22"/>
                <w:lang w:val="lv-LV"/>
              </w:rPr>
            </w:pPr>
          </w:p>
        </w:tc>
      </w:tr>
      <w:tr w:rsidR="00DE15C7" w:rsidRPr="0002494F" w:rsidTr="00F70E0C">
        <w:trPr>
          <w:trHeight w:val="274"/>
        </w:trPr>
        <w:tc>
          <w:tcPr>
            <w:tcW w:w="964" w:type="dxa"/>
            <w:shd w:val="clear" w:color="auto" w:fill="auto"/>
          </w:tcPr>
          <w:p w:rsidR="00DE15C7" w:rsidRDefault="00163D79" w:rsidP="00E120DB">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6</w:t>
            </w:r>
            <w:r w:rsidR="00E120DB">
              <w:rPr>
                <w:rFonts w:ascii="Times New Roman" w:eastAsia="Calibri" w:hAnsi="Times New Roman" w:cs="Times New Roman"/>
                <w:lang w:val="lv-LV"/>
              </w:rPr>
              <w:t>9</w:t>
            </w:r>
            <w:r>
              <w:rPr>
                <w:rFonts w:ascii="Times New Roman" w:eastAsia="Calibri" w:hAnsi="Times New Roman" w:cs="Times New Roman"/>
                <w:lang w:val="lv-LV"/>
              </w:rPr>
              <w:t>.</w:t>
            </w:r>
          </w:p>
        </w:tc>
        <w:tc>
          <w:tcPr>
            <w:tcW w:w="2575" w:type="dxa"/>
            <w:shd w:val="clear" w:color="auto" w:fill="auto"/>
          </w:tcPr>
          <w:p w:rsidR="005D54E8" w:rsidRPr="00F55A65" w:rsidRDefault="005D54E8" w:rsidP="005D54E8">
            <w:pPr>
              <w:pStyle w:val="tv2132"/>
              <w:spacing w:line="240" w:lineRule="auto"/>
              <w:ind w:firstLine="0"/>
              <w:rPr>
                <w:b/>
                <w:sz w:val="22"/>
                <w:szCs w:val="22"/>
                <w:lang w:val="lv-LV"/>
              </w:rPr>
            </w:pPr>
            <w:r w:rsidRPr="00F55A65">
              <w:rPr>
                <w:b/>
                <w:sz w:val="22"/>
                <w:szCs w:val="22"/>
                <w:lang w:val="lv-LV"/>
              </w:rPr>
              <w:t>Anotācija</w:t>
            </w:r>
          </w:p>
          <w:p w:rsidR="00DE15C7" w:rsidRPr="008942EB" w:rsidRDefault="005D54E8" w:rsidP="004A4DBD">
            <w:pPr>
              <w:pStyle w:val="tv2132"/>
              <w:spacing w:line="240" w:lineRule="auto"/>
              <w:contextualSpacing/>
              <w:jc w:val="both"/>
              <w:rPr>
                <w:rFonts w:cstheme="minorBidi"/>
                <w:color w:val="auto"/>
                <w:sz w:val="22"/>
                <w:szCs w:val="22"/>
                <w:lang w:val="lv-LV"/>
              </w:rPr>
            </w:pPr>
            <w:r w:rsidRPr="005D54E8">
              <w:rPr>
                <w:rFonts w:cstheme="minorBidi"/>
                <w:color w:val="auto"/>
                <w:sz w:val="22"/>
                <w:szCs w:val="22"/>
                <w:lang w:val="lv-LV"/>
              </w:rPr>
              <w:t xml:space="preserve">Nepieciešamība pēc digitālajām prasmēm kļūst arvien aktuālāka, vienlaikus digitālās transformācijas kontekstā šobrīd liels akcents tiek likts uz augsta līmeņa digitālajām prasmēm, kuru </w:t>
            </w:r>
            <w:r w:rsidRPr="005D54E8">
              <w:rPr>
                <w:rFonts w:cstheme="minorBidi"/>
                <w:color w:val="auto"/>
                <w:sz w:val="22"/>
                <w:szCs w:val="22"/>
                <w:lang w:val="lv-LV"/>
              </w:rPr>
              <w:lastRenderedPageBreak/>
              <w:t xml:space="preserve">attīstībai ir paredzētas investīcijas gan no </w:t>
            </w:r>
            <w:r w:rsidRPr="004A4DBD">
              <w:rPr>
                <w:rFonts w:cstheme="minorBidi"/>
                <w:color w:val="auto"/>
                <w:sz w:val="22"/>
                <w:szCs w:val="22"/>
                <w:lang w:val="lv-LV"/>
              </w:rPr>
              <w:t xml:space="preserve">ANM, gan </w:t>
            </w:r>
            <w:r w:rsidR="004A4DBD" w:rsidRPr="004A4DBD">
              <w:rPr>
                <w:rFonts w:cstheme="minorBidi"/>
                <w:color w:val="auto"/>
                <w:sz w:val="22"/>
                <w:szCs w:val="22"/>
                <w:lang w:val="lv-LV"/>
              </w:rPr>
              <w:t>ESIF</w:t>
            </w:r>
            <w:r w:rsidRPr="004A4DBD">
              <w:rPr>
                <w:rFonts w:cstheme="minorBidi"/>
                <w:color w:val="auto"/>
                <w:sz w:val="22"/>
                <w:szCs w:val="22"/>
                <w:lang w:val="lv-LV"/>
              </w:rPr>
              <w:t xml:space="preserve"> 2021.</w:t>
            </w:r>
            <w:r w:rsidRPr="005D54E8">
              <w:rPr>
                <w:rFonts w:cstheme="minorBidi"/>
                <w:color w:val="auto"/>
                <w:sz w:val="22"/>
                <w:szCs w:val="22"/>
                <w:lang w:val="lv-LV"/>
              </w:rPr>
              <w:t>-2027. gada plānošanas perioda līdzekļiem</w:t>
            </w:r>
          </w:p>
        </w:tc>
        <w:tc>
          <w:tcPr>
            <w:tcW w:w="3969" w:type="dxa"/>
            <w:shd w:val="clear" w:color="auto" w:fill="auto"/>
          </w:tcPr>
          <w:p w:rsidR="00DE15C7" w:rsidRPr="00C66AEF" w:rsidRDefault="00784DB7" w:rsidP="00054F4A">
            <w:pPr>
              <w:spacing w:after="0"/>
              <w:rPr>
                <w:rFonts w:ascii="Times New Roman" w:hAnsi="Times New Roman"/>
                <w:b/>
                <w:lang w:val="lv-LV"/>
              </w:rPr>
            </w:pPr>
            <w:r w:rsidRPr="00C66AEF">
              <w:rPr>
                <w:rFonts w:ascii="Times New Roman" w:hAnsi="Times New Roman"/>
                <w:b/>
                <w:lang w:val="lv-LV"/>
              </w:rPr>
              <w:lastRenderedPageBreak/>
              <w:t>Finanšu ministrijas 19. oktobra elektroniskās saskaņošanas laikā sniegtais priekšlikums</w:t>
            </w:r>
          </w:p>
          <w:p w:rsidR="00784DB7" w:rsidRPr="00C66AEF" w:rsidRDefault="00AC00F7" w:rsidP="00AC00F7">
            <w:pPr>
              <w:spacing w:after="0"/>
              <w:jc w:val="both"/>
              <w:rPr>
                <w:rFonts w:ascii="Times New Roman" w:hAnsi="Times New Roman"/>
                <w:lang w:val="lv-LV"/>
              </w:rPr>
            </w:pPr>
            <w:r w:rsidRPr="00C66AEF">
              <w:rPr>
                <w:rFonts w:ascii="Times New Roman" w:hAnsi="Times New Roman"/>
                <w:lang w:val="lv-LV"/>
              </w:rPr>
              <w:t>Rosinām precizēt anotācijas I sadaļas “Tiesību akta projekta izstrādes nepieciešamība” 2.punkta 6.rindkopu, norādāt atšifrējumus apzīmējumiem ANM un ESIF.</w:t>
            </w:r>
          </w:p>
        </w:tc>
        <w:tc>
          <w:tcPr>
            <w:tcW w:w="3119" w:type="dxa"/>
            <w:shd w:val="clear" w:color="auto" w:fill="auto"/>
          </w:tcPr>
          <w:p w:rsidR="00DE15C7" w:rsidRDefault="00784DB7" w:rsidP="00054F4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DE15C7" w:rsidRPr="005D54E8" w:rsidRDefault="00AC00F7" w:rsidP="00054F4A">
            <w:pPr>
              <w:pStyle w:val="tv2132"/>
              <w:spacing w:line="240" w:lineRule="auto"/>
              <w:ind w:firstLine="0"/>
              <w:contextualSpacing/>
              <w:jc w:val="both"/>
              <w:rPr>
                <w:rFonts w:cstheme="minorBidi"/>
                <w:b/>
                <w:color w:val="auto"/>
                <w:sz w:val="22"/>
                <w:szCs w:val="22"/>
                <w:lang w:val="lv-LV"/>
              </w:rPr>
            </w:pPr>
            <w:r w:rsidRPr="005D54E8">
              <w:rPr>
                <w:rFonts w:cstheme="minorBidi"/>
                <w:b/>
                <w:color w:val="auto"/>
                <w:sz w:val="22"/>
                <w:szCs w:val="22"/>
                <w:lang w:val="lv-LV"/>
              </w:rPr>
              <w:t>Anotācija</w:t>
            </w:r>
          </w:p>
          <w:p w:rsidR="005D54E8" w:rsidRDefault="005D54E8" w:rsidP="003B758D">
            <w:pPr>
              <w:pStyle w:val="tv2132"/>
              <w:spacing w:line="240" w:lineRule="auto"/>
              <w:ind w:firstLine="0"/>
              <w:contextualSpacing/>
              <w:jc w:val="both"/>
              <w:rPr>
                <w:rFonts w:cstheme="minorBidi"/>
                <w:color w:val="auto"/>
                <w:sz w:val="22"/>
                <w:szCs w:val="22"/>
                <w:lang w:val="lv-LV"/>
              </w:rPr>
            </w:pPr>
            <w:r w:rsidRPr="005D54E8">
              <w:rPr>
                <w:rFonts w:cstheme="minorBidi"/>
                <w:color w:val="auto"/>
                <w:sz w:val="22"/>
                <w:szCs w:val="22"/>
                <w:lang w:val="lv-LV"/>
              </w:rPr>
              <w:t xml:space="preserve">Nepieciešamība pēc digitālajām prasmēm kļūst arvien aktuālāka, vienlaikus digitālās transformācijas kontekstā šobrīd liels akcents tiek likts uz augsta līmeņa digitālajām prasmēm, kuru attīstībai ir paredzētas investīcijas gan no </w:t>
            </w:r>
            <w:r w:rsidR="003B758D">
              <w:rPr>
                <w:rFonts w:cstheme="minorBidi"/>
                <w:b/>
                <w:color w:val="auto"/>
                <w:sz w:val="22"/>
                <w:szCs w:val="22"/>
                <w:lang w:val="lv-LV"/>
              </w:rPr>
              <w:t>ES</w:t>
            </w:r>
            <w:r w:rsidRPr="005D54E8">
              <w:rPr>
                <w:rFonts w:cstheme="minorBidi"/>
                <w:b/>
                <w:color w:val="auto"/>
                <w:sz w:val="22"/>
                <w:szCs w:val="22"/>
                <w:lang w:val="lv-LV"/>
              </w:rPr>
              <w:t xml:space="preserve"> Atvese</w:t>
            </w:r>
            <w:r w:rsidR="003B758D">
              <w:rPr>
                <w:rFonts w:cstheme="minorBidi"/>
                <w:b/>
                <w:color w:val="auto"/>
                <w:sz w:val="22"/>
                <w:szCs w:val="22"/>
                <w:lang w:val="lv-LV"/>
              </w:rPr>
              <w:t xml:space="preserve">ļošanas un </w:t>
            </w:r>
            <w:r w:rsidR="003B758D">
              <w:rPr>
                <w:rFonts w:cstheme="minorBidi"/>
                <w:b/>
                <w:color w:val="auto"/>
                <w:sz w:val="22"/>
                <w:szCs w:val="22"/>
                <w:lang w:val="lv-LV"/>
              </w:rPr>
              <w:lastRenderedPageBreak/>
              <w:t xml:space="preserve">noturības mehānisma </w:t>
            </w:r>
            <w:r w:rsidRPr="005D54E8">
              <w:rPr>
                <w:rFonts w:cstheme="minorBidi"/>
                <w:b/>
                <w:color w:val="auto"/>
                <w:sz w:val="22"/>
                <w:szCs w:val="22"/>
                <w:lang w:val="lv-LV"/>
              </w:rPr>
              <w:t xml:space="preserve">plāna, gan </w:t>
            </w:r>
            <w:r w:rsidR="003B758D">
              <w:rPr>
                <w:rFonts w:cstheme="minorBidi"/>
                <w:b/>
                <w:color w:val="auto"/>
                <w:sz w:val="22"/>
                <w:szCs w:val="22"/>
                <w:lang w:val="lv-LV"/>
              </w:rPr>
              <w:t>ES</w:t>
            </w:r>
            <w:r w:rsidRPr="005D54E8">
              <w:rPr>
                <w:rFonts w:cstheme="minorBidi"/>
                <w:b/>
                <w:color w:val="auto"/>
                <w:sz w:val="22"/>
                <w:szCs w:val="22"/>
                <w:lang w:val="lv-LV"/>
              </w:rPr>
              <w:t xml:space="preserve"> struktūrfondu</w:t>
            </w:r>
            <w:r w:rsidRPr="005D54E8">
              <w:rPr>
                <w:rFonts w:cstheme="minorBidi"/>
                <w:color w:val="auto"/>
                <w:sz w:val="22"/>
                <w:szCs w:val="22"/>
                <w:lang w:val="lv-LV"/>
              </w:rPr>
              <w:t xml:space="preserve"> 2021.-2027. gada plānošanas perioda līdzekļiem.</w:t>
            </w:r>
          </w:p>
        </w:tc>
      </w:tr>
      <w:tr w:rsidR="00E120DB" w:rsidRPr="0002494F" w:rsidTr="00F70E0C">
        <w:trPr>
          <w:trHeight w:val="274"/>
        </w:trPr>
        <w:tc>
          <w:tcPr>
            <w:tcW w:w="964" w:type="dxa"/>
            <w:shd w:val="clear" w:color="auto" w:fill="auto"/>
          </w:tcPr>
          <w:p w:rsidR="00E120DB" w:rsidRDefault="00E120DB" w:rsidP="00054F4A">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70</w:t>
            </w:r>
            <w:r w:rsidR="006221AA">
              <w:rPr>
                <w:rFonts w:ascii="Times New Roman" w:eastAsia="Calibri" w:hAnsi="Times New Roman" w:cs="Times New Roman"/>
                <w:lang w:val="lv-LV"/>
              </w:rPr>
              <w:t>.</w:t>
            </w:r>
          </w:p>
        </w:tc>
        <w:tc>
          <w:tcPr>
            <w:tcW w:w="2575" w:type="dxa"/>
            <w:shd w:val="clear" w:color="auto" w:fill="auto"/>
          </w:tcPr>
          <w:p w:rsidR="00E120DB" w:rsidRPr="008942EB" w:rsidRDefault="00E120DB" w:rsidP="008942EB">
            <w:pPr>
              <w:pStyle w:val="tv2132"/>
              <w:spacing w:line="240" w:lineRule="auto"/>
              <w:contextualSpacing/>
              <w:jc w:val="both"/>
              <w:rPr>
                <w:rFonts w:cstheme="minorBidi"/>
                <w:color w:val="auto"/>
                <w:sz w:val="22"/>
                <w:szCs w:val="22"/>
                <w:lang w:val="lv-LV"/>
              </w:rPr>
            </w:pPr>
          </w:p>
        </w:tc>
        <w:tc>
          <w:tcPr>
            <w:tcW w:w="3969" w:type="dxa"/>
            <w:shd w:val="clear" w:color="auto" w:fill="auto"/>
          </w:tcPr>
          <w:p w:rsidR="00E120DB" w:rsidRPr="00C66AEF" w:rsidRDefault="00E120DB" w:rsidP="00163D79">
            <w:pPr>
              <w:spacing w:after="0"/>
              <w:rPr>
                <w:rFonts w:ascii="Times New Roman" w:hAnsi="Times New Roman"/>
                <w:b/>
                <w:lang w:val="lv-LV"/>
              </w:rPr>
            </w:pPr>
            <w:r w:rsidRPr="00C66AEF">
              <w:rPr>
                <w:rFonts w:ascii="Times New Roman" w:hAnsi="Times New Roman"/>
                <w:b/>
                <w:lang w:val="lv-LV"/>
              </w:rPr>
              <w:t>Pēc Finanšu ministrijas priekšlikuma 02.11.2021. saskaņošanas sanāksmē, anotācija tika papildināta ar skaidrojumu par partnerību.</w:t>
            </w:r>
          </w:p>
        </w:tc>
        <w:tc>
          <w:tcPr>
            <w:tcW w:w="3119" w:type="dxa"/>
            <w:shd w:val="clear" w:color="auto" w:fill="auto"/>
          </w:tcPr>
          <w:p w:rsidR="00E120DB" w:rsidRDefault="00E120DB" w:rsidP="00054F4A">
            <w:pPr>
              <w:spacing w:after="0" w:line="240" w:lineRule="auto"/>
              <w:jc w:val="both"/>
              <w:rPr>
                <w:rFonts w:ascii="Times New Roman" w:eastAsia="Times New Roman" w:hAnsi="Times New Roman" w:cs="Times New Roman"/>
                <w:b/>
                <w:lang w:val="lv-LV" w:eastAsia="lv-LV"/>
              </w:rPr>
            </w:pPr>
            <w:r w:rsidRPr="00E120DB">
              <w:rPr>
                <w:rFonts w:ascii="Times New Roman" w:eastAsia="Times New Roman" w:hAnsi="Times New Roman" w:cs="Times New Roman"/>
                <w:b/>
                <w:lang w:val="lv-LV" w:eastAsia="lv-LV"/>
              </w:rPr>
              <w:t>Sk. precizēto anotāciju</w:t>
            </w:r>
          </w:p>
        </w:tc>
        <w:tc>
          <w:tcPr>
            <w:tcW w:w="3260" w:type="dxa"/>
          </w:tcPr>
          <w:p w:rsidR="00E120DB" w:rsidRPr="00E120DB" w:rsidRDefault="00E120DB" w:rsidP="00E120DB">
            <w:pPr>
              <w:spacing w:after="0"/>
              <w:rPr>
                <w:rFonts w:ascii="Times New Roman" w:hAnsi="Times New Roman" w:cs="Times New Roman"/>
                <w:b/>
                <w:lang w:val="lv-LV"/>
              </w:rPr>
            </w:pPr>
            <w:r w:rsidRPr="00E120DB">
              <w:rPr>
                <w:rFonts w:ascii="Times New Roman" w:hAnsi="Times New Roman" w:cs="Times New Roman"/>
                <w:b/>
                <w:lang w:val="lv-LV"/>
              </w:rPr>
              <w:t>Anotācija</w:t>
            </w:r>
          </w:p>
          <w:p w:rsidR="00E120DB" w:rsidRPr="00E120DB" w:rsidRDefault="00E120DB" w:rsidP="00E120DB">
            <w:pPr>
              <w:spacing w:after="0"/>
              <w:jc w:val="both"/>
              <w:rPr>
                <w:rFonts w:ascii="Times New Roman" w:hAnsi="Times New Roman" w:cs="Times New Roman"/>
                <w:lang w:val="lv-LV"/>
              </w:rPr>
            </w:pPr>
            <w:r w:rsidRPr="00E120DB">
              <w:rPr>
                <w:rFonts w:ascii="Times New Roman" w:hAnsi="Times New Roman" w:cs="Times New Roman"/>
                <w:lang w:val="lv-LV"/>
              </w:rPr>
              <w:t>Vismaz trīs augstskolu obligātā partnerība projektā dos iespēju apvienot savus spēkus, labākās idejas un intelektuālo potenciālu no vairākām augstskolām, lai kopīgi radītu (pielāgotu) tādu digitālu saturu, kas ir starpdisciplinārs, vienlaikus piemērots partneraugstskolu kopīgajām studiju jomām, tomēr nefokusējoties uz ļoti šaurām specializācijas jomām, lai tas būtu izmantojams pēc iespējas plašākam interesentu lokam. Šāda partnerība projektā dos iespēju koncentrēt resursus, nodrošinot nepieciešamo jaudīgumu un izveidojot tādu komandu, kas spēs radīt un piedāvāt starptautiska līmeņa digitālo prasmju attīstību veicinošu plaši pielietojamu studiju saturu. Tāpat arī plašāka partnerība veicinās efektīvu ES fondu investīciju izlietojumu, mazinot risku atbalstīt vairākus saturiski līdzīgus studiju moduļus.</w:t>
            </w:r>
          </w:p>
          <w:p w:rsidR="00E120DB" w:rsidRPr="00AB55BD" w:rsidRDefault="00E120DB" w:rsidP="00E120DB">
            <w:pPr>
              <w:spacing w:after="0"/>
              <w:jc w:val="both"/>
              <w:rPr>
                <w:rFonts w:ascii="Times New Roman" w:hAnsi="Times New Roman" w:cs="Times New Roman"/>
                <w:lang w:val="lv-LV"/>
              </w:rPr>
            </w:pPr>
            <w:r w:rsidRPr="00E120DB">
              <w:rPr>
                <w:rFonts w:ascii="Times New Roman" w:hAnsi="Times New Roman" w:cs="Times New Roman"/>
                <w:lang w:val="lv-LV"/>
              </w:rPr>
              <w:t xml:space="preserve">[..] </w:t>
            </w:r>
            <w:r w:rsidRPr="00AB55BD">
              <w:rPr>
                <w:rFonts w:ascii="Times New Roman" w:hAnsi="Times New Roman" w:cs="Times New Roman"/>
                <w:lang w:val="lv-LV"/>
              </w:rPr>
              <w:t xml:space="preserve">Uzņēmumiem pozitīvais ieguvums no šādas sadarbības būtu tas, ka tie iegūtu labāk sagatavotus speciālistus, līdz ar to mazāk būtu </w:t>
            </w:r>
            <w:r w:rsidRPr="00AB55BD">
              <w:rPr>
                <w:rFonts w:ascii="Times New Roman" w:hAnsi="Times New Roman" w:cs="Times New Roman"/>
                <w:lang w:val="lv-LV"/>
              </w:rPr>
              <w:lastRenderedPageBreak/>
              <w:t>jāinvestē to apmācībā, uzsākot darbu konkrētajā uzņēmumā. Līdz ar to uzņēmumi kā sadarbības partneri ir ieinteresēti veltīt savu laiku un cilvēkresursus, nodrošinot savu ekspertīzi digitālā satura radīšanai, par to saņemot tādu atlīdzību, kas sedz faktiskās izmaksas.</w:t>
            </w:r>
          </w:p>
          <w:p w:rsidR="00E120DB" w:rsidRPr="00F70E0C" w:rsidRDefault="00E120DB" w:rsidP="00E120DB">
            <w:pPr>
              <w:spacing w:after="0"/>
              <w:jc w:val="both"/>
              <w:rPr>
                <w:rFonts w:ascii="Times New Roman" w:hAnsi="Times New Roman" w:cs="Times New Roman"/>
                <w:b/>
              </w:rPr>
            </w:pPr>
            <w:r w:rsidRPr="00AB55BD">
              <w:rPr>
                <w:rFonts w:ascii="Times New Roman" w:hAnsi="Times New Roman" w:cs="Times New Roman"/>
                <w:lang w:val="lv-LV"/>
              </w:rPr>
              <w:t>Pieredze rāda, ka progresīvākie uzņēmumi</w:t>
            </w:r>
            <w:r w:rsidRPr="00E120DB">
              <w:rPr>
                <w:rFonts w:ascii="Times New Roman" w:hAnsi="Times New Roman" w:cs="Times New Roman"/>
                <w:lang w:val="lv-LV"/>
              </w:rPr>
              <w:t xml:space="preserve"> un izcilas ārvalstu augstskolas publisko iepirkumu konkursos nepiedalās, tāpēc partnerība ir vienīgais veids, kā projektā piesaistīt nepieciešamos cilvēkresursus, kas nodrošinātu atbilstošas kvalitātes ekspertīzi.</w:t>
            </w:r>
          </w:p>
        </w:tc>
      </w:tr>
      <w:tr w:rsidR="00D3611F" w:rsidRPr="0002494F" w:rsidTr="00F70E0C">
        <w:trPr>
          <w:trHeight w:val="274"/>
        </w:trPr>
        <w:tc>
          <w:tcPr>
            <w:tcW w:w="964" w:type="dxa"/>
            <w:shd w:val="clear" w:color="auto" w:fill="auto"/>
          </w:tcPr>
          <w:p w:rsidR="00D3611F" w:rsidRDefault="00D3611F" w:rsidP="00054F4A">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71.</w:t>
            </w:r>
          </w:p>
        </w:tc>
        <w:tc>
          <w:tcPr>
            <w:tcW w:w="2575" w:type="dxa"/>
            <w:shd w:val="clear" w:color="auto" w:fill="auto"/>
          </w:tcPr>
          <w:p w:rsidR="00D3611F" w:rsidRPr="00F55A65" w:rsidRDefault="005B2715" w:rsidP="005B2715">
            <w:pPr>
              <w:pStyle w:val="tv2132"/>
              <w:spacing w:line="240" w:lineRule="auto"/>
              <w:contextualSpacing/>
              <w:jc w:val="both"/>
              <w:rPr>
                <w:rFonts w:cstheme="minorBidi"/>
                <w:color w:val="auto"/>
                <w:sz w:val="22"/>
                <w:szCs w:val="22"/>
                <w:lang w:val="lv-LV"/>
              </w:rPr>
            </w:pPr>
            <w:r w:rsidRPr="00F55A65">
              <w:rPr>
                <w:color w:val="auto"/>
                <w:sz w:val="22"/>
                <w:szCs w:val="22"/>
                <w:lang w:val="lv-LV"/>
              </w:rPr>
              <w:t>30.2. ekspertam ir pieredze augstākās izglītības digitālās transformācijas jomā vai digitalizācijas projektu īstenošanā, piemēram, digitālo prasmju apguves satura izstrāde, informācijas sistēmu un tehnoloģiju izstrāde un integrēšana augstākās izglītības studiju procesā, pēdējo četru gadu laikā</w:t>
            </w:r>
            <w:r w:rsidR="00F7548D" w:rsidRPr="00F55A65">
              <w:rPr>
                <w:color w:val="auto"/>
                <w:sz w:val="22"/>
                <w:szCs w:val="22"/>
                <w:lang w:val="lv-LV"/>
              </w:rPr>
              <w:t>;</w:t>
            </w:r>
          </w:p>
        </w:tc>
        <w:tc>
          <w:tcPr>
            <w:tcW w:w="3969" w:type="dxa"/>
            <w:shd w:val="clear" w:color="auto" w:fill="auto"/>
          </w:tcPr>
          <w:p w:rsidR="00D3611F" w:rsidRPr="00F55A65" w:rsidRDefault="00D3611F" w:rsidP="00D3611F">
            <w:pPr>
              <w:spacing w:after="0"/>
              <w:rPr>
                <w:rFonts w:ascii="Times New Roman" w:hAnsi="Times New Roman"/>
                <w:b/>
                <w:lang w:val="lv-LV"/>
              </w:rPr>
            </w:pPr>
            <w:r w:rsidRPr="00F55A65">
              <w:rPr>
                <w:rFonts w:ascii="Times New Roman" w:hAnsi="Times New Roman"/>
                <w:b/>
                <w:lang w:val="lv-LV"/>
              </w:rPr>
              <w:t>Finanšu ministrija</w:t>
            </w:r>
            <w:r w:rsidR="007B48BD" w:rsidRPr="00F55A65">
              <w:rPr>
                <w:rFonts w:ascii="Times New Roman" w:hAnsi="Times New Roman"/>
                <w:b/>
                <w:lang w:val="lv-LV"/>
              </w:rPr>
              <w:t xml:space="preserve">s </w:t>
            </w:r>
            <w:r w:rsidRPr="00F55A65">
              <w:rPr>
                <w:rFonts w:ascii="Times New Roman" w:hAnsi="Times New Roman"/>
                <w:b/>
                <w:lang w:val="lv-LV"/>
              </w:rPr>
              <w:t xml:space="preserve">11. novembra </w:t>
            </w:r>
            <w:r w:rsidR="00E53681" w:rsidRPr="00F55A65">
              <w:rPr>
                <w:rFonts w:ascii="Times New Roman" w:hAnsi="Times New Roman"/>
                <w:b/>
                <w:lang w:val="lv-LV"/>
              </w:rPr>
              <w:t xml:space="preserve">elektroniskās </w:t>
            </w:r>
            <w:r w:rsidRPr="00F55A65">
              <w:rPr>
                <w:rFonts w:ascii="Times New Roman" w:hAnsi="Times New Roman"/>
                <w:b/>
                <w:lang w:val="lv-LV"/>
              </w:rPr>
              <w:t>saskaņošana</w:t>
            </w:r>
            <w:r w:rsidR="007B48BD" w:rsidRPr="00F55A65">
              <w:rPr>
                <w:rFonts w:ascii="Times New Roman" w:hAnsi="Times New Roman"/>
                <w:b/>
                <w:lang w:val="lv-LV"/>
              </w:rPr>
              <w:t>s laikā izteiktais priekšlikums</w:t>
            </w:r>
          </w:p>
          <w:p w:rsidR="00D3611F" w:rsidRPr="00F55A65" w:rsidRDefault="00D3611F" w:rsidP="00C66AEF">
            <w:pPr>
              <w:spacing w:after="0"/>
              <w:jc w:val="both"/>
              <w:rPr>
                <w:rFonts w:ascii="Times New Roman" w:hAnsi="Times New Roman"/>
                <w:b/>
                <w:lang w:val="lv-LV"/>
              </w:rPr>
            </w:pPr>
            <w:r w:rsidRPr="00F55A65">
              <w:rPr>
                <w:rFonts w:ascii="Times New Roman" w:hAnsi="Times New Roman"/>
                <w:lang w:val="lv-LV"/>
              </w:rPr>
              <w:t>Lūdzam precizēt noteikumu projekta 30.2.apakšpunktu un izteikt to šādā redakcijā: “ekspertam ir pieredze augstākās izglītības digitālās transformācijas pētniecībā vai augstākās izglītības digitalizācijas projektu īstenošanā, piemēram, digitālo prasmju apguves satura izstrāde, informācijas sistēmu un tehnoloģiju izstrāde un integrēšana augstākās izglītības studiju procesā, pēdējo četru gadu laikā”.</w:t>
            </w:r>
          </w:p>
        </w:tc>
        <w:tc>
          <w:tcPr>
            <w:tcW w:w="3119" w:type="dxa"/>
            <w:shd w:val="clear" w:color="auto" w:fill="auto"/>
          </w:tcPr>
          <w:p w:rsidR="00D3611F" w:rsidRDefault="00D3611F" w:rsidP="00054F4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566C62" w:rsidRPr="00566C62" w:rsidRDefault="00566C62" w:rsidP="00566C62">
            <w:pPr>
              <w:spacing w:after="0" w:line="240" w:lineRule="auto"/>
              <w:jc w:val="both"/>
              <w:rPr>
                <w:rFonts w:ascii="Times New Roman" w:hAnsi="Times New Roman" w:cs="Times New Roman"/>
                <w:lang w:val="lv-LV"/>
              </w:rPr>
            </w:pPr>
            <w:r w:rsidRPr="00566C62">
              <w:rPr>
                <w:rFonts w:ascii="Times New Roman" w:hAnsi="Times New Roman" w:cs="Times New Roman"/>
                <w:lang w:val="lv-LV"/>
              </w:rPr>
              <w:t xml:space="preserve">30.2. ekspertam ir pieredze augstākās izglītības digitālās transformācijas </w:t>
            </w:r>
            <w:r w:rsidRPr="00ED03F2">
              <w:rPr>
                <w:rFonts w:ascii="Times New Roman" w:hAnsi="Times New Roman" w:cs="Times New Roman"/>
                <w:lang w:val="lv-LV"/>
              </w:rPr>
              <w:t>pētniecībā vai augstākās izglītības digitalizācijas projektu</w:t>
            </w:r>
            <w:r w:rsidRPr="00566C62">
              <w:rPr>
                <w:rFonts w:ascii="Times New Roman" w:hAnsi="Times New Roman" w:cs="Times New Roman"/>
                <w:lang w:val="lv-LV"/>
              </w:rPr>
              <w:t xml:space="preserve"> īstenošanā, piemēram, digitālo prasmju apguves satura izstrāde, informācijas sistēmu un tehnoloģiju izstrāde un integrēšana augstākās izglītības studiju procesā, pēdējo četru gadu laikā;</w:t>
            </w:r>
          </w:p>
          <w:p w:rsidR="00D3611F" w:rsidRDefault="00D3611F" w:rsidP="00E120DB">
            <w:pPr>
              <w:spacing w:after="0" w:line="240" w:lineRule="auto"/>
              <w:jc w:val="both"/>
              <w:rPr>
                <w:lang w:val="lv-LV"/>
              </w:rPr>
            </w:pPr>
          </w:p>
        </w:tc>
      </w:tr>
      <w:tr w:rsidR="0013266D" w:rsidRPr="0002494F" w:rsidTr="0013266D">
        <w:trPr>
          <w:trHeight w:val="1430"/>
        </w:trPr>
        <w:tc>
          <w:tcPr>
            <w:tcW w:w="964" w:type="dxa"/>
            <w:shd w:val="clear" w:color="auto" w:fill="auto"/>
          </w:tcPr>
          <w:p w:rsidR="0013266D" w:rsidRDefault="0013266D" w:rsidP="00D3611F">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lastRenderedPageBreak/>
              <w:t>72.</w:t>
            </w:r>
          </w:p>
        </w:tc>
        <w:tc>
          <w:tcPr>
            <w:tcW w:w="2575" w:type="dxa"/>
            <w:shd w:val="clear" w:color="auto" w:fill="auto"/>
          </w:tcPr>
          <w:p w:rsidR="0013266D" w:rsidRDefault="0013266D" w:rsidP="00E53681">
            <w:pPr>
              <w:pStyle w:val="tv2132"/>
              <w:spacing w:line="240" w:lineRule="auto"/>
              <w:ind w:firstLine="0"/>
              <w:contextualSpacing/>
              <w:jc w:val="both"/>
              <w:rPr>
                <w:rFonts w:cstheme="minorBidi"/>
                <w:color w:val="auto"/>
                <w:sz w:val="22"/>
                <w:szCs w:val="22"/>
                <w:lang w:val="lv-LV"/>
              </w:rPr>
            </w:pPr>
            <w:r w:rsidRPr="0013266D">
              <w:rPr>
                <w:rFonts w:cstheme="minorBidi"/>
                <w:color w:val="auto"/>
                <w:sz w:val="22"/>
                <w:szCs w:val="22"/>
                <w:lang w:val="lv-LV"/>
              </w:rPr>
              <w:t xml:space="preserve">16. Projekta minimālais kopējais attiecināmais finansējuma apmērs ir 600 000 </w:t>
            </w:r>
            <w:r w:rsidRPr="0013266D">
              <w:rPr>
                <w:rFonts w:cstheme="minorBidi"/>
                <w:i/>
                <w:color w:val="auto"/>
                <w:sz w:val="22"/>
                <w:szCs w:val="22"/>
                <w:lang w:val="lv-LV"/>
              </w:rPr>
              <w:t>euro</w:t>
            </w:r>
            <w:r w:rsidRPr="0013266D">
              <w:rPr>
                <w:rFonts w:cstheme="minorBidi"/>
                <w:color w:val="auto"/>
                <w:sz w:val="22"/>
                <w:szCs w:val="22"/>
                <w:lang w:val="lv-LV"/>
              </w:rPr>
              <w:t xml:space="preserve">, projekta maksimālais kopējais attiecināmais finansējuma apmērs ir 2 000 000 </w:t>
            </w:r>
            <w:r w:rsidRPr="0013266D">
              <w:rPr>
                <w:rFonts w:cstheme="minorBidi"/>
                <w:i/>
                <w:color w:val="auto"/>
                <w:sz w:val="22"/>
                <w:szCs w:val="22"/>
                <w:lang w:val="lv-LV"/>
              </w:rPr>
              <w:t>euro</w:t>
            </w:r>
            <w:r>
              <w:rPr>
                <w:rFonts w:cstheme="minorBidi"/>
                <w:color w:val="auto"/>
                <w:sz w:val="22"/>
                <w:szCs w:val="22"/>
                <w:lang w:val="lv-LV"/>
              </w:rPr>
              <w:t>.</w:t>
            </w:r>
          </w:p>
        </w:tc>
        <w:tc>
          <w:tcPr>
            <w:tcW w:w="3969" w:type="dxa"/>
            <w:shd w:val="clear" w:color="auto" w:fill="auto"/>
          </w:tcPr>
          <w:p w:rsidR="0013266D" w:rsidRDefault="0013266D" w:rsidP="0013266D">
            <w:pPr>
              <w:spacing w:after="0"/>
              <w:jc w:val="both"/>
              <w:rPr>
                <w:rFonts w:ascii="Times New Roman" w:hAnsi="Times New Roman"/>
                <w:b/>
                <w:lang w:val="lv-LV"/>
              </w:rPr>
            </w:pPr>
            <w:r w:rsidRPr="00F55A65">
              <w:rPr>
                <w:rFonts w:ascii="Times New Roman" w:hAnsi="Times New Roman"/>
                <w:b/>
                <w:lang w:val="lv-LV"/>
              </w:rPr>
              <w:t>Latvijas Universitāšu asociācijas 11. novembra elektroniskās saskaņošanas laikā</w:t>
            </w:r>
            <w:r w:rsidRPr="00F55A65">
              <w:t xml:space="preserve"> </w:t>
            </w:r>
            <w:r w:rsidRPr="00F55A65">
              <w:rPr>
                <w:rFonts w:ascii="Times New Roman" w:hAnsi="Times New Roman"/>
                <w:b/>
                <w:lang w:val="lv-LV"/>
              </w:rPr>
              <w:t>mutiski izteiktais priekšlikums</w:t>
            </w:r>
          </w:p>
          <w:p w:rsidR="0013266D" w:rsidRPr="00F55A65" w:rsidRDefault="0013266D" w:rsidP="0013266D">
            <w:pPr>
              <w:spacing w:after="0"/>
              <w:jc w:val="both"/>
              <w:rPr>
                <w:rFonts w:ascii="Times New Roman" w:hAnsi="Times New Roman"/>
                <w:b/>
                <w:lang w:val="lv-LV"/>
              </w:rPr>
            </w:pPr>
            <w:r>
              <w:rPr>
                <w:rFonts w:ascii="Times New Roman" w:hAnsi="Times New Roman"/>
                <w:lang w:val="lv-LV"/>
              </w:rPr>
              <w:t xml:space="preserve">Ņemot vērā to, ka projektā jāparedz vismaz trīs augstskolu sadarbība, kā arī, lai racionālāk izmantotu pasākumam pieejamo finansējumu, precizēt noteikumu 16. punktu, nosakot, ka projekta maksimālais kopējais attiecināmais finansējuma apmērs ir 2 600 000 </w:t>
            </w:r>
            <w:r w:rsidRPr="00D3611F">
              <w:rPr>
                <w:rFonts w:ascii="Times New Roman" w:hAnsi="Times New Roman"/>
                <w:i/>
                <w:lang w:val="lv-LV"/>
              </w:rPr>
              <w:t>euro</w:t>
            </w:r>
            <w:r>
              <w:rPr>
                <w:rFonts w:ascii="Times New Roman" w:hAnsi="Times New Roman"/>
                <w:lang w:val="lv-LV"/>
              </w:rPr>
              <w:t>.</w:t>
            </w:r>
          </w:p>
        </w:tc>
        <w:tc>
          <w:tcPr>
            <w:tcW w:w="3119" w:type="dxa"/>
            <w:shd w:val="clear" w:color="auto" w:fill="auto"/>
          </w:tcPr>
          <w:p w:rsidR="0013266D" w:rsidRDefault="0013266D" w:rsidP="00054F4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13266D" w:rsidRPr="00E53681" w:rsidRDefault="0013266D" w:rsidP="009C03A8">
            <w:pPr>
              <w:spacing w:after="0" w:line="240" w:lineRule="auto"/>
              <w:jc w:val="both"/>
              <w:rPr>
                <w:rFonts w:ascii="Times New Roman" w:hAnsi="Times New Roman" w:cs="Times New Roman"/>
                <w:lang w:val="lv-LV"/>
              </w:rPr>
            </w:pPr>
            <w:r w:rsidRPr="00E53681">
              <w:rPr>
                <w:rFonts w:ascii="Times New Roman" w:hAnsi="Times New Roman" w:cs="Times New Roman"/>
                <w:lang w:val="lv-LV"/>
              </w:rPr>
              <w:t>16.</w:t>
            </w:r>
            <w:r>
              <w:rPr>
                <w:rFonts w:ascii="Times New Roman" w:hAnsi="Times New Roman" w:cs="Times New Roman"/>
                <w:lang w:val="lv-LV"/>
              </w:rPr>
              <w:t xml:space="preserve"> </w:t>
            </w:r>
            <w:r w:rsidRPr="00E53681">
              <w:rPr>
                <w:rFonts w:ascii="Times New Roman" w:hAnsi="Times New Roman" w:cs="Times New Roman"/>
                <w:lang w:val="lv-LV"/>
              </w:rPr>
              <w:t xml:space="preserve">Projekta minimālais kopējais attiecināmais finansējuma apmērs ir 600 000 </w:t>
            </w:r>
            <w:r w:rsidRPr="00E53681">
              <w:rPr>
                <w:rFonts w:ascii="Times New Roman" w:hAnsi="Times New Roman" w:cs="Times New Roman"/>
                <w:i/>
                <w:lang w:val="lv-LV"/>
              </w:rPr>
              <w:t>euro</w:t>
            </w:r>
            <w:r w:rsidRPr="00E53681">
              <w:rPr>
                <w:rFonts w:ascii="Times New Roman" w:hAnsi="Times New Roman" w:cs="Times New Roman"/>
                <w:lang w:val="lv-LV"/>
              </w:rPr>
              <w:t xml:space="preserve">, projekta maksimālais kopējais attiecināmais finansējuma apmērs ir </w:t>
            </w:r>
            <w:r w:rsidRPr="00B87BF7">
              <w:rPr>
                <w:rFonts w:ascii="Times New Roman" w:hAnsi="Times New Roman" w:cs="Times New Roman"/>
                <w:b/>
                <w:lang w:val="lv-LV"/>
              </w:rPr>
              <w:t>2 </w:t>
            </w:r>
            <w:r>
              <w:rPr>
                <w:rFonts w:ascii="Times New Roman" w:hAnsi="Times New Roman" w:cs="Times New Roman"/>
                <w:b/>
                <w:lang w:val="lv-LV"/>
              </w:rPr>
              <w:t>6</w:t>
            </w:r>
            <w:r w:rsidRPr="00B87BF7">
              <w:rPr>
                <w:rFonts w:ascii="Times New Roman" w:hAnsi="Times New Roman" w:cs="Times New Roman"/>
                <w:b/>
                <w:lang w:val="lv-LV"/>
              </w:rPr>
              <w:t>00 000</w:t>
            </w:r>
            <w:r w:rsidRPr="00E53681">
              <w:rPr>
                <w:rFonts w:ascii="Times New Roman" w:hAnsi="Times New Roman" w:cs="Times New Roman"/>
                <w:lang w:val="lv-LV"/>
              </w:rPr>
              <w:t xml:space="preserve"> </w:t>
            </w:r>
            <w:r w:rsidRPr="00E53681">
              <w:rPr>
                <w:rFonts w:ascii="Times New Roman" w:hAnsi="Times New Roman" w:cs="Times New Roman"/>
                <w:i/>
                <w:lang w:val="lv-LV"/>
              </w:rPr>
              <w:t>euro</w:t>
            </w:r>
            <w:r>
              <w:rPr>
                <w:rFonts w:ascii="Times New Roman" w:hAnsi="Times New Roman" w:cs="Times New Roman"/>
                <w:i/>
                <w:lang w:val="lv-LV"/>
              </w:rPr>
              <w:t>.</w:t>
            </w:r>
          </w:p>
        </w:tc>
      </w:tr>
      <w:tr w:rsidR="003F2A8D" w:rsidRPr="0002494F" w:rsidTr="00F70E0C">
        <w:trPr>
          <w:trHeight w:val="274"/>
        </w:trPr>
        <w:tc>
          <w:tcPr>
            <w:tcW w:w="964" w:type="dxa"/>
            <w:shd w:val="clear" w:color="auto" w:fill="auto"/>
          </w:tcPr>
          <w:p w:rsidR="003F2A8D" w:rsidRDefault="00E120DB" w:rsidP="0013266D">
            <w:pPr>
              <w:tabs>
                <w:tab w:val="center" w:pos="284"/>
              </w:tabs>
              <w:spacing w:after="0" w:line="240" w:lineRule="auto"/>
              <w:ind w:right="22"/>
              <w:jc w:val="center"/>
              <w:rPr>
                <w:rFonts w:ascii="Times New Roman" w:eastAsia="Calibri" w:hAnsi="Times New Roman" w:cs="Times New Roman"/>
                <w:lang w:val="lv-LV"/>
              </w:rPr>
            </w:pPr>
            <w:r>
              <w:rPr>
                <w:rFonts w:ascii="Times New Roman" w:eastAsia="Calibri" w:hAnsi="Times New Roman" w:cs="Times New Roman"/>
                <w:lang w:val="lv-LV"/>
              </w:rPr>
              <w:t>7</w:t>
            </w:r>
            <w:r w:rsidR="0013266D">
              <w:rPr>
                <w:rFonts w:ascii="Times New Roman" w:eastAsia="Calibri" w:hAnsi="Times New Roman" w:cs="Times New Roman"/>
                <w:lang w:val="lv-LV"/>
              </w:rPr>
              <w:t>3</w:t>
            </w:r>
            <w:r w:rsidR="00163D79">
              <w:rPr>
                <w:rFonts w:ascii="Times New Roman" w:eastAsia="Calibri" w:hAnsi="Times New Roman" w:cs="Times New Roman"/>
                <w:lang w:val="lv-LV"/>
              </w:rPr>
              <w:t>.</w:t>
            </w:r>
          </w:p>
        </w:tc>
        <w:tc>
          <w:tcPr>
            <w:tcW w:w="2575" w:type="dxa"/>
            <w:shd w:val="clear" w:color="auto" w:fill="auto"/>
          </w:tcPr>
          <w:p w:rsidR="003F2A8D" w:rsidRDefault="0013266D" w:rsidP="00E53681">
            <w:pPr>
              <w:pStyle w:val="tv2132"/>
              <w:spacing w:line="240" w:lineRule="auto"/>
              <w:ind w:firstLine="0"/>
              <w:contextualSpacing/>
              <w:jc w:val="both"/>
              <w:rPr>
                <w:rFonts w:cstheme="minorBidi"/>
                <w:b/>
                <w:color w:val="auto"/>
                <w:sz w:val="22"/>
                <w:szCs w:val="22"/>
                <w:lang w:val="lv-LV"/>
              </w:rPr>
            </w:pPr>
            <w:r w:rsidRPr="0013266D">
              <w:rPr>
                <w:rFonts w:cstheme="minorBidi"/>
                <w:b/>
                <w:color w:val="auto"/>
                <w:sz w:val="22"/>
                <w:szCs w:val="22"/>
                <w:lang w:val="lv-LV"/>
              </w:rPr>
              <w:t>Anotācija</w:t>
            </w:r>
          </w:p>
          <w:p w:rsidR="0013266D" w:rsidRPr="0013266D" w:rsidRDefault="0013266D" w:rsidP="0013266D">
            <w:pPr>
              <w:pStyle w:val="tv2132"/>
              <w:spacing w:line="240" w:lineRule="auto"/>
              <w:ind w:firstLine="0"/>
              <w:contextualSpacing/>
              <w:jc w:val="both"/>
              <w:rPr>
                <w:rFonts w:cstheme="minorBidi"/>
                <w:color w:val="auto"/>
                <w:sz w:val="22"/>
                <w:szCs w:val="22"/>
                <w:lang w:val="lv-LV"/>
              </w:rPr>
            </w:pPr>
            <w:r w:rsidRPr="0013266D">
              <w:rPr>
                <w:rFonts w:cstheme="minorBidi"/>
                <w:bCs/>
                <w:color w:val="auto"/>
                <w:sz w:val="22"/>
                <w:szCs w:val="22"/>
                <w:lang w:val="lv-LV"/>
              </w:rPr>
              <w:t xml:space="preserve">Viena projekta minimālais kopējais attiecināmais finansējuma apmērs ir 600 000 </w:t>
            </w:r>
            <w:r w:rsidRPr="0013266D">
              <w:rPr>
                <w:rFonts w:cstheme="minorBidi"/>
                <w:bCs/>
                <w:i/>
                <w:color w:val="auto"/>
                <w:sz w:val="22"/>
                <w:szCs w:val="22"/>
                <w:lang w:val="lv-LV"/>
              </w:rPr>
              <w:t>euro</w:t>
            </w:r>
            <w:r w:rsidRPr="0013266D">
              <w:rPr>
                <w:rFonts w:cstheme="minorBidi"/>
                <w:bCs/>
                <w:color w:val="auto"/>
                <w:sz w:val="22"/>
                <w:szCs w:val="22"/>
                <w:lang w:val="lv-LV"/>
              </w:rPr>
              <w:t>, maksimālais kopējais attiecināmais finansējuma apmērs ir 2 </w:t>
            </w:r>
            <w:r>
              <w:rPr>
                <w:rFonts w:cstheme="minorBidi"/>
                <w:bCs/>
                <w:color w:val="auto"/>
                <w:sz w:val="22"/>
                <w:szCs w:val="22"/>
                <w:lang w:val="lv-LV"/>
              </w:rPr>
              <w:t>0</w:t>
            </w:r>
            <w:r w:rsidRPr="0013266D">
              <w:rPr>
                <w:rFonts w:cstheme="minorBidi"/>
                <w:bCs/>
                <w:color w:val="auto"/>
                <w:sz w:val="22"/>
                <w:szCs w:val="22"/>
                <w:lang w:val="lv-LV"/>
              </w:rPr>
              <w:t xml:space="preserve">00 000 </w:t>
            </w:r>
            <w:r w:rsidRPr="0013266D">
              <w:rPr>
                <w:rFonts w:cstheme="minorBidi"/>
                <w:bCs/>
                <w:i/>
                <w:color w:val="auto"/>
                <w:sz w:val="22"/>
                <w:szCs w:val="22"/>
                <w:lang w:val="lv-LV"/>
              </w:rPr>
              <w:t>euro</w:t>
            </w:r>
            <w:r>
              <w:rPr>
                <w:rFonts w:cstheme="minorBidi"/>
                <w:bCs/>
                <w:i/>
                <w:color w:val="auto"/>
                <w:sz w:val="22"/>
                <w:szCs w:val="22"/>
                <w:lang w:val="lv-LV"/>
              </w:rPr>
              <w:t>.</w:t>
            </w:r>
          </w:p>
        </w:tc>
        <w:tc>
          <w:tcPr>
            <w:tcW w:w="3969" w:type="dxa"/>
            <w:shd w:val="clear" w:color="auto" w:fill="auto"/>
          </w:tcPr>
          <w:p w:rsidR="00E120DB" w:rsidRPr="003C34B2" w:rsidRDefault="0013266D" w:rsidP="009C03A8">
            <w:pPr>
              <w:spacing w:after="0"/>
              <w:jc w:val="both"/>
              <w:rPr>
                <w:rFonts w:ascii="Times New Roman" w:hAnsi="Times New Roman"/>
                <w:b/>
                <w:lang w:val="lv-LV"/>
              </w:rPr>
            </w:pPr>
            <w:r w:rsidRPr="003C34B2">
              <w:rPr>
                <w:rFonts w:ascii="Times New Roman" w:hAnsi="Times New Roman"/>
                <w:b/>
                <w:lang w:val="lv-LV"/>
              </w:rPr>
              <w:t>Finanšu ministrijas 26. novembra elektroniskās saskaņošanas laikā izteiktais priekšlikums</w:t>
            </w:r>
          </w:p>
          <w:p w:rsidR="003C34B2" w:rsidRPr="003C34B2" w:rsidRDefault="003C34B2" w:rsidP="003C34B2">
            <w:pPr>
              <w:spacing w:after="0" w:line="240" w:lineRule="auto"/>
              <w:jc w:val="both"/>
              <w:rPr>
                <w:rFonts w:ascii="Times New Roman" w:eastAsia="Times New Roman" w:hAnsi="Times New Roman" w:cs="Times New Roman"/>
                <w:color w:val="000000"/>
                <w:lang w:val="lv-LV"/>
              </w:rPr>
            </w:pPr>
            <w:r w:rsidRPr="003C34B2">
              <w:rPr>
                <w:rFonts w:ascii="Times New Roman" w:eastAsia="Times New Roman" w:hAnsi="Times New Roman" w:cs="Times New Roman"/>
                <w:color w:val="000000"/>
                <w:lang w:val="lv-LV"/>
              </w:rPr>
              <w:t>L</w:t>
            </w:r>
            <w:r w:rsidRPr="003C34B2">
              <w:rPr>
                <w:rFonts w:ascii="Times New Roman" w:eastAsia="Times New Roman" w:hAnsi="Times New Roman" w:cs="Times New Roman"/>
                <w:color w:val="000000"/>
                <w:lang w:val="lv-LV"/>
              </w:rPr>
              <w:t xml:space="preserve">ūdzam anotācijas </w:t>
            </w:r>
            <w:r w:rsidRPr="003C34B2">
              <w:rPr>
                <w:rFonts w:ascii="Times New Roman" w:eastAsia="Times New Roman" w:hAnsi="Times New Roman" w:cs="Times New Roman"/>
                <w:lang w:val="lv-LV" w:eastAsia="lv-LV"/>
              </w:rPr>
              <w:t xml:space="preserve">I sadaļas “Tiesību akta projekta izstrādes nepieciešamība” 2.punktā (7.lp.) precizēt viena projekta </w:t>
            </w:r>
            <w:r w:rsidRPr="003C34B2">
              <w:rPr>
                <w:rFonts w:ascii="Times New Roman" w:eastAsia="Times New Roman" w:hAnsi="Times New Roman" w:cs="Times New Roman"/>
                <w:lang w:val="lv-LV"/>
              </w:rPr>
              <w:t>maksimālā kopējā attiecināmā finansējuma apmēru, nodrošinot, ka  noteikumu projekta 16.punktā un anotācijā norādītā informācija ir savstarpēji saskaņota.</w:t>
            </w:r>
          </w:p>
          <w:p w:rsidR="003C34B2" w:rsidRPr="003C34B2" w:rsidRDefault="003C34B2" w:rsidP="009C03A8">
            <w:pPr>
              <w:spacing w:after="0"/>
              <w:jc w:val="both"/>
              <w:rPr>
                <w:rFonts w:ascii="Times New Roman" w:hAnsi="Times New Roman"/>
                <w:b/>
                <w:lang w:val="lv-LV"/>
              </w:rPr>
            </w:pPr>
          </w:p>
        </w:tc>
        <w:tc>
          <w:tcPr>
            <w:tcW w:w="3119" w:type="dxa"/>
            <w:shd w:val="clear" w:color="auto" w:fill="auto"/>
          </w:tcPr>
          <w:p w:rsidR="003F2A8D" w:rsidRDefault="00E120DB" w:rsidP="00054F4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3F2A8D" w:rsidRDefault="0013266D" w:rsidP="009C03A8">
            <w:pPr>
              <w:spacing w:after="0" w:line="240" w:lineRule="auto"/>
              <w:jc w:val="both"/>
              <w:rPr>
                <w:rFonts w:ascii="Times New Roman" w:hAnsi="Times New Roman" w:cs="Times New Roman"/>
                <w:b/>
                <w:lang w:val="lv-LV"/>
              </w:rPr>
            </w:pPr>
            <w:r w:rsidRPr="0013266D">
              <w:rPr>
                <w:rFonts w:ascii="Times New Roman" w:hAnsi="Times New Roman" w:cs="Times New Roman"/>
                <w:b/>
                <w:lang w:val="lv-LV"/>
              </w:rPr>
              <w:t>Anotācija</w:t>
            </w:r>
          </w:p>
          <w:p w:rsidR="0013266D" w:rsidRPr="0013266D" w:rsidRDefault="0013266D" w:rsidP="009C03A8">
            <w:pPr>
              <w:spacing w:after="0" w:line="240" w:lineRule="auto"/>
              <w:jc w:val="both"/>
              <w:rPr>
                <w:rFonts w:ascii="Times New Roman" w:hAnsi="Times New Roman" w:cs="Times New Roman"/>
                <w:lang w:val="lv-LV"/>
              </w:rPr>
            </w:pPr>
            <w:r w:rsidRPr="0013266D">
              <w:rPr>
                <w:rFonts w:ascii="Times New Roman" w:hAnsi="Times New Roman" w:cs="Times New Roman"/>
                <w:bCs/>
                <w:lang w:val="lv-LV"/>
              </w:rPr>
              <w:t xml:space="preserve">Viena projekta minimālais kopējais attiecināmais finansējuma apmērs ir 600 000 </w:t>
            </w:r>
            <w:r w:rsidRPr="0013266D">
              <w:rPr>
                <w:rFonts w:ascii="Times New Roman" w:hAnsi="Times New Roman" w:cs="Times New Roman"/>
                <w:bCs/>
                <w:i/>
                <w:lang w:val="lv-LV"/>
              </w:rPr>
              <w:t>euro</w:t>
            </w:r>
            <w:r w:rsidRPr="0013266D">
              <w:rPr>
                <w:rFonts w:ascii="Times New Roman" w:hAnsi="Times New Roman" w:cs="Times New Roman"/>
                <w:bCs/>
                <w:lang w:val="lv-LV"/>
              </w:rPr>
              <w:t xml:space="preserve">, maksimālais kopējais attiecināmais finansējuma apmērs ir 2 600 000 </w:t>
            </w:r>
            <w:r w:rsidRPr="0013266D">
              <w:rPr>
                <w:rFonts w:ascii="Times New Roman" w:hAnsi="Times New Roman" w:cs="Times New Roman"/>
                <w:bCs/>
                <w:i/>
                <w:lang w:val="lv-LV"/>
              </w:rPr>
              <w:t>euro</w:t>
            </w:r>
            <w:r>
              <w:rPr>
                <w:rFonts w:ascii="Times New Roman" w:hAnsi="Times New Roman" w:cs="Times New Roman"/>
                <w:bCs/>
                <w:i/>
                <w:lang w:val="lv-LV"/>
              </w:rPr>
              <w:t>.</w:t>
            </w:r>
          </w:p>
        </w:tc>
      </w:tr>
      <w:tr w:rsidR="003F2A8D" w:rsidRPr="0002494F" w:rsidTr="00F70E0C">
        <w:trPr>
          <w:trHeight w:val="274"/>
        </w:trPr>
        <w:tc>
          <w:tcPr>
            <w:tcW w:w="13887" w:type="dxa"/>
            <w:gridSpan w:val="5"/>
            <w:tcBorders>
              <w:top w:val="single" w:sz="4" w:space="0" w:color="auto"/>
              <w:left w:val="nil"/>
              <w:bottom w:val="nil"/>
              <w:right w:val="nil"/>
            </w:tcBorders>
            <w:shd w:val="clear" w:color="auto" w:fill="auto"/>
          </w:tcPr>
          <w:p w:rsidR="003F2A8D" w:rsidRDefault="003F2A8D" w:rsidP="00054F4A">
            <w:pPr>
              <w:tabs>
                <w:tab w:val="center" w:pos="284"/>
              </w:tabs>
              <w:spacing w:after="0" w:line="240" w:lineRule="auto"/>
              <w:ind w:right="22"/>
              <w:jc w:val="center"/>
              <w:rPr>
                <w:rFonts w:ascii="Times New Roman" w:eastAsia="Calibri" w:hAnsi="Times New Roman" w:cs="Times New Roman"/>
                <w:lang w:val="lv-LV"/>
              </w:rPr>
            </w:pPr>
          </w:p>
          <w:tbl>
            <w:tblPr>
              <w:tblW w:w="14174" w:type="dxa"/>
              <w:tblLayout w:type="fixed"/>
              <w:tblLook w:val="00A0" w:firstRow="1" w:lastRow="0" w:firstColumn="1" w:lastColumn="0" w:noHBand="0" w:noVBand="0"/>
            </w:tblPr>
            <w:tblGrid>
              <w:gridCol w:w="3089"/>
              <w:gridCol w:w="11085"/>
            </w:tblGrid>
            <w:tr w:rsidR="00467EB0" w:rsidRPr="00E93A4D" w:rsidTr="00467EB0">
              <w:trPr>
                <w:trHeight w:val="912"/>
              </w:trPr>
              <w:tc>
                <w:tcPr>
                  <w:tcW w:w="3089" w:type="dxa"/>
                </w:tcPr>
                <w:p w:rsidR="00467EB0" w:rsidRPr="002835A1" w:rsidRDefault="00467EB0" w:rsidP="003C34B2">
                  <w:pPr>
                    <w:framePr w:hSpace="180" w:wrap="around" w:vAnchor="text" w:hAnchor="text" w:x="-616" w:y="1"/>
                    <w:spacing w:after="0" w:line="252" w:lineRule="auto"/>
                    <w:ind w:left="209" w:right="102"/>
                    <w:suppressOverlap/>
                    <w:jc w:val="both"/>
                    <w:rPr>
                      <w:rFonts w:ascii="Times New Roman" w:eastAsia="Times New Roman" w:hAnsi="Times New Roman" w:cs="Times New Roman"/>
                      <w:lang w:val="lv-LV" w:eastAsia="lv-LV"/>
                    </w:rPr>
                  </w:pPr>
                  <w:r w:rsidRPr="002835A1">
                    <w:rPr>
                      <w:rFonts w:ascii="Times New Roman" w:eastAsia="Times New Roman" w:hAnsi="Times New Roman" w:cs="Times New Roman"/>
                      <w:lang w:val="lv-LV" w:eastAsia="lv-LV"/>
                    </w:rPr>
                    <w:t>Atbildīgā amatpersona</w:t>
                  </w:r>
                </w:p>
              </w:tc>
              <w:tc>
                <w:tcPr>
                  <w:tcW w:w="11085" w:type="dxa"/>
                  <w:tcBorders>
                    <w:bottom w:val="single" w:sz="6" w:space="0" w:color="000000"/>
                  </w:tcBorders>
                </w:tcPr>
                <w:p w:rsidR="00467EB0" w:rsidRPr="002835A1" w:rsidRDefault="00467EB0" w:rsidP="003C34B2">
                  <w:pPr>
                    <w:framePr w:hSpace="180" w:wrap="around" w:vAnchor="text" w:hAnchor="text" w:x="-616" w:y="1"/>
                    <w:spacing w:after="0" w:line="252" w:lineRule="auto"/>
                    <w:ind w:right="102"/>
                    <w:suppressOverlap/>
                    <w:jc w:val="both"/>
                    <w:rPr>
                      <w:rFonts w:ascii="Times New Roman" w:eastAsia="Times New Roman" w:hAnsi="Times New Roman" w:cs="Times New Roman"/>
                      <w:lang w:val="lv-LV" w:eastAsia="lv-LV"/>
                    </w:rPr>
                  </w:pPr>
                </w:p>
                <w:p w:rsidR="00467EB0" w:rsidRPr="002835A1" w:rsidRDefault="00467EB0" w:rsidP="003C34B2">
                  <w:pPr>
                    <w:framePr w:hSpace="180" w:wrap="around" w:vAnchor="text" w:hAnchor="text" w:x="-616" w:y="1"/>
                    <w:spacing w:after="0" w:line="252" w:lineRule="auto"/>
                    <w:ind w:right="102"/>
                    <w:suppressOverlap/>
                    <w:jc w:val="both"/>
                    <w:rPr>
                      <w:rFonts w:ascii="Times New Roman" w:eastAsia="Times New Roman" w:hAnsi="Times New Roman" w:cs="Times New Roman"/>
                      <w:lang w:val="lv-LV" w:eastAsia="lv-LV"/>
                    </w:rPr>
                  </w:pPr>
                  <w:r w:rsidRPr="002835A1">
                    <w:rPr>
                      <w:rFonts w:ascii="Times New Roman" w:eastAsia="Times New Roman" w:hAnsi="Times New Roman" w:cs="Times New Roman"/>
                      <w:lang w:val="lv-LV" w:eastAsia="lv-LV"/>
                    </w:rPr>
                    <w:t>(paraksts)*</w:t>
                  </w:r>
                </w:p>
              </w:tc>
            </w:tr>
          </w:tbl>
          <w:p w:rsidR="00467EB0" w:rsidRPr="002835A1" w:rsidRDefault="00467EB0" w:rsidP="00467EB0">
            <w:pPr>
              <w:spacing w:after="0" w:line="240" w:lineRule="auto"/>
              <w:jc w:val="both"/>
              <w:rPr>
                <w:rFonts w:ascii="Times New Roman" w:eastAsia="Times New Roman" w:hAnsi="Times New Roman" w:cs="Times New Roman"/>
                <w:lang w:val="lv-LV" w:eastAsia="lv-LV"/>
              </w:rPr>
            </w:pPr>
            <w:r w:rsidRPr="002835A1">
              <w:rPr>
                <w:rFonts w:ascii="Times New Roman" w:eastAsia="Times New Roman" w:hAnsi="Times New Roman" w:cs="Times New Roman"/>
                <w:lang w:val="lv-LV" w:eastAsia="lv-LV"/>
              </w:rPr>
              <w:t>Piezīme. * Dokumenta rekvizītu „paraksts” neaizpilda, ja elektroniskais dokuments ir sagatavots atbilstoši normatīvajiem aktiem par elektronisko dokumentu noformēšanu.</w:t>
            </w:r>
          </w:p>
          <w:p w:rsidR="00467EB0" w:rsidRDefault="00467EB0" w:rsidP="00467EB0">
            <w:pPr>
              <w:rPr>
                <w:lang w:val="lv-LV"/>
              </w:rPr>
            </w:pPr>
          </w:p>
          <w:p w:rsidR="00E07902" w:rsidRDefault="00E07902" w:rsidP="00467EB0">
            <w:pPr>
              <w:rPr>
                <w:lang w:val="lv-LV"/>
              </w:rPr>
            </w:pPr>
          </w:p>
          <w:p w:rsidR="00467EB0" w:rsidRPr="002835A1" w:rsidRDefault="00467EB0" w:rsidP="00467EB0">
            <w:pPr>
              <w:spacing w:after="0" w:line="240" w:lineRule="auto"/>
              <w:jc w:val="both"/>
              <w:rPr>
                <w:rFonts w:ascii="Times New Roman" w:hAnsi="Times New Roman"/>
                <w:sz w:val="20"/>
                <w:szCs w:val="20"/>
                <w:lang w:val="lv-LV"/>
              </w:rPr>
            </w:pPr>
            <w:r>
              <w:rPr>
                <w:rFonts w:ascii="Times New Roman" w:hAnsi="Times New Roman"/>
                <w:sz w:val="20"/>
                <w:szCs w:val="20"/>
                <w:lang w:val="lv-LV"/>
              </w:rPr>
              <w:t>Vēsma Abizāre-Vagre</w:t>
            </w:r>
          </w:p>
          <w:p w:rsidR="00467EB0" w:rsidRPr="002835A1" w:rsidRDefault="00467EB0" w:rsidP="00467EB0">
            <w:pPr>
              <w:spacing w:after="0" w:line="240" w:lineRule="auto"/>
              <w:jc w:val="both"/>
              <w:rPr>
                <w:rFonts w:ascii="Times New Roman" w:hAnsi="Times New Roman"/>
                <w:sz w:val="20"/>
                <w:szCs w:val="20"/>
                <w:lang w:val="lv-LV"/>
              </w:rPr>
            </w:pPr>
            <w:r w:rsidRPr="002835A1">
              <w:rPr>
                <w:rFonts w:ascii="Times New Roman" w:hAnsi="Times New Roman"/>
                <w:sz w:val="20"/>
                <w:szCs w:val="20"/>
                <w:lang w:val="lv-LV"/>
              </w:rPr>
              <w:t>Izglītības un zinātnes ministrijas</w:t>
            </w:r>
          </w:p>
          <w:p w:rsidR="00467EB0" w:rsidRPr="002835A1" w:rsidRDefault="00467EB0" w:rsidP="00467EB0">
            <w:pPr>
              <w:spacing w:after="0" w:line="240" w:lineRule="auto"/>
              <w:jc w:val="both"/>
              <w:rPr>
                <w:rFonts w:ascii="Times New Roman" w:hAnsi="Times New Roman"/>
                <w:sz w:val="20"/>
                <w:szCs w:val="20"/>
                <w:lang w:val="lv-LV"/>
              </w:rPr>
            </w:pPr>
            <w:r w:rsidRPr="002835A1">
              <w:rPr>
                <w:rFonts w:ascii="Times New Roman" w:hAnsi="Times New Roman"/>
                <w:sz w:val="20"/>
                <w:szCs w:val="20"/>
                <w:lang w:val="lv-LV"/>
              </w:rPr>
              <w:t>Struktūrfondu departamenta vecākā eksperte</w:t>
            </w:r>
          </w:p>
          <w:p w:rsidR="00467EB0" w:rsidRPr="002835A1" w:rsidRDefault="00467EB0" w:rsidP="00467EB0">
            <w:pPr>
              <w:rPr>
                <w:lang w:val="lv-LV"/>
              </w:rPr>
            </w:pPr>
            <w:r w:rsidRPr="002835A1">
              <w:rPr>
                <w:rFonts w:ascii="Times New Roman" w:hAnsi="Times New Roman"/>
                <w:sz w:val="20"/>
                <w:szCs w:val="20"/>
                <w:lang w:val="lv-LV"/>
              </w:rPr>
              <w:t>67047</w:t>
            </w:r>
            <w:r>
              <w:rPr>
                <w:rFonts w:ascii="Times New Roman" w:hAnsi="Times New Roman"/>
                <w:sz w:val="20"/>
                <w:szCs w:val="20"/>
                <w:lang w:val="lv-LV"/>
              </w:rPr>
              <w:t>864</w:t>
            </w:r>
            <w:r w:rsidRPr="002835A1">
              <w:rPr>
                <w:rFonts w:ascii="Times New Roman" w:hAnsi="Times New Roman"/>
                <w:sz w:val="20"/>
                <w:szCs w:val="20"/>
                <w:lang w:val="lv-LV"/>
              </w:rPr>
              <w:t xml:space="preserve">, </w:t>
            </w:r>
            <w:hyperlink r:id="rId8" w:history="1">
              <w:r w:rsidRPr="00AE3C54">
                <w:rPr>
                  <w:rStyle w:val="Hyperlink"/>
                  <w:rFonts w:ascii="Times New Roman" w:hAnsi="Times New Roman"/>
                  <w:sz w:val="20"/>
                  <w:szCs w:val="20"/>
                  <w:lang w:val="lv-LV"/>
                </w:rPr>
                <w:t>vesma.abizare-vagre@izm.gov.lv</w:t>
              </w:r>
            </w:hyperlink>
          </w:p>
          <w:p w:rsidR="003F2A8D" w:rsidRDefault="003F2A8D" w:rsidP="00054F4A">
            <w:pPr>
              <w:tabs>
                <w:tab w:val="center" w:pos="284"/>
              </w:tabs>
              <w:spacing w:after="0" w:line="240" w:lineRule="auto"/>
              <w:ind w:right="22"/>
              <w:jc w:val="center"/>
              <w:rPr>
                <w:rFonts w:ascii="Times New Roman" w:eastAsia="Calibri" w:hAnsi="Times New Roman" w:cs="Times New Roman"/>
                <w:lang w:val="lv-LV"/>
              </w:rPr>
            </w:pPr>
          </w:p>
          <w:p w:rsidR="003F2A8D" w:rsidRPr="0002494F" w:rsidRDefault="003F2A8D" w:rsidP="00054F4A">
            <w:pPr>
              <w:pStyle w:val="tv2132"/>
              <w:spacing w:line="240" w:lineRule="auto"/>
              <w:ind w:firstLine="0"/>
              <w:contextualSpacing/>
              <w:jc w:val="both"/>
              <w:rPr>
                <w:rFonts w:cstheme="minorBidi"/>
                <w:color w:val="auto"/>
                <w:sz w:val="22"/>
                <w:szCs w:val="22"/>
                <w:lang w:val="lv-LV"/>
              </w:rPr>
            </w:pPr>
            <w:bookmarkStart w:id="7" w:name="_GoBack"/>
            <w:bookmarkEnd w:id="7"/>
          </w:p>
        </w:tc>
      </w:tr>
    </w:tbl>
    <w:p w:rsidR="005A26C5" w:rsidRPr="0002494F" w:rsidRDefault="005A26C5" w:rsidP="00A50824">
      <w:pPr>
        <w:rPr>
          <w:lang w:val="lv-LV"/>
        </w:rPr>
      </w:pPr>
    </w:p>
    <w:sectPr w:rsidR="005A26C5" w:rsidRPr="0002494F" w:rsidSect="0009332E">
      <w:headerReference w:type="default" r:id="rId9"/>
      <w:footerReference w:type="default" r:id="rId10"/>
      <w:footerReference w:type="first" r:id="rId11"/>
      <w:pgSz w:w="15840" w:h="12240"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47" w:rsidRDefault="003A1C47" w:rsidP="00FA19FF">
      <w:pPr>
        <w:spacing w:after="0" w:line="240" w:lineRule="auto"/>
      </w:pPr>
      <w:r>
        <w:separator/>
      </w:r>
    </w:p>
  </w:endnote>
  <w:endnote w:type="continuationSeparator" w:id="0">
    <w:p w:rsidR="003A1C47" w:rsidRDefault="003A1C47" w:rsidP="00FA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BD" w:rsidRPr="00FA19FF" w:rsidRDefault="007B48BD" w:rsidP="00FA19FF">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7A3AA3">
      <w:rPr>
        <w:rFonts w:ascii="Times New Roman" w:eastAsia="Times New Roman" w:hAnsi="Times New Roman" w:cs="Times New Roman"/>
        <w:sz w:val="20"/>
        <w:szCs w:val="20"/>
        <w:lang w:val="lv-LV" w:eastAsia="lv-LV"/>
      </w:rPr>
      <w:t>0112</w:t>
    </w:r>
    <w:r>
      <w:rPr>
        <w:rFonts w:ascii="Times New Roman" w:eastAsia="Times New Roman" w:hAnsi="Times New Roman" w:cs="Times New Roman"/>
        <w:sz w:val="20"/>
        <w:szCs w:val="20"/>
        <w:lang w:val="lv-LV" w:eastAsia="lv-LV"/>
      </w:rPr>
      <w:t>21</w:t>
    </w:r>
    <w:r w:rsidRPr="00FA19FF">
      <w:rPr>
        <w:rFonts w:ascii="Times New Roman" w:eastAsia="Times New Roman" w:hAnsi="Times New Roman" w:cs="Times New Roman"/>
        <w:sz w:val="20"/>
        <w:szCs w:val="20"/>
        <w:lang w:val="lv-LV" w:eastAsia="lv-LV"/>
      </w:rPr>
      <w:t>_</w:t>
    </w:r>
    <w:r>
      <w:rPr>
        <w:rFonts w:ascii="Times New Roman" w:eastAsia="Times New Roman" w:hAnsi="Times New Roman" w:cs="Times New Roman"/>
        <w:sz w:val="20"/>
        <w:szCs w:val="20"/>
        <w:lang w:val="lv-LV" w:eastAsia="lv-LV"/>
      </w:rPr>
      <w:t>14.1.1.1</w:t>
    </w:r>
  </w:p>
  <w:p w:rsidR="007B48BD" w:rsidRDefault="007B4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BD" w:rsidRPr="00FA19FF" w:rsidRDefault="007B48BD" w:rsidP="004514E5">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7A3AA3">
      <w:rPr>
        <w:rFonts w:ascii="Times New Roman" w:eastAsia="Times New Roman" w:hAnsi="Times New Roman" w:cs="Times New Roman"/>
        <w:sz w:val="20"/>
        <w:szCs w:val="20"/>
        <w:lang w:val="lv-LV" w:eastAsia="lv-LV"/>
      </w:rPr>
      <w:t>0112</w:t>
    </w:r>
    <w:r>
      <w:rPr>
        <w:rFonts w:ascii="Times New Roman" w:eastAsia="Times New Roman" w:hAnsi="Times New Roman" w:cs="Times New Roman"/>
        <w:sz w:val="20"/>
        <w:szCs w:val="20"/>
        <w:lang w:val="lv-LV" w:eastAsia="lv-LV"/>
      </w:rPr>
      <w:t>21</w:t>
    </w:r>
    <w:r w:rsidRPr="00FA19FF">
      <w:rPr>
        <w:rFonts w:ascii="Times New Roman" w:eastAsia="Times New Roman" w:hAnsi="Times New Roman" w:cs="Times New Roman"/>
        <w:sz w:val="20"/>
        <w:szCs w:val="20"/>
        <w:lang w:val="lv-LV" w:eastAsia="lv-LV"/>
      </w:rPr>
      <w:t>_</w:t>
    </w:r>
    <w:r>
      <w:rPr>
        <w:rFonts w:ascii="Times New Roman" w:eastAsia="Times New Roman" w:hAnsi="Times New Roman" w:cs="Times New Roman"/>
        <w:sz w:val="20"/>
        <w:szCs w:val="20"/>
        <w:lang w:val="lv-LV" w:eastAsia="lv-LV"/>
      </w:rPr>
      <w:t>14.1.1.1</w:t>
    </w:r>
  </w:p>
  <w:p w:rsidR="007B48BD" w:rsidRDefault="007B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47" w:rsidRDefault="003A1C47" w:rsidP="00FA19FF">
      <w:pPr>
        <w:spacing w:after="0" w:line="240" w:lineRule="auto"/>
      </w:pPr>
      <w:r>
        <w:separator/>
      </w:r>
    </w:p>
  </w:footnote>
  <w:footnote w:type="continuationSeparator" w:id="0">
    <w:p w:rsidR="003A1C47" w:rsidRDefault="003A1C47" w:rsidP="00FA19FF">
      <w:pPr>
        <w:spacing w:after="0" w:line="240" w:lineRule="auto"/>
      </w:pPr>
      <w:r>
        <w:continuationSeparator/>
      </w:r>
    </w:p>
  </w:footnote>
  <w:footnote w:id="1">
    <w:p w:rsidR="007B48BD" w:rsidRDefault="007B48BD" w:rsidP="003D1771">
      <w:pPr>
        <w:pStyle w:val="FootnoteText"/>
      </w:pPr>
      <w:r>
        <w:rPr>
          <w:rStyle w:val="FootnoteReference"/>
        </w:rPr>
        <w:footnoteRef/>
      </w:r>
      <w:r>
        <w:t xml:space="preserve"> Pārskati par Latvijas augstāko izglītību, pieejami: </w:t>
      </w:r>
      <w:hyperlink r:id="rId1" w:history="1">
        <w:r w:rsidRPr="00176060">
          <w:rPr>
            <w:rStyle w:val="Hyperlink"/>
          </w:rPr>
          <w:t>http://izm.gov.lv/lv/publikacijas-un-statistika/statistika-par-izglitibu/statistika-par-augstako-izglitibu</w:t>
        </w:r>
      </w:hyperlink>
      <w:r>
        <w:t>.</w:t>
      </w:r>
    </w:p>
  </w:footnote>
  <w:footnote w:id="2">
    <w:p w:rsidR="007B48BD" w:rsidRDefault="007B48BD" w:rsidP="003D1771">
      <w:pPr>
        <w:pStyle w:val="FootnoteText"/>
      </w:pPr>
      <w:r>
        <w:rPr>
          <w:rStyle w:val="FootnoteReference"/>
        </w:rPr>
        <w:footnoteRef/>
      </w:r>
      <w:r>
        <w:t xml:space="preserve"> </w:t>
      </w:r>
      <w:hyperlink r:id="rId2" w:history="1">
        <w:r w:rsidRPr="00FB575E">
          <w:rPr>
            <w:rStyle w:val="Hyperlink"/>
          </w:rPr>
          <w:t>http://eur-lex.europa.eu/legal-content/LV/TXT/PDF/?uri=CELEX:52016XC0719(05)&amp;from=EN</w:t>
        </w:r>
      </w:hyperlink>
    </w:p>
  </w:footnote>
  <w:footnote w:id="3">
    <w:p w:rsidR="007B48BD" w:rsidRDefault="007B48BD" w:rsidP="003D1771">
      <w:pPr>
        <w:pStyle w:val="FootnoteText"/>
      </w:pPr>
      <w:r>
        <w:rPr>
          <w:rStyle w:val="FootnoteReference"/>
        </w:rPr>
        <w:footnoteRef/>
      </w:r>
      <w:r>
        <w:t xml:space="preserve"> </w:t>
      </w:r>
      <w:r w:rsidRPr="001628F5">
        <w:rPr>
          <w:color w:val="000000"/>
        </w:rPr>
        <w:t>https://ec.europa.eu/eurostat/web/education-and-training/data/database</w:t>
      </w:r>
    </w:p>
  </w:footnote>
  <w:footnote w:id="4">
    <w:p w:rsidR="007B48BD" w:rsidRDefault="007B48BD" w:rsidP="003D1771">
      <w:pPr>
        <w:pStyle w:val="FootnoteText"/>
      </w:pPr>
      <w:r>
        <w:rPr>
          <w:rStyle w:val="FootnoteReference"/>
        </w:rPr>
        <w:footnoteRef/>
      </w:r>
      <w:r>
        <w:t xml:space="preserve"> Eurostat dati atspoguļo mobilo studentu skaitu, tie ir studējošie, kas iepriekšējo izglītību ir ieguvuši ārvalstīs.   </w:t>
      </w:r>
    </w:p>
  </w:footnote>
  <w:footnote w:id="5">
    <w:p w:rsidR="007B48BD" w:rsidRDefault="007B48BD" w:rsidP="003D1771">
      <w:pPr>
        <w:pStyle w:val="FootnoteText"/>
      </w:pPr>
      <w:r>
        <w:rPr>
          <w:rStyle w:val="FootnoteReference"/>
        </w:rPr>
        <w:footnoteRef/>
      </w:r>
      <w:r>
        <w:t xml:space="preserve"> </w:t>
      </w:r>
      <w:r w:rsidRPr="00B44D54">
        <w:t>https://ec.europa.eu/eurostat/web/education-and-training/data/database</w:t>
      </w:r>
    </w:p>
  </w:footnote>
  <w:footnote w:id="6">
    <w:p w:rsidR="007B48BD" w:rsidRPr="00D70A9C" w:rsidRDefault="007B48BD" w:rsidP="006B4188">
      <w:pPr>
        <w:pStyle w:val="FootnoteText"/>
      </w:pPr>
      <w:r w:rsidRPr="00D70A9C">
        <w:rPr>
          <w:rStyle w:val="FootnoteReference"/>
        </w:rPr>
        <w:footnoteRef/>
      </w:r>
      <w:r w:rsidRPr="00D70A9C">
        <w:t xml:space="preserve"> Piem., augstskolu skaits, kuras saņēmušas ESF atbalstu un rezultātā ieviesušas kādu digitālo risinājumu</w:t>
      </w:r>
    </w:p>
  </w:footnote>
  <w:footnote w:id="7">
    <w:p w:rsidR="007B48BD" w:rsidRPr="00085D07" w:rsidRDefault="007B48BD" w:rsidP="006B4188">
      <w:pPr>
        <w:pStyle w:val="FootnoteText"/>
      </w:pPr>
      <w:r w:rsidRPr="00085D07">
        <w:rPr>
          <w:rStyle w:val="FootnoteReference"/>
        </w:rPr>
        <w:footnoteRef/>
      </w:r>
      <w:r w:rsidRPr="00085D07">
        <w:t xml:space="preserve"> II sadaļas 2.punkts (9.–10.lpp.)</w:t>
      </w:r>
    </w:p>
  </w:footnote>
  <w:footnote w:id="8">
    <w:p w:rsidR="007B48BD" w:rsidRPr="0057276D" w:rsidRDefault="007B48BD" w:rsidP="006B4188">
      <w:pPr>
        <w:pStyle w:val="FootnoteText"/>
        <w:jc w:val="both"/>
      </w:pPr>
      <w:r w:rsidRPr="0057276D">
        <w:rPr>
          <w:rStyle w:val="FootnoteReference"/>
        </w:rPr>
        <w:footnoteRef/>
      </w:r>
      <w:r w:rsidRPr="0057276D">
        <w:t xml:space="preserve"> PricewaterhouseCoopers pēc ministrijas pasūtījuma - </w:t>
      </w:r>
      <w:hyperlink r:id="rId3" w:history="1">
        <w:r w:rsidRPr="0057276D">
          <w:rPr>
            <w:rStyle w:val="Hyperlink"/>
          </w:rPr>
          <w:t>https://www.izm.gov.lv/lv/iepirkums/augstakas-izglitibas-iestazu-digitalizacijas-izvertejums-latvija</w:t>
        </w:r>
      </w:hyperlink>
      <w:r w:rsidRPr="0057276D">
        <w:t xml:space="preserve"> </w:t>
      </w:r>
    </w:p>
  </w:footnote>
  <w:footnote w:id="9">
    <w:p w:rsidR="007B48BD" w:rsidRPr="0057276D" w:rsidRDefault="007B48BD" w:rsidP="006B4188">
      <w:pPr>
        <w:pStyle w:val="FootnoteText"/>
      </w:pPr>
      <w:r w:rsidRPr="0057276D">
        <w:rPr>
          <w:rStyle w:val="FootnoteReference"/>
        </w:rPr>
        <w:footnoteRef/>
      </w:r>
      <w:r w:rsidRPr="0057276D">
        <w:t xml:space="preserve"> I sadaļas 2.punkts (1.lpp.)</w:t>
      </w:r>
    </w:p>
  </w:footnote>
  <w:footnote w:id="10">
    <w:p w:rsidR="007B48BD" w:rsidRDefault="007B48BD">
      <w:pPr>
        <w:pStyle w:val="FootnoteText"/>
      </w:pPr>
      <w:r>
        <w:rPr>
          <w:rStyle w:val="FootnoteReference"/>
        </w:rPr>
        <w:footnoteRef/>
      </w:r>
      <w:r>
        <w:t xml:space="preserve"> </w:t>
      </w:r>
      <w:r w:rsidRPr="004E12FB">
        <w:t>Augstākās izglītības iestāžu digitalizācijas izvērtējums. 2021, PricewaterhouseCoopers pēc LR Izglītības un zinātnes ministrijas pasūtījuma. Pieejams: chrome-extension://efaidnbmnnnibpcajpcglclefindmkaj/viewer.html?pdfurl=https%3A%2F%2Fwww.izm.gov.lv%2Flv%2Fmedia%2F12854%2Fdownload&amp;clen=1253092&amp;chunk=true</w:t>
      </w:r>
    </w:p>
  </w:footnote>
  <w:footnote w:id="11">
    <w:p w:rsidR="007B48BD" w:rsidRPr="0057276D" w:rsidRDefault="007B48BD" w:rsidP="006B4188">
      <w:pPr>
        <w:pStyle w:val="FootnoteText"/>
      </w:pPr>
      <w:r w:rsidRPr="0057276D">
        <w:rPr>
          <w:rStyle w:val="FootnoteReference"/>
        </w:rPr>
        <w:footnoteRef/>
      </w:r>
      <w:r w:rsidRPr="0057276D">
        <w:t xml:space="preserve"> I sadaļas 2.punkts (2.lpp.)</w:t>
      </w:r>
    </w:p>
  </w:footnote>
  <w:footnote w:id="12">
    <w:p w:rsidR="007B48BD" w:rsidRPr="00345C0D" w:rsidRDefault="007B48BD" w:rsidP="006B4188">
      <w:pPr>
        <w:pStyle w:val="FootnoteText"/>
      </w:pPr>
      <w:r w:rsidRPr="00345C0D">
        <w:rPr>
          <w:rStyle w:val="FootnoteReference"/>
        </w:rPr>
        <w:footnoteRef/>
      </w:r>
      <w:r w:rsidRPr="00345C0D">
        <w:t xml:space="preserve"> </w:t>
      </w:r>
      <w:hyperlink r:id="rId4" w:history="1">
        <w:r w:rsidRPr="00345C0D">
          <w:rPr>
            <w:rStyle w:val="Hyperlink"/>
          </w:rPr>
          <w:t>https://eur-lex.europa.eu/legal-content/EN/TXT/PDF/?uri=CELEX:52020DC0624&amp;from=EN</w:t>
        </w:r>
      </w:hyperlink>
    </w:p>
  </w:footnote>
  <w:footnote w:id="13">
    <w:p w:rsidR="007B48BD" w:rsidRPr="000C4C9A" w:rsidRDefault="007B48BD" w:rsidP="006B4188">
      <w:pPr>
        <w:pStyle w:val="FootnoteText"/>
      </w:pPr>
      <w:r>
        <w:rPr>
          <w:rStyle w:val="FootnoteReference"/>
        </w:rPr>
        <w:footnoteRef/>
      </w:r>
      <w:r w:rsidRPr="004944B7">
        <w:t xml:space="preserve"> </w:t>
      </w:r>
      <w:r w:rsidRPr="000C4C9A">
        <w:t>Paziņojuma 16.lpp.</w:t>
      </w:r>
      <w:r>
        <w:t>,</w:t>
      </w:r>
      <w:r w:rsidRPr="000C4C9A">
        <w:t xml:space="preserve"> 12.punkts</w:t>
      </w:r>
    </w:p>
  </w:footnote>
  <w:footnote w:id="14">
    <w:p w:rsidR="007B48BD" w:rsidRPr="0057276D" w:rsidRDefault="007B48BD" w:rsidP="006B4188">
      <w:pPr>
        <w:pStyle w:val="FootnoteText"/>
      </w:pPr>
      <w:r w:rsidRPr="0057276D">
        <w:rPr>
          <w:rStyle w:val="FootnoteReference"/>
        </w:rPr>
        <w:footnoteRef/>
      </w:r>
      <w:r w:rsidRPr="004944B7">
        <w:t xml:space="preserve"> </w:t>
      </w:r>
      <w:r>
        <w:t xml:space="preserve">Piem., </w:t>
      </w:r>
      <w:r w:rsidRPr="0057276D">
        <w:t>[</w:t>
      </w:r>
      <w:r>
        <w:t>157</w:t>
      </w:r>
      <w:r w:rsidRPr="0057276D">
        <w:t>], [3</w:t>
      </w:r>
      <w:r>
        <w:t>17</w:t>
      </w:r>
      <w:r w:rsidRPr="0057276D">
        <w:t>] uzdevums</w:t>
      </w:r>
    </w:p>
  </w:footnote>
  <w:footnote w:id="15">
    <w:p w:rsidR="007B48BD" w:rsidRPr="00A74E25" w:rsidRDefault="007B48BD" w:rsidP="006B4188">
      <w:pPr>
        <w:pStyle w:val="FootnoteText"/>
      </w:pPr>
      <w:r w:rsidRPr="0057276D">
        <w:rPr>
          <w:rStyle w:val="FootnoteReference"/>
        </w:rPr>
        <w:footnoteRef/>
      </w:r>
      <w:r w:rsidRPr="004944B7">
        <w:t xml:space="preserve"> </w:t>
      </w:r>
      <w:r w:rsidRPr="0057276D">
        <w:t>NAP2027 indikatīvie investīciju projekti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26732"/>
      <w:docPartObj>
        <w:docPartGallery w:val="Page Numbers (Top of Page)"/>
        <w:docPartUnique/>
      </w:docPartObj>
    </w:sdtPr>
    <w:sdtEndPr>
      <w:rPr>
        <w:rFonts w:ascii="Times New Roman" w:hAnsi="Times New Roman" w:cs="Times New Roman"/>
        <w:noProof/>
      </w:rPr>
    </w:sdtEndPr>
    <w:sdtContent>
      <w:p w:rsidR="007B48BD" w:rsidRPr="00147C1D" w:rsidRDefault="007B48BD">
        <w:pPr>
          <w:pStyle w:val="Header"/>
          <w:jc w:val="center"/>
          <w:rPr>
            <w:rFonts w:ascii="Times New Roman" w:hAnsi="Times New Roman" w:cs="Times New Roman"/>
          </w:rPr>
        </w:pPr>
        <w:r w:rsidRPr="00147C1D">
          <w:rPr>
            <w:rFonts w:ascii="Times New Roman" w:hAnsi="Times New Roman" w:cs="Times New Roman"/>
          </w:rPr>
          <w:fldChar w:fldCharType="begin"/>
        </w:r>
        <w:r w:rsidRPr="00147C1D">
          <w:rPr>
            <w:rFonts w:ascii="Times New Roman" w:hAnsi="Times New Roman" w:cs="Times New Roman"/>
          </w:rPr>
          <w:instrText xml:space="preserve"> PAGE   \* MERGEFORMAT </w:instrText>
        </w:r>
        <w:r w:rsidRPr="00147C1D">
          <w:rPr>
            <w:rFonts w:ascii="Times New Roman" w:hAnsi="Times New Roman" w:cs="Times New Roman"/>
          </w:rPr>
          <w:fldChar w:fldCharType="separate"/>
        </w:r>
        <w:r w:rsidR="00D90696">
          <w:rPr>
            <w:rFonts w:ascii="Times New Roman" w:hAnsi="Times New Roman" w:cs="Times New Roman"/>
            <w:noProof/>
          </w:rPr>
          <w:t>57</w:t>
        </w:r>
        <w:r w:rsidRPr="00147C1D">
          <w:rPr>
            <w:rFonts w:ascii="Times New Roman" w:hAnsi="Times New Roman" w:cs="Times New Roman"/>
            <w:noProof/>
          </w:rPr>
          <w:fldChar w:fldCharType="end"/>
        </w:r>
      </w:p>
    </w:sdtContent>
  </w:sdt>
  <w:p w:rsidR="007B48BD" w:rsidRDefault="007B4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AD4"/>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BF03A2E"/>
    <w:multiLevelType w:val="hybridMultilevel"/>
    <w:tmpl w:val="F2203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872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72492C"/>
    <w:multiLevelType w:val="hybridMultilevel"/>
    <w:tmpl w:val="1B7A7A32"/>
    <w:lvl w:ilvl="0" w:tplc="A3DA8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45AD5"/>
    <w:multiLevelType w:val="hybridMultilevel"/>
    <w:tmpl w:val="096CE216"/>
    <w:lvl w:ilvl="0" w:tplc="7564FC80">
      <w:start w:val="1"/>
      <w:numFmt w:val="decimal"/>
      <w:lvlText w:val="%1)"/>
      <w:lvlJc w:val="left"/>
      <w:pPr>
        <w:ind w:left="1287" w:hanging="360"/>
      </w:pPr>
      <w:rPr>
        <w:i w:val="0"/>
        <w:iCs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nsid w:val="1CEC4278"/>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B76A54"/>
    <w:multiLevelType w:val="multilevel"/>
    <w:tmpl w:val="FB882B6A"/>
    <w:lvl w:ilvl="0">
      <w:start w:val="1"/>
      <w:numFmt w:val="decimal"/>
      <w:lvlText w:val="%1."/>
      <w:lvlJc w:val="left"/>
      <w:pPr>
        <w:ind w:left="720" w:hanging="360"/>
      </w:pPr>
      <w:rPr>
        <w:rFonts w:ascii="Times New Roman" w:eastAsia="Times New Roman" w:hAnsi="Times New Roman" w:cs="Times New Roman"/>
        <w:i w:val="0"/>
        <w:iCs w:val="0"/>
        <w:color w:val="auto"/>
        <w:sz w:val="24"/>
        <w:szCs w:val="24"/>
      </w:rPr>
    </w:lvl>
    <w:lvl w:ilvl="1">
      <w:start w:val="1"/>
      <w:numFmt w:val="decimal"/>
      <w:lvlText w:val="%1.%2."/>
      <w:lvlJc w:val="left"/>
      <w:pPr>
        <w:ind w:left="2160" w:hanging="360"/>
      </w:pPr>
      <w:rPr>
        <w:rFonts w:ascii="Times New Roman" w:hAnsi="Times New Roman" w:cs="Times New Roman" w:hint="default"/>
      </w:rPr>
    </w:lvl>
    <w:lvl w:ilvl="2">
      <w:start w:val="1"/>
      <w:numFmt w:val="decimal"/>
      <w:lvlText w:val="%1.%2.%3."/>
      <w:lvlJc w:val="left"/>
      <w:pPr>
        <w:ind w:left="3960" w:hanging="720"/>
      </w:pPr>
      <w:rPr>
        <w:rFonts w:ascii="Times New Roman" w:hAnsi="Times New Roman" w:cs="Times New Roman" w:hint="default"/>
      </w:rPr>
    </w:lvl>
    <w:lvl w:ilvl="3">
      <w:start w:val="1"/>
      <w:numFmt w:val="decimal"/>
      <w:lvlText w:val="%1.%2.%3.%4."/>
      <w:lvlJc w:val="left"/>
      <w:pPr>
        <w:ind w:left="5400" w:hanging="720"/>
      </w:pPr>
      <w:rPr>
        <w:rFonts w:ascii="Times New Roman" w:hAnsi="Times New Roman" w:cs="Times New Roman" w:hint="default"/>
      </w:rPr>
    </w:lvl>
    <w:lvl w:ilvl="4">
      <w:start w:val="1"/>
      <w:numFmt w:val="decimal"/>
      <w:lvlText w:val="%1.%2.%3.%4.%5."/>
      <w:lvlJc w:val="left"/>
      <w:pPr>
        <w:ind w:left="7200" w:hanging="1080"/>
      </w:pPr>
      <w:rPr>
        <w:rFonts w:ascii="Times New Roman" w:hAnsi="Times New Roman" w:cs="Times New Roman" w:hint="default"/>
      </w:rPr>
    </w:lvl>
    <w:lvl w:ilvl="5">
      <w:start w:val="1"/>
      <w:numFmt w:val="decimal"/>
      <w:lvlText w:val="%1.%2.%3.%4.%5.%6."/>
      <w:lvlJc w:val="left"/>
      <w:pPr>
        <w:ind w:left="8640" w:hanging="1080"/>
      </w:pPr>
      <w:rPr>
        <w:rFonts w:ascii="Times New Roman" w:hAnsi="Times New Roman" w:cs="Times New Roman" w:hint="default"/>
      </w:rPr>
    </w:lvl>
    <w:lvl w:ilvl="6">
      <w:start w:val="1"/>
      <w:numFmt w:val="decimal"/>
      <w:lvlText w:val="%1.%2.%3.%4.%5.%6.%7."/>
      <w:lvlJc w:val="left"/>
      <w:pPr>
        <w:ind w:left="10440" w:hanging="1440"/>
      </w:pPr>
      <w:rPr>
        <w:rFonts w:ascii="Times New Roman" w:hAnsi="Times New Roman" w:cs="Times New Roman" w:hint="default"/>
      </w:rPr>
    </w:lvl>
    <w:lvl w:ilvl="7">
      <w:start w:val="1"/>
      <w:numFmt w:val="decimal"/>
      <w:lvlText w:val="%1.%2.%3.%4.%5.%6.%7.%8."/>
      <w:lvlJc w:val="left"/>
      <w:pPr>
        <w:ind w:left="11880" w:hanging="1440"/>
      </w:pPr>
      <w:rPr>
        <w:rFonts w:ascii="Times New Roman" w:hAnsi="Times New Roman" w:cs="Times New Roman" w:hint="default"/>
      </w:rPr>
    </w:lvl>
    <w:lvl w:ilvl="8">
      <w:start w:val="1"/>
      <w:numFmt w:val="decimal"/>
      <w:lvlText w:val="%1.%2.%3.%4.%5.%6.%7.%8.%9."/>
      <w:lvlJc w:val="left"/>
      <w:pPr>
        <w:ind w:left="13680" w:hanging="1800"/>
      </w:pPr>
      <w:rPr>
        <w:rFonts w:ascii="Times New Roman" w:hAnsi="Times New Roman" w:cs="Times New Roman" w:hint="default"/>
      </w:rPr>
    </w:lvl>
  </w:abstractNum>
  <w:abstractNum w:abstractNumId="7">
    <w:nsid w:val="24BA399C"/>
    <w:multiLevelType w:val="hybridMultilevel"/>
    <w:tmpl w:val="3EAA5FCA"/>
    <w:lvl w:ilvl="0" w:tplc="339E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650FF"/>
    <w:multiLevelType w:val="hybridMultilevel"/>
    <w:tmpl w:val="5754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73F5D"/>
    <w:multiLevelType w:val="hybridMultilevel"/>
    <w:tmpl w:val="1DB6178A"/>
    <w:lvl w:ilvl="0" w:tplc="E6CA90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7DC445A"/>
    <w:multiLevelType w:val="hybridMultilevel"/>
    <w:tmpl w:val="7E307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E4233"/>
    <w:multiLevelType w:val="hybridMultilevel"/>
    <w:tmpl w:val="B28AF0F2"/>
    <w:lvl w:ilvl="0" w:tplc="0426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39813DD7"/>
    <w:multiLevelType w:val="hybridMultilevel"/>
    <w:tmpl w:val="F496BB10"/>
    <w:lvl w:ilvl="0" w:tplc="E902A1F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51034C2"/>
    <w:multiLevelType w:val="hybridMultilevel"/>
    <w:tmpl w:val="C4AC88F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86A4393"/>
    <w:multiLevelType w:val="hybridMultilevel"/>
    <w:tmpl w:val="16BC6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E3181"/>
    <w:multiLevelType w:val="hybridMultilevel"/>
    <w:tmpl w:val="E86C3F8E"/>
    <w:lvl w:ilvl="0" w:tplc="0409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91535D5"/>
    <w:multiLevelType w:val="hybridMultilevel"/>
    <w:tmpl w:val="81586FEE"/>
    <w:lvl w:ilvl="0" w:tplc="3A86B5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5966643A"/>
    <w:multiLevelType w:val="hybridMultilevel"/>
    <w:tmpl w:val="58FC364A"/>
    <w:lvl w:ilvl="0" w:tplc="11E61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07450"/>
    <w:multiLevelType w:val="hybridMultilevel"/>
    <w:tmpl w:val="73842994"/>
    <w:lvl w:ilvl="0" w:tplc="64EA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E18E1"/>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32123B9"/>
    <w:multiLevelType w:val="hybridMultilevel"/>
    <w:tmpl w:val="6B701120"/>
    <w:lvl w:ilvl="0" w:tplc="1E2C0760">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1">
    <w:nsid w:val="646A77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A1E481A"/>
    <w:multiLevelType w:val="hybridMultilevel"/>
    <w:tmpl w:val="C48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D188D"/>
    <w:multiLevelType w:val="hybridMultilevel"/>
    <w:tmpl w:val="08B8FD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E37186"/>
    <w:multiLevelType w:val="hybridMultilevel"/>
    <w:tmpl w:val="18748412"/>
    <w:lvl w:ilvl="0" w:tplc="CD84BC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8F64C82"/>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A5976B2"/>
    <w:multiLevelType w:val="hybridMultilevel"/>
    <w:tmpl w:val="F1CEFC1A"/>
    <w:lvl w:ilvl="0" w:tplc="BDDC37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
  </w:num>
  <w:num w:numId="4">
    <w:abstractNumId w:val="19"/>
  </w:num>
  <w:num w:numId="5">
    <w:abstractNumId w:val="21"/>
  </w:num>
  <w:num w:numId="6">
    <w:abstractNumId w:val="5"/>
  </w:num>
  <w:num w:numId="7">
    <w:abstractNumId w:val="25"/>
  </w:num>
  <w:num w:numId="8">
    <w:abstractNumId w:val="0"/>
  </w:num>
  <w:num w:numId="9">
    <w:abstractNumId w:val="24"/>
  </w:num>
  <w:num w:numId="10">
    <w:abstractNumId w:val="9"/>
  </w:num>
  <w:num w:numId="11">
    <w:abstractNumId w:val="6"/>
  </w:num>
  <w:num w:numId="12">
    <w:abstractNumId w:val="14"/>
  </w:num>
  <w:num w:numId="13">
    <w:abstractNumId w:val="10"/>
  </w:num>
  <w:num w:numId="14">
    <w:abstractNumId w:val="26"/>
  </w:num>
  <w:num w:numId="15">
    <w:abstractNumId w:val="13"/>
  </w:num>
  <w:num w:numId="16">
    <w:abstractNumId w:val="17"/>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1"/>
  </w:num>
  <w:num w:numId="22">
    <w:abstractNumId w:val="4"/>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9"/>
    <w:rsid w:val="00000640"/>
    <w:rsid w:val="00000B6C"/>
    <w:rsid w:val="000040FF"/>
    <w:rsid w:val="00010016"/>
    <w:rsid w:val="000105E9"/>
    <w:rsid w:val="000120E7"/>
    <w:rsid w:val="0001215C"/>
    <w:rsid w:val="00014EA0"/>
    <w:rsid w:val="00021D8C"/>
    <w:rsid w:val="0002494F"/>
    <w:rsid w:val="000252D9"/>
    <w:rsid w:val="00030727"/>
    <w:rsid w:val="00032BFD"/>
    <w:rsid w:val="0003674B"/>
    <w:rsid w:val="000414AE"/>
    <w:rsid w:val="0004719B"/>
    <w:rsid w:val="00050873"/>
    <w:rsid w:val="0005209B"/>
    <w:rsid w:val="00053FC2"/>
    <w:rsid w:val="00054F4A"/>
    <w:rsid w:val="00055EE5"/>
    <w:rsid w:val="00056045"/>
    <w:rsid w:val="00062C29"/>
    <w:rsid w:val="00073255"/>
    <w:rsid w:val="0007400A"/>
    <w:rsid w:val="000769E3"/>
    <w:rsid w:val="0008211B"/>
    <w:rsid w:val="000870A5"/>
    <w:rsid w:val="0009332E"/>
    <w:rsid w:val="000A04B6"/>
    <w:rsid w:val="000A1B05"/>
    <w:rsid w:val="000A1F5A"/>
    <w:rsid w:val="000A2491"/>
    <w:rsid w:val="000A2E64"/>
    <w:rsid w:val="000A371E"/>
    <w:rsid w:val="000A51C3"/>
    <w:rsid w:val="000A6480"/>
    <w:rsid w:val="000B0A7F"/>
    <w:rsid w:val="000B235D"/>
    <w:rsid w:val="000B40C3"/>
    <w:rsid w:val="000B57C5"/>
    <w:rsid w:val="000B6849"/>
    <w:rsid w:val="000B7635"/>
    <w:rsid w:val="000C030D"/>
    <w:rsid w:val="000C4902"/>
    <w:rsid w:val="000C53EB"/>
    <w:rsid w:val="000C5623"/>
    <w:rsid w:val="000C6919"/>
    <w:rsid w:val="000C71D1"/>
    <w:rsid w:val="000C7DF6"/>
    <w:rsid w:val="000D146A"/>
    <w:rsid w:val="000D75B1"/>
    <w:rsid w:val="000E38A0"/>
    <w:rsid w:val="000F16EC"/>
    <w:rsid w:val="00100684"/>
    <w:rsid w:val="001016F5"/>
    <w:rsid w:val="001030DB"/>
    <w:rsid w:val="001042AC"/>
    <w:rsid w:val="00105887"/>
    <w:rsid w:val="001229AE"/>
    <w:rsid w:val="001234E7"/>
    <w:rsid w:val="00124D7E"/>
    <w:rsid w:val="00126A4D"/>
    <w:rsid w:val="00130A20"/>
    <w:rsid w:val="0013266D"/>
    <w:rsid w:val="0013271C"/>
    <w:rsid w:val="0014136F"/>
    <w:rsid w:val="00144916"/>
    <w:rsid w:val="00144AEC"/>
    <w:rsid w:val="001474E0"/>
    <w:rsid w:val="00147BB2"/>
    <w:rsid w:val="00147C1D"/>
    <w:rsid w:val="001506F3"/>
    <w:rsid w:val="00151B03"/>
    <w:rsid w:val="00151F24"/>
    <w:rsid w:val="0015521F"/>
    <w:rsid w:val="001606E0"/>
    <w:rsid w:val="0016087D"/>
    <w:rsid w:val="00161F77"/>
    <w:rsid w:val="0016289B"/>
    <w:rsid w:val="00163B8C"/>
    <w:rsid w:val="00163D79"/>
    <w:rsid w:val="001641B0"/>
    <w:rsid w:val="00171033"/>
    <w:rsid w:val="00176D44"/>
    <w:rsid w:val="001777E0"/>
    <w:rsid w:val="00181077"/>
    <w:rsid w:val="0019058E"/>
    <w:rsid w:val="00192006"/>
    <w:rsid w:val="001949C3"/>
    <w:rsid w:val="001A6B99"/>
    <w:rsid w:val="001B3E46"/>
    <w:rsid w:val="001B7C2B"/>
    <w:rsid w:val="001C20F5"/>
    <w:rsid w:val="001C72F0"/>
    <w:rsid w:val="001D011F"/>
    <w:rsid w:val="001D0561"/>
    <w:rsid w:val="001D23C7"/>
    <w:rsid w:val="001D31A5"/>
    <w:rsid w:val="001E18A7"/>
    <w:rsid w:val="001E261E"/>
    <w:rsid w:val="001E37A1"/>
    <w:rsid w:val="001E392A"/>
    <w:rsid w:val="001E5A90"/>
    <w:rsid w:val="001E6218"/>
    <w:rsid w:val="001F049A"/>
    <w:rsid w:val="0020246F"/>
    <w:rsid w:val="00204551"/>
    <w:rsid w:val="00204D03"/>
    <w:rsid w:val="00205EBE"/>
    <w:rsid w:val="0021051B"/>
    <w:rsid w:val="0021428B"/>
    <w:rsid w:val="002245F1"/>
    <w:rsid w:val="002247D7"/>
    <w:rsid w:val="00226166"/>
    <w:rsid w:val="00230324"/>
    <w:rsid w:val="00232F06"/>
    <w:rsid w:val="002449D2"/>
    <w:rsid w:val="00245571"/>
    <w:rsid w:val="00251D62"/>
    <w:rsid w:val="002541D6"/>
    <w:rsid w:val="00256299"/>
    <w:rsid w:val="00257395"/>
    <w:rsid w:val="00263577"/>
    <w:rsid w:val="00265E9B"/>
    <w:rsid w:val="00270C44"/>
    <w:rsid w:val="00273036"/>
    <w:rsid w:val="0027544F"/>
    <w:rsid w:val="00281E55"/>
    <w:rsid w:val="002823E8"/>
    <w:rsid w:val="00283209"/>
    <w:rsid w:val="00283962"/>
    <w:rsid w:val="00285761"/>
    <w:rsid w:val="002916B0"/>
    <w:rsid w:val="00295545"/>
    <w:rsid w:val="00295DCE"/>
    <w:rsid w:val="00296AF3"/>
    <w:rsid w:val="002A0457"/>
    <w:rsid w:val="002A2183"/>
    <w:rsid w:val="002A2499"/>
    <w:rsid w:val="002A2590"/>
    <w:rsid w:val="002A4399"/>
    <w:rsid w:val="002A6B19"/>
    <w:rsid w:val="002A6FC2"/>
    <w:rsid w:val="002A7128"/>
    <w:rsid w:val="002B3AB9"/>
    <w:rsid w:val="002B4FCC"/>
    <w:rsid w:val="002B684F"/>
    <w:rsid w:val="002C1FB2"/>
    <w:rsid w:val="002C2C09"/>
    <w:rsid w:val="002C4623"/>
    <w:rsid w:val="002C48DE"/>
    <w:rsid w:val="002D4681"/>
    <w:rsid w:val="002D61AF"/>
    <w:rsid w:val="002E4E4F"/>
    <w:rsid w:val="002F0F5C"/>
    <w:rsid w:val="002F441C"/>
    <w:rsid w:val="002F6AD8"/>
    <w:rsid w:val="00304A18"/>
    <w:rsid w:val="0030605A"/>
    <w:rsid w:val="003064C9"/>
    <w:rsid w:val="003104D7"/>
    <w:rsid w:val="00313D8F"/>
    <w:rsid w:val="00314375"/>
    <w:rsid w:val="00315EA6"/>
    <w:rsid w:val="00316455"/>
    <w:rsid w:val="00320248"/>
    <w:rsid w:val="00320B19"/>
    <w:rsid w:val="003233A8"/>
    <w:rsid w:val="0032425F"/>
    <w:rsid w:val="00327E8C"/>
    <w:rsid w:val="00335544"/>
    <w:rsid w:val="003356BE"/>
    <w:rsid w:val="00336994"/>
    <w:rsid w:val="003415F9"/>
    <w:rsid w:val="00342DB2"/>
    <w:rsid w:val="0034688A"/>
    <w:rsid w:val="00347530"/>
    <w:rsid w:val="00350642"/>
    <w:rsid w:val="00350FA8"/>
    <w:rsid w:val="00353BCA"/>
    <w:rsid w:val="003630FC"/>
    <w:rsid w:val="00363598"/>
    <w:rsid w:val="00364CF2"/>
    <w:rsid w:val="00365221"/>
    <w:rsid w:val="00366BB3"/>
    <w:rsid w:val="00367563"/>
    <w:rsid w:val="00371AD2"/>
    <w:rsid w:val="003734FF"/>
    <w:rsid w:val="003768C2"/>
    <w:rsid w:val="0038012F"/>
    <w:rsid w:val="00380802"/>
    <w:rsid w:val="003828CE"/>
    <w:rsid w:val="003847AE"/>
    <w:rsid w:val="0039043D"/>
    <w:rsid w:val="003A1293"/>
    <w:rsid w:val="003A1C47"/>
    <w:rsid w:val="003A207E"/>
    <w:rsid w:val="003A50F8"/>
    <w:rsid w:val="003A67B3"/>
    <w:rsid w:val="003A732C"/>
    <w:rsid w:val="003A788A"/>
    <w:rsid w:val="003B4A12"/>
    <w:rsid w:val="003B704C"/>
    <w:rsid w:val="003B758D"/>
    <w:rsid w:val="003C01BD"/>
    <w:rsid w:val="003C34B2"/>
    <w:rsid w:val="003C3EE4"/>
    <w:rsid w:val="003C46D7"/>
    <w:rsid w:val="003D1771"/>
    <w:rsid w:val="003D19F0"/>
    <w:rsid w:val="003D2BD8"/>
    <w:rsid w:val="003E34B0"/>
    <w:rsid w:val="003E540E"/>
    <w:rsid w:val="003E65AB"/>
    <w:rsid w:val="003F0183"/>
    <w:rsid w:val="003F26DA"/>
    <w:rsid w:val="003F2A8D"/>
    <w:rsid w:val="003F7A90"/>
    <w:rsid w:val="003F7BC6"/>
    <w:rsid w:val="0040229D"/>
    <w:rsid w:val="00410406"/>
    <w:rsid w:val="0041420A"/>
    <w:rsid w:val="00422B70"/>
    <w:rsid w:val="00425712"/>
    <w:rsid w:val="004333CB"/>
    <w:rsid w:val="00435299"/>
    <w:rsid w:val="0044008A"/>
    <w:rsid w:val="004437FB"/>
    <w:rsid w:val="00445945"/>
    <w:rsid w:val="00445AFA"/>
    <w:rsid w:val="004477AB"/>
    <w:rsid w:val="004514E5"/>
    <w:rsid w:val="0045509A"/>
    <w:rsid w:val="00456ECB"/>
    <w:rsid w:val="00460522"/>
    <w:rsid w:val="00460EBE"/>
    <w:rsid w:val="004658E7"/>
    <w:rsid w:val="00466AD9"/>
    <w:rsid w:val="004679E2"/>
    <w:rsid w:val="00467EB0"/>
    <w:rsid w:val="00470CC4"/>
    <w:rsid w:val="004749B9"/>
    <w:rsid w:val="0047565A"/>
    <w:rsid w:val="00483FF2"/>
    <w:rsid w:val="004868B3"/>
    <w:rsid w:val="004930BC"/>
    <w:rsid w:val="0049530E"/>
    <w:rsid w:val="00495C6B"/>
    <w:rsid w:val="004A291A"/>
    <w:rsid w:val="004A4DBD"/>
    <w:rsid w:val="004A526B"/>
    <w:rsid w:val="004A7AA3"/>
    <w:rsid w:val="004B1F2D"/>
    <w:rsid w:val="004B4B29"/>
    <w:rsid w:val="004C3350"/>
    <w:rsid w:val="004C3906"/>
    <w:rsid w:val="004D0184"/>
    <w:rsid w:val="004D2D41"/>
    <w:rsid w:val="004E12FB"/>
    <w:rsid w:val="004E6D01"/>
    <w:rsid w:val="004E7951"/>
    <w:rsid w:val="004F05CE"/>
    <w:rsid w:val="004F63E3"/>
    <w:rsid w:val="00500D8D"/>
    <w:rsid w:val="0050696E"/>
    <w:rsid w:val="005105B5"/>
    <w:rsid w:val="00511D3B"/>
    <w:rsid w:val="0052083A"/>
    <w:rsid w:val="00520BE1"/>
    <w:rsid w:val="00521769"/>
    <w:rsid w:val="00521A0F"/>
    <w:rsid w:val="005230E3"/>
    <w:rsid w:val="0053099C"/>
    <w:rsid w:val="0054106B"/>
    <w:rsid w:val="005451C6"/>
    <w:rsid w:val="00547A30"/>
    <w:rsid w:val="00552288"/>
    <w:rsid w:val="00553F70"/>
    <w:rsid w:val="005543DB"/>
    <w:rsid w:val="005662CE"/>
    <w:rsid w:val="00566C62"/>
    <w:rsid w:val="005679CC"/>
    <w:rsid w:val="00567DBC"/>
    <w:rsid w:val="00574C2E"/>
    <w:rsid w:val="00576DC1"/>
    <w:rsid w:val="00577060"/>
    <w:rsid w:val="005770BE"/>
    <w:rsid w:val="00581676"/>
    <w:rsid w:val="005833EE"/>
    <w:rsid w:val="00584CCA"/>
    <w:rsid w:val="00586189"/>
    <w:rsid w:val="00586EA7"/>
    <w:rsid w:val="0059141C"/>
    <w:rsid w:val="0059179A"/>
    <w:rsid w:val="005A06DD"/>
    <w:rsid w:val="005A26C5"/>
    <w:rsid w:val="005A29DF"/>
    <w:rsid w:val="005A78F3"/>
    <w:rsid w:val="005B1FEB"/>
    <w:rsid w:val="005B23A9"/>
    <w:rsid w:val="005B2715"/>
    <w:rsid w:val="005C1A85"/>
    <w:rsid w:val="005C513E"/>
    <w:rsid w:val="005C6067"/>
    <w:rsid w:val="005D3272"/>
    <w:rsid w:val="005D4559"/>
    <w:rsid w:val="005D54E8"/>
    <w:rsid w:val="005D6408"/>
    <w:rsid w:val="005E0DDD"/>
    <w:rsid w:val="005E49EB"/>
    <w:rsid w:val="005E61D6"/>
    <w:rsid w:val="005F206F"/>
    <w:rsid w:val="005F3173"/>
    <w:rsid w:val="005F5185"/>
    <w:rsid w:val="00600DED"/>
    <w:rsid w:val="00601402"/>
    <w:rsid w:val="00607C03"/>
    <w:rsid w:val="0061122E"/>
    <w:rsid w:val="00612B73"/>
    <w:rsid w:val="00616072"/>
    <w:rsid w:val="006221AA"/>
    <w:rsid w:val="006222BD"/>
    <w:rsid w:val="006222DC"/>
    <w:rsid w:val="006226E8"/>
    <w:rsid w:val="00623D84"/>
    <w:rsid w:val="00630D7C"/>
    <w:rsid w:val="006321D2"/>
    <w:rsid w:val="00632B05"/>
    <w:rsid w:val="006346B3"/>
    <w:rsid w:val="0063618F"/>
    <w:rsid w:val="00641C65"/>
    <w:rsid w:val="00646338"/>
    <w:rsid w:val="00646F95"/>
    <w:rsid w:val="0065050E"/>
    <w:rsid w:val="00652828"/>
    <w:rsid w:val="00653113"/>
    <w:rsid w:val="0065424B"/>
    <w:rsid w:val="006542CB"/>
    <w:rsid w:val="00661B1A"/>
    <w:rsid w:val="00672667"/>
    <w:rsid w:val="00673BFE"/>
    <w:rsid w:val="00674567"/>
    <w:rsid w:val="00680526"/>
    <w:rsid w:val="006825AF"/>
    <w:rsid w:val="00683837"/>
    <w:rsid w:val="00684905"/>
    <w:rsid w:val="00684F4B"/>
    <w:rsid w:val="00690D29"/>
    <w:rsid w:val="00692FBF"/>
    <w:rsid w:val="0069377C"/>
    <w:rsid w:val="0069386B"/>
    <w:rsid w:val="00693882"/>
    <w:rsid w:val="006962D9"/>
    <w:rsid w:val="00697358"/>
    <w:rsid w:val="006A046B"/>
    <w:rsid w:val="006A3763"/>
    <w:rsid w:val="006A4F3A"/>
    <w:rsid w:val="006A554C"/>
    <w:rsid w:val="006A5B5D"/>
    <w:rsid w:val="006A7284"/>
    <w:rsid w:val="006A76FF"/>
    <w:rsid w:val="006B1929"/>
    <w:rsid w:val="006B4188"/>
    <w:rsid w:val="006B7987"/>
    <w:rsid w:val="006C1BCF"/>
    <w:rsid w:val="006C4ADE"/>
    <w:rsid w:val="006C798A"/>
    <w:rsid w:val="006D2713"/>
    <w:rsid w:val="006E0CC9"/>
    <w:rsid w:val="006E2712"/>
    <w:rsid w:val="006F0390"/>
    <w:rsid w:val="006F3595"/>
    <w:rsid w:val="006F3A6A"/>
    <w:rsid w:val="006F3B2B"/>
    <w:rsid w:val="006F687B"/>
    <w:rsid w:val="006F6AE7"/>
    <w:rsid w:val="006F7F79"/>
    <w:rsid w:val="007000F0"/>
    <w:rsid w:val="00701524"/>
    <w:rsid w:val="00701AF2"/>
    <w:rsid w:val="00703D06"/>
    <w:rsid w:val="00703FAF"/>
    <w:rsid w:val="00704187"/>
    <w:rsid w:val="00706664"/>
    <w:rsid w:val="00706DCA"/>
    <w:rsid w:val="00716868"/>
    <w:rsid w:val="007224D6"/>
    <w:rsid w:val="0072302A"/>
    <w:rsid w:val="00723A9C"/>
    <w:rsid w:val="0073046F"/>
    <w:rsid w:val="00730E3F"/>
    <w:rsid w:val="00732913"/>
    <w:rsid w:val="007340A4"/>
    <w:rsid w:val="00734F7D"/>
    <w:rsid w:val="00735698"/>
    <w:rsid w:val="00736346"/>
    <w:rsid w:val="0074046C"/>
    <w:rsid w:val="007429C5"/>
    <w:rsid w:val="00742F22"/>
    <w:rsid w:val="007521EC"/>
    <w:rsid w:val="00760C90"/>
    <w:rsid w:val="00761E34"/>
    <w:rsid w:val="00762453"/>
    <w:rsid w:val="007629C3"/>
    <w:rsid w:val="00764BB1"/>
    <w:rsid w:val="007673CA"/>
    <w:rsid w:val="00767A8F"/>
    <w:rsid w:val="00772A47"/>
    <w:rsid w:val="0077471D"/>
    <w:rsid w:val="00775292"/>
    <w:rsid w:val="00775CDA"/>
    <w:rsid w:val="00784DB7"/>
    <w:rsid w:val="00785C55"/>
    <w:rsid w:val="007877C6"/>
    <w:rsid w:val="007936F7"/>
    <w:rsid w:val="007A15D3"/>
    <w:rsid w:val="007A1F2D"/>
    <w:rsid w:val="007A3AA3"/>
    <w:rsid w:val="007A5A00"/>
    <w:rsid w:val="007A638F"/>
    <w:rsid w:val="007B046F"/>
    <w:rsid w:val="007B27F0"/>
    <w:rsid w:val="007B3074"/>
    <w:rsid w:val="007B34CC"/>
    <w:rsid w:val="007B475F"/>
    <w:rsid w:val="007B48BD"/>
    <w:rsid w:val="007C2420"/>
    <w:rsid w:val="007D1809"/>
    <w:rsid w:val="007D21E0"/>
    <w:rsid w:val="007D5E7C"/>
    <w:rsid w:val="007E0CD7"/>
    <w:rsid w:val="007E17A6"/>
    <w:rsid w:val="007E4C3B"/>
    <w:rsid w:val="007E6CED"/>
    <w:rsid w:val="007F2013"/>
    <w:rsid w:val="007F3054"/>
    <w:rsid w:val="007F383C"/>
    <w:rsid w:val="007F4B15"/>
    <w:rsid w:val="007F6086"/>
    <w:rsid w:val="007F67A4"/>
    <w:rsid w:val="007F6EE7"/>
    <w:rsid w:val="00802EF0"/>
    <w:rsid w:val="00803582"/>
    <w:rsid w:val="008035C9"/>
    <w:rsid w:val="00813389"/>
    <w:rsid w:val="00815EC9"/>
    <w:rsid w:val="00817BD1"/>
    <w:rsid w:val="00824FFD"/>
    <w:rsid w:val="008258BC"/>
    <w:rsid w:val="008279B0"/>
    <w:rsid w:val="00830566"/>
    <w:rsid w:val="0083571B"/>
    <w:rsid w:val="00843C19"/>
    <w:rsid w:val="00844AFC"/>
    <w:rsid w:val="00845310"/>
    <w:rsid w:val="008470B3"/>
    <w:rsid w:val="00850423"/>
    <w:rsid w:val="00853D94"/>
    <w:rsid w:val="00856296"/>
    <w:rsid w:val="00857273"/>
    <w:rsid w:val="008606D5"/>
    <w:rsid w:val="008612FB"/>
    <w:rsid w:val="008645BD"/>
    <w:rsid w:val="00866419"/>
    <w:rsid w:val="00872511"/>
    <w:rsid w:val="00873E59"/>
    <w:rsid w:val="0088021D"/>
    <w:rsid w:val="008818EF"/>
    <w:rsid w:val="00883B64"/>
    <w:rsid w:val="008857B7"/>
    <w:rsid w:val="00885F5C"/>
    <w:rsid w:val="00886F21"/>
    <w:rsid w:val="0089185A"/>
    <w:rsid w:val="00891EE0"/>
    <w:rsid w:val="008936C1"/>
    <w:rsid w:val="008938D8"/>
    <w:rsid w:val="008942EB"/>
    <w:rsid w:val="00895564"/>
    <w:rsid w:val="008964C4"/>
    <w:rsid w:val="008A00A8"/>
    <w:rsid w:val="008A093D"/>
    <w:rsid w:val="008B0A2E"/>
    <w:rsid w:val="008B75E0"/>
    <w:rsid w:val="008C5150"/>
    <w:rsid w:val="008D2599"/>
    <w:rsid w:val="008D2FFA"/>
    <w:rsid w:val="008D60D0"/>
    <w:rsid w:val="008E2710"/>
    <w:rsid w:val="008E31F4"/>
    <w:rsid w:val="008E47F0"/>
    <w:rsid w:val="008E4D91"/>
    <w:rsid w:val="008E7CD5"/>
    <w:rsid w:val="008F52F1"/>
    <w:rsid w:val="008F5A80"/>
    <w:rsid w:val="00900C2E"/>
    <w:rsid w:val="00902634"/>
    <w:rsid w:val="009035A9"/>
    <w:rsid w:val="00903BB5"/>
    <w:rsid w:val="0090492A"/>
    <w:rsid w:val="009055CC"/>
    <w:rsid w:val="00905EE2"/>
    <w:rsid w:val="009123A2"/>
    <w:rsid w:val="00912FFA"/>
    <w:rsid w:val="009131F5"/>
    <w:rsid w:val="009142DD"/>
    <w:rsid w:val="009145D0"/>
    <w:rsid w:val="00927CA5"/>
    <w:rsid w:val="00940059"/>
    <w:rsid w:val="00940FAE"/>
    <w:rsid w:val="0094450E"/>
    <w:rsid w:val="00951640"/>
    <w:rsid w:val="00963428"/>
    <w:rsid w:val="00964982"/>
    <w:rsid w:val="00977C75"/>
    <w:rsid w:val="009801FA"/>
    <w:rsid w:val="009816E4"/>
    <w:rsid w:val="00983457"/>
    <w:rsid w:val="00983BC4"/>
    <w:rsid w:val="00983C0D"/>
    <w:rsid w:val="009870E5"/>
    <w:rsid w:val="009901F5"/>
    <w:rsid w:val="0099293F"/>
    <w:rsid w:val="00997489"/>
    <w:rsid w:val="00997BA8"/>
    <w:rsid w:val="009A12BD"/>
    <w:rsid w:val="009A1BCE"/>
    <w:rsid w:val="009A32F8"/>
    <w:rsid w:val="009A422D"/>
    <w:rsid w:val="009A4F6F"/>
    <w:rsid w:val="009A6588"/>
    <w:rsid w:val="009A6F4E"/>
    <w:rsid w:val="009B272B"/>
    <w:rsid w:val="009B3C4D"/>
    <w:rsid w:val="009B56F3"/>
    <w:rsid w:val="009B6491"/>
    <w:rsid w:val="009C03A8"/>
    <w:rsid w:val="009C06CC"/>
    <w:rsid w:val="009C136D"/>
    <w:rsid w:val="009C15D8"/>
    <w:rsid w:val="009C2F4C"/>
    <w:rsid w:val="009C389F"/>
    <w:rsid w:val="009C3CAB"/>
    <w:rsid w:val="009C54DC"/>
    <w:rsid w:val="009C6CCB"/>
    <w:rsid w:val="009D1084"/>
    <w:rsid w:val="009D15F9"/>
    <w:rsid w:val="009E007C"/>
    <w:rsid w:val="009E15E0"/>
    <w:rsid w:val="009E5961"/>
    <w:rsid w:val="009E5F32"/>
    <w:rsid w:val="009F49AE"/>
    <w:rsid w:val="009F51A8"/>
    <w:rsid w:val="009F587C"/>
    <w:rsid w:val="009F5DB1"/>
    <w:rsid w:val="00A0386A"/>
    <w:rsid w:val="00A059B1"/>
    <w:rsid w:val="00A06DC2"/>
    <w:rsid w:val="00A1267E"/>
    <w:rsid w:val="00A20D1F"/>
    <w:rsid w:val="00A22BCD"/>
    <w:rsid w:val="00A236D2"/>
    <w:rsid w:val="00A26ACC"/>
    <w:rsid w:val="00A31844"/>
    <w:rsid w:val="00A321C2"/>
    <w:rsid w:val="00A33BD5"/>
    <w:rsid w:val="00A40D1A"/>
    <w:rsid w:val="00A42DDE"/>
    <w:rsid w:val="00A50824"/>
    <w:rsid w:val="00A5155A"/>
    <w:rsid w:val="00A51EA7"/>
    <w:rsid w:val="00A536BA"/>
    <w:rsid w:val="00A569CB"/>
    <w:rsid w:val="00A56C7B"/>
    <w:rsid w:val="00A61FA1"/>
    <w:rsid w:val="00A635EA"/>
    <w:rsid w:val="00A64D8A"/>
    <w:rsid w:val="00A7250F"/>
    <w:rsid w:val="00A76B81"/>
    <w:rsid w:val="00A778C7"/>
    <w:rsid w:val="00A84271"/>
    <w:rsid w:val="00A858DD"/>
    <w:rsid w:val="00A86972"/>
    <w:rsid w:val="00A87731"/>
    <w:rsid w:val="00A87ADE"/>
    <w:rsid w:val="00A94EE5"/>
    <w:rsid w:val="00A95C15"/>
    <w:rsid w:val="00AA57D2"/>
    <w:rsid w:val="00AA6912"/>
    <w:rsid w:val="00AB3738"/>
    <w:rsid w:val="00AB48DC"/>
    <w:rsid w:val="00AB55BD"/>
    <w:rsid w:val="00AB6279"/>
    <w:rsid w:val="00AC00F7"/>
    <w:rsid w:val="00AD138D"/>
    <w:rsid w:val="00AD3378"/>
    <w:rsid w:val="00AD3630"/>
    <w:rsid w:val="00AD7167"/>
    <w:rsid w:val="00AE0819"/>
    <w:rsid w:val="00AE7756"/>
    <w:rsid w:val="00AF025F"/>
    <w:rsid w:val="00AF1CEF"/>
    <w:rsid w:val="00AF4048"/>
    <w:rsid w:val="00AF57A3"/>
    <w:rsid w:val="00B00EEF"/>
    <w:rsid w:val="00B0152D"/>
    <w:rsid w:val="00B028F9"/>
    <w:rsid w:val="00B06234"/>
    <w:rsid w:val="00B1578F"/>
    <w:rsid w:val="00B16748"/>
    <w:rsid w:val="00B248CC"/>
    <w:rsid w:val="00B32C80"/>
    <w:rsid w:val="00B35CFE"/>
    <w:rsid w:val="00B377EB"/>
    <w:rsid w:val="00B37B19"/>
    <w:rsid w:val="00B510DD"/>
    <w:rsid w:val="00B56360"/>
    <w:rsid w:val="00B5756B"/>
    <w:rsid w:val="00B61645"/>
    <w:rsid w:val="00B63CE6"/>
    <w:rsid w:val="00B67E8E"/>
    <w:rsid w:val="00B70404"/>
    <w:rsid w:val="00B73882"/>
    <w:rsid w:val="00B745AF"/>
    <w:rsid w:val="00B74842"/>
    <w:rsid w:val="00B76271"/>
    <w:rsid w:val="00B7643F"/>
    <w:rsid w:val="00B768DE"/>
    <w:rsid w:val="00B80A40"/>
    <w:rsid w:val="00B80A68"/>
    <w:rsid w:val="00B81E5C"/>
    <w:rsid w:val="00B81EBB"/>
    <w:rsid w:val="00B84657"/>
    <w:rsid w:val="00B855C9"/>
    <w:rsid w:val="00B85737"/>
    <w:rsid w:val="00B87BF7"/>
    <w:rsid w:val="00B93320"/>
    <w:rsid w:val="00B951A3"/>
    <w:rsid w:val="00B9621E"/>
    <w:rsid w:val="00B97300"/>
    <w:rsid w:val="00BA2343"/>
    <w:rsid w:val="00BA2BFD"/>
    <w:rsid w:val="00BA3866"/>
    <w:rsid w:val="00BA4361"/>
    <w:rsid w:val="00BB3BC5"/>
    <w:rsid w:val="00BB73A6"/>
    <w:rsid w:val="00BC2576"/>
    <w:rsid w:val="00BC577C"/>
    <w:rsid w:val="00BC6DBF"/>
    <w:rsid w:val="00BD4F2B"/>
    <w:rsid w:val="00BE1BD5"/>
    <w:rsid w:val="00BE4AB9"/>
    <w:rsid w:val="00BF22FC"/>
    <w:rsid w:val="00BF5E01"/>
    <w:rsid w:val="00C0185C"/>
    <w:rsid w:val="00C03DA9"/>
    <w:rsid w:val="00C045F7"/>
    <w:rsid w:val="00C06B97"/>
    <w:rsid w:val="00C113B9"/>
    <w:rsid w:val="00C15266"/>
    <w:rsid w:val="00C23F10"/>
    <w:rsid w:val="00C25C25"/>
    <w:rsid w:val="00C307DC"/>
    <w:rsid w:val="00C31DF6"/>
    <w:rsid w:val="00C32EBC"/>
    <w:rsid w:val="00C42645"/>
    <w:rsid w:val="00C4316A"/>
    <w:rsid w:val="00C44287"/>
    <w:rsid w:val="00C51844"/>
    <w:rsid w:val="00C577B9"/>
    <w:rsid w:val="00C5789D"/>
    <w:rsid w:val="00C62D45"/>
    <w:rsid w:val="00C6342B"/>
    <w:rsid w:val="00C635DB"/>
    <w:rsid w:val="00C63691"/>
    <w:rsid w:val="00C64A37"/>
    <w:rsid w:val="00C6598D"/>
    <w:rsid w:val="00C66AEF"/>
    <w:rsid w:val="00C67B8F"/>
    <w:rsid w:val="00C7423A"/>
    <w:rsid w:val="00C74C6C"/>
    <w:rsid w:val="00C75B2B"/>
    <w:rsid w:val="00C82E5A"/>
    <w:rsid w:val="00C838AC"/>
    <w:rsid w:val="00C83EF9"/>
    <w:rsid w:val="00C843BE"/>
    <w:rsid w:val="00C84FF1"/>
    <w:rsid w:val="00C856D4"/>
    <w:rsid w:val="00C859AA"/>
    <w:rsid w:val="00C87FB9"/>
    <w:rsid w:val="00C90BCF"/>
    <w:rsid w:val="00C92F52"/>
    <w:rsid w:val="00C95CC3"/>
    <w:rsid w:val="00C96EF9"/>
    <w:rsid w:val="00C96F11"/>
    <w:rsid w:val="00C97575"/>
    <w:rsid w:val="00CA53E9"/>
    <w:rsid w:val="00CC14A1"/>
    <w:rsid w:val="00CC2D6B"/>
    <w:rsid w:val="00CC36D6"/>
    <w:rsid w:val="00CD11FC"/>
    <w:rsid w:val="00CD76E6"/>
    <w:rsid w:val="00CD7A0B"/>
    <w:rsid w:val="00CE4F5C"/>
    <w:rsid w:val="00CE534C"/>
    <w:rsid w:val="00CF446D"/>
    <w:rsid w:val="00CF5F4E"/>
    <w:rsid w:val="00CF6B84"/>
    <w:rsid w:val="00CF78F1"/>
    <w:rsid w:val="00D0135D"/>
    <w:rsid w:val="00D022A4"/>
    <w:rsid w:val="00D0369D"/>
    <w:rsid w:val="00D03F59"/>
    <w:rsid w:val="00D0793E"/>
    <w:rsid w:val="00D11FE4"/>
    <w:rsid w:val="00D13985"/>
    <w:rsid w:val="00D14122"/>
    <w:rsid w:val="00D16C49"/>
    <w:rsid w:val="00D23A4B"/>
    <w:rsid w:val="00D23AFE"/>
    <w:rsid w:val="00D24097"/>
    <w:rsid w:val="00D30DA0"/>
    <w:rsid w:val="00D3491B"/>
    <w:rsid w:val="00D3611F"/>
    <w:rsid w:val="00D409AB"/>
    <w:rsid w:val="00D4169D"/>
    <w:rsid w:val="00D42265"/>
    <w:rsid w:val="00D4502E"/>
    <w:rsid w:val="00D46A58"/>
    <w:rsid w:val="00D47164"/>
    <w:rsid w:val="00D54F01"/>
    <w:rsid w:val="00D5629E"/>
    <w:rsid w:val="00D662B7"/>
    <w:rsid w:val="00D666C8"/>
    <w:rsid w:val="00D66CC6"/>
    <w:rsid w:val="00D74B81"/>
    <w:rsid w:val="00D8247D"/>
    <w:rsid w:val="00D827C7"/>
    <w:rsid w:val="00D83021"/>
    <w:rsid w:val="00D83EA6"/>
    <w:rsid w:val="00D865C3"/>
    <w:rsid w:val="00D90696"/>
    <w:rsid w:val="00D9306C"/>
    <w:rsid w:val="00D97124"/>
    <w:rsid w:val="00D97646"/>
    <w:rsid w:val="00DA6228"/>
    <w:rsid w:val="00DB0807"/>
    <w:rsid w:val="00DB15E8"/>
    <w:rsid w:val="00DB2355"/>
    <w:rsid w:val="00DB65C9"/>
    <w:rsid w:val="00DC00CA"/>
    <w:rsid w:val="00DD25FE"/>
    <w:rsid w:val="00DD468C"/>
    <w:rsid w:val="00DD5F4A"/>
    <w:rsid w:val="00DD7A97"/>
    <w:rsid w:val="00DE03FD"/>
    <w:rsid w:val="00DE15C7"/>
    <w:rsid w:val="00DE1D99"/>
    <w:rsid w:val="00DE7119"/>
    <w:rsid w:val="00DE7F32"/>
    <w:rsid w:val="00DF2FF0"/>
    <w:rsid w:val="00DF4975"/>
    <w:rsid w:val="00E018FF"/>
    <w:rsid w:val="00E03297"/>
    <w:rsid w:val="00E04164"/>
    <w:rsid w:val="00E05B07"/>
    <w:rsid w:val="00E074FF"/>
    <w:rsid w:val="00E07902"/>
    <w:rsid w:val="00E1006C"/>
    <w:rsid w:val="00E10500"/>
    <w:rsid w:val="00E11BB1"/>
    <w:rsid w:val="00E120DB"/>
    <w:rsid w:val="00E1452E"/>
    <w:rsid w:val="00E17459"/>
    <w:rsid w:val="00E237DA"/>
    <w:rsid w:val="00E26954"/>
    <w:rsid w:val="00E31D89"/>
    <w:rsid w:val="00E42D9A"/>
    <w:rsid w:val="00E43ECF"/>
    <w:rsid w:val="00E4752B"/>
    <w:rsid w:val="00E50961"/>
    <w:rsid w:val="00E53681"/>
    <w:rsid w:val="00E566A0"/>
    <w:rsid w:val="00E6080D"/>
    <w:rsid w:val="00E61B7E"/>
    <w:rsid w:val="00E620C5"/>
    <w:rsid w:val="00E65636"/>
    <w:rsid w:val="00E65906"/>
    <w:rsid w:val="00E65BFB"/>
    <w:rsid w:val="00E74BDC"/>
    <w:rsid w:val="00E774E3"/>
    <w:rsid w:val="00E80F6B"/>
    <w:rsid w:val="00E81954"/>
    <w:rsid w:val="00E860B0"/>
    <w:rsid w:val="00E87557"/>
    <w:rsid w:val="00E93061"/>
    <w:rsid w:val="00E946C6"/>
    <w:rsid w:val="00EA0D34"/>
    <w:rsid w:val="00EA1FE7"/>
    <w:rsid w:val="00EA4B36"/>
    <w:rsid w:val="00EA4F51"/>
    <w:rsid w:val="00EA7F65"/>
    <w:rsid w:val="00EB3CEA"/>
    <w:rsid w:val="00EB7D5C"/>
    <w:rsid w:val="00EC047F"/>
    <w:rsid w:val="00EC55AC"/>
    <w:rsid w:val="00EC60A2"/>
    <w:rsid w:val="00EC61AF"/>
    <w:rsid w:val="00EC658F"/>
    <w:rsid w:val="00EC67B0"/>
    <w:rsid w:val="00ED03F2"/>
    <w:rsid w:val="00ED0AB1"/>
    <w:rsid w:val="00ED3F51"/>
    <w:rsid w:val="00ED4E1C"/>
    <w:rsid w:val="00ED6446"/>
    <w:rsid w:val="00ED6A22"/>
    <w:rsid w:val="00ED7C06"/>
    <w:rsid w:val="00EE59FD"/>
    <w:rsid w:val="00EE6161"/>
    <w:rsid w:val="00EE6776"/>
    <w:rsid w:val="00EF0176"/>
    <w:rsid w:val="00EF2DAB"/>
    <w:rsid w:val="00EF2E39"/>
    <w:rsid w:val="00EF5656"/>
    <w:rsid w:val="00F00B5C"/>
    <w:rsid w:val="00F04C81"/>
    <w:rsid w:val="00F07E48"/>
    <w:rsid w:val="00F11B8B"/>
    <w:rsid w:val="00F1466A"/>
    <w:rsid w:val="00F14C50"/>
    <w:rsid w:val="00F15BAC"/>
    <w:rsid w:val="00F15C45"/>
    <w:rsid w:val="00F1686F"/>
    <w:rsid w:val="00F16993"/>
    <w:rsid w:val="00F20000"/>
    <w:rsid w:val="00F20280"/>
    <w:rsid w:val="00F2195C"/>
    <w:rsid w:val="00F23916"/>
    <w:rsid w:val="00F31CDD"/>
    <w:rsid w:val="00F325F9"/>
    <w:rsid w:val="00F369DA"/>
    <w:rsid w:val="00F4128D"/>
    <w:rsid w:val="00F47343"/>
    <w:rsid w:val="00F50D11"/>
    <w:rsid w:val="00F512D4"/>
    <w:rsid w:val="00F53243"/>
    <w:rsid w:val="00F545F2"/>
    <w:rsid w:val="00F546F0"/>
    <w:rsid w:val="00F54940"/>
    <w:rsid w:val="00F55A65"/>
    <w:rsid w:val="00F62457"/>
    <w:rsid w:val="00F626BA"/>
    <w:rsid w:val="00F65F4B"/>
    <w:rsid w:val="00F70E0C"/>
    <w:rsid w:val="00F7177E"/>
    <w:rsid w:val="00F7548D"/>
    <w:rsid w:val="00F75DF1"/>
    <w:rsid w:val="00F764CA"/>
    <w:rsid w:val="00F77E10"/>
    <w:rsid w:val="00F80B00"/>
    <w:rsid w:val="00F82B72"/>
    <w:rsid w:val="00F907C2"/>
    <w:rsid w:val="00F920CD"/>
    <w:rsid w:val="00F95310"/>
    <w:rsid w:val="00F957C9"/>
    <w:rsid w:val="00F97EA7"/>
    <w:rsid w:val="00FA0092"/>
    <w:rsid w:val="00FA0340"/>
    <w:rsid w:val="00FA079F"/>
    <w:rsid w:val="00FA152C"/>
    <w:rsid w:val="00FA19FF"/>
    <w:rsid w:val="00FA1C0F"/>
    <w:rsid w:val="00FA287D"/>
    <w:rsid w:val="00FA50D4"/>
    <w:rsid w:val="00FB1043"/>
    <w:rsid w:val="00FB1BE8"/>
    <w:rsid w:val="00FB35F5"/>
    <w:rsid w:val="00FD2234"/>
    <w:rsid w:val="00FD2A12"/>
    <w:rsid w:val="00FD3509"/>
    <w:rsid w:val="00FD5CF1"/>
    <w:rsid w:val="00FD7223"/>
    <w:rsid w:val="00FE26D1"/>
    <w:rsid w:val="00FF37CE"/>
    <w:rsid w:val="00FF401E"/>
    <w:rsid w:val="00FF44C0"/>
    <w:rsid w:val="00FF4AAC"/>
    <w:rsid w:val="00FF4BAD"/>
    <w:rsid w:val="00FF52A4"/>
    <w:rsid w:val="00FF5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183D2-1A3E-4C7A-A201-735ED86A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F"/>
  </w:style>
  <w:style w:type="paragraph" w:styleId="Footer">
    <w:name w:val="footer"/>
    <w:basedOn w:val="Normal"/>
    <w:link w:val="FooterChar"/>
    <w:uiPriority w:val="99"/>
    <w:unhideWhenUsed/>
    <w:rsid w:val="00FA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F"/>
  </w:style>
  <w:style w:type="paragraph" w:styleId="BalloonText">
    <w:name w:val="Balloon Text"/>
    <w:basedOn w:val="Normal"/>
    <w:link w:val="BalloonTextChar"/>
    <w:uiPriority w:val="99"/>
    <w:semiHidden/>
    <w:unhideWhenUsed/>
    <w:rsid w:val="00A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12"/>
    <w:rPr>
      <w:rFonts w:ascii="Segoe UI" w:hAnsi="Segoe UI" w:cs="Segoe UI"/>
      <w:sz w:val="18"/>
      <w:szCs w:val="18"/>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CF6B84"/>
    <w:pPr>
      <w:ind w:left="720"/>
      <w:contextualSpacing/>
    </w:pPr>
  </w:style>
  <w:style w:type="paragraph" w:customStyle="1" w:styleId="tv2132">
    <w:name w:val="tv2132"/>
    <w:basedOn w:val="Normal"/>
    <w:rsid w:val="00697358"/>
    <w:pPr>
      <w:spacing w:after="0" w:line="360" w:lineRule="auto"/>
      <w:ind w:firstLine="300"/>
    </w:pPr>
    <w:rPr>
      <w:rFonts w:ascii="Times New Roman" w:eastAsia="Times New Roman" w:hAnsi="Times New Roman" w:cs="Times New Roman"/>
      <w:color w:val="414142"/>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4B4B29"/>
    <w:rPr>
      <w:vertAlign w:val="superscript"/>
    </w:rPr>
  </w:style>
  <w:style w:type="paragraph" w:styleId="FootnoteText">
    <w:name w:val="footnote text"/>
    <w:basedOn w:val="Normal"/>
    <w:link w:val="FootnoteTextChar"/>
    <w:uiPriority w:val="99"/>
    <w:semiHidden/>
    <w:unhideWhenUsed/>
    <w:rsid w:val="004B4B29"/>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4B4B29"/>
    <w:rPr>
      <w:rFonts w:ascii="Times New Roman" w:eastAsia="Calibri" w:hAnsi="Times New Roman" w:cs="Times New Roman"/>
      <w:sz w:val="20"/>
      <w:szCs w:val="20"/>
      <w:lang w:val="lv-LV" w:eastAsia="lv-LV"/>
    </w:rPr>
  </w:style>
  <w:style w:type="paragraph" w:styleId="CommentText">
    <w:name w:val="annotation text"/>
    <w:basedOn w:val="Normal"/>
    <w:link w:val="CommentTextChar"/>
    <w:uiPriority w:val="99"/>
    <w:unhideWhenUsed/>
    <w:rsid w:val="00EC047F"/>
    <w:pPr>
      <w:widowControl w:val="0"/>
      <w:spacing w:after="0" w:line="240" w:lineRule="auto"/>
    </w:pPr>
    <w:rPr>
      <w:rFonts w:ascii="Times New Roman" w:eastAsia="Times New Roman" w:hAnsi="Times New Roman" w:cs="Times New Roman"/>
      <w:color w:val="000000"/>
      <w:sz w:val="20"/>
      <w:szCs w:val="20"/>
      <w:lang w:val="lv-LV" w:eastAsia="lv-LV"/>
    </w:rPr>
  </w:style>
  <w:style w:type="character" w:customStyle="1" w:styleId="CommentTextChar">
    <w:name w:val="Comment Text Char"/>
    <w:basedOn w:val="DefaultParagraphFont"/>
    <w:link w:val="CommentText"/>
    <w:uiPriority w:val="99"/>
    <w:rsid w:val="00EC047F"/>
    <w:rPr>
      <w:rFonts w:ascii="Times New Roman" w:eastAsia="Times New Roman" w:hAnsi="Times New Roman" w:cs="Times New Roman"/>
      <w:color w:val="000000"/>
      <w:sz w:val="20"/>
      <w:szCs w:val="20"/>
      <w:lang w:val="lv-LV" w:eastAsia="lv-LV"/>
    </w:rPr>
  </w:style>
  <w:style w:type="character" w:styleId="CommentReference">
    <w:name w:val="annotation reference"/>
    <w:basedOn w:val="DefaultParagraphFont"/>
    <w:uiPriority w:val="99"/>
    <w:unhideWhenUsed/>
    <w:rsid w:val="00285761"/>
    <w:rPr>
      <w:sz w:val="16"/>
      <w:szCs w:val="16"/>
    </w:rPr>
  </w:style>
  <w:style w:type="character" w:styleId="Hyperlink">
    <w:name w:val="Hyperlink"/>
    <w:basedOn w:val="DefaultParagraphFont"/>
    <w:uiPriority w:val="99"/>
    <w:unhideWhenUsed/>
    <w:rsid w:val="002A7128"/>
    <w:rPr>
      <w:color w:val="0000FF"/>
      <w:u w:val="single"/>
    </w:rPr>
  </w:style>
  <w:style w:type="paragraph" w:customStyle="1" w:styleId="tv213">
    <w:name w:val="tv213"/>
    <w:basedOn w:val="Normal"/>
    <w:rsid w:val="009B56F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83571B"/>
    <w:pPr>
      <w:widowControl/>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83571B"/>
    <w:rPr>
      <w:rFonts w:ascii="Times New Roman" w:eastAsia="Times New Roman" w:hAnsi="Times New Roman" w:cs="Times New Roman"/>
      <w:b/>
      <w:bCs/>
      <w:color w:val="000000"/>
      <w:sz w:val="20"/>
      <w:szCs w:val="20"/>
      <w:lang w:val="lv-LV" w:eastAsia="lv-LV"/>
    </w:rPr>
  </w:style>
  <w:style w:type="paragraph" w:styleId="NormalWeb">
    <w:name w:val="Normal (Web)"/>
    <w:basedOn w:val="Normal"/>
    <w:uiPriority w:val="99"/>
    <w:semiHidden/>
    <w:unhideWhenUsed/>
    <w:rsid w:val="00ED4E1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C62D4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basedOn w:val="DefaultParagraphFont"/>
    <w:link w:val="ListParagraph"/>
    <w:uiPriority w:val="34"/>
    <w:locked/>
    <w:rsid w:val="00304A18"/>
  </w:style>
  <w:style w:type="paragraph" w:styleId="DocumentMap">
    <w:name w:val="Document Map"/>
    <w:basedOn w:val="Normal"/>
    <w:link w:val="DocumentMapChar"/>
    <w:uiPriority w:val="99"/>
    <w:semiHidden/>
    <w:unhideWhenUsed/>
    <w:rsid w:val="00AE08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0819"/>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887">
      <w:bodyDiv w:val="1"/>
      <w:marLeft w:val="0"/>
      <w:marRight w:val="0"/>
      <w:marTop w:val="0"/>
      <w:marBottom w:val="0"/>
      <w:divBdr>
        <w:top w:val="none" w:sz="0" w:space="0" w:color="auto"/>
        <w:left w:val="none" w:sz="0" w:space="0" w:color="auto"/>
        <w:bottom w:val="none" w:sz="0" w:space="0" w:color="auto"/>
        <w:right w:val="none" w:sz="0" w:space="0" w:color="auto"/>
      </w:divBdr>
    </w:div>
    <w:div w:id="700012066">
      <w:bodyDiv w:val="1"/>
      <w:marLeft w:val="0"/>
      <w:marRight w:val="0"/>
      <w:marTop w:val="0"/>
      <w:marBottom w:val="0"/>
      <w:divBdr>
        <w:top w:val="none" w:sz="0" w:space="0" w:color="auto"/>
        <w:left w:val="none" w:sz="0" w:space="0" w:color="auto"/>
        <w:bottom w:val="none" w:sz="0" w:space="0" w:color="auto"/>
        <w:right w:val="none" w:sz="0" w:space="0" w:color="auto"/>
      </w:divBdr>
      <w:divsChild>
        <w:div w:id="640354275">
          <w:marLeft w:val="0"/>
          <w:marRight w:val="0"/>
          <w:marTop w:val="0"/>
          <w:marBottom w:val="0"/>
          <w:divBdr>
            <w:top w:val="none" w:sz="0" w:space="0" w:color="auto"/>
            <w:left w:val="none" w:sz="0" w:space="0" w:color="auto"/>
            <w:bottom w:val="none" w:sz="0" w:space="0" w:color="auto"/>
            <w:right w:val="none" w:sz="0" w:space="0" w:color="auto"/>
          </w:divBdr>
        </w:div>
      </w:divsChild>
    </w:div>
    <w:div w:id="1373849676">
      <w:bodyDiv w:val="1"/>
      <w:marLeft w:val="0"/>
      <w:marRight w:val="0"/>
      <w:marTop w:val="0"/>
      <w:marBottom w:val="0"/>
      <w:divBdr>
        <w:top w:val="none" w:sz="0" w:space="0" w:color="auto"/>
        <w:left w:val="none" w:sz="0" w:space="0" w:color="auto"/>
        <w:bottom w:val="none" w:sz="0" w:space="0" w:color="auto"/>
        <w:right w:val="none" w:sz="0" w:space="0" w:color="auto"/>
      </w:divBdr>
    </w:div>
    <w:div w:id="18570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ma.abizare-vag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lv/iepirkums/augstakas-izglitibas-iestazu-digitalizacijas-izvertejums-latvija" TargetMode="External"/><Relationship Id="rId2" Type="http://schemas.openxmlformats.org/officeDocument/2006/relationships/hyperlink" Target="http://eur-lex.europa.eu/legal-content/LV/TXT/PDF/?uri=CELEX:52016XC0719(05)&amp;from=EN" TargetMode="External"/><Relationship Id="rId1" Type="http://schemas.openxmlformats.org/officeDocument/2006/relationships/hyperlink" Target="http://izm.gov.lv/lv/publikacijas-un-statistika/statistika-par-izglitibu/statistika-par-augstako-izglitibu" TargetMode="External"/><Relationship Id="rId4" Type="http://schemas.openxmlformats.org/officeDocument/2006/relationships/hyperlink" Target="https://eur-lex.europa.eu/legal-content/EN/TXT/PDF/?uri=CELEX:52020DC0624&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E26E-1EE2-4709-B25B-7A8FEE03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58</Pages>
  <Words>17282</Words>
  <Characters>98508</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Vēsma Abizāre-Vagre</dc:creator>
  <cp:lastModifiedBy>Vēsma Abizāre-Vagre</cp:lastModifiedBy>
  <cp:revision>26</cp:revision>
  <cp:lastPrinted>2019-11-26T14:04:00Z</cp:lastPrinted>
  <dcterms:created xsi:type="dcterms:W3CDTF">2021-11-25T08:27:00Z</dcterms:created>
  <dcterms:modified xsi:type="dcterms:W3CDTF">2021-12-01T15:13:00Z</dcterms:modified>
</cp:coreProperties>
</file>