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24-TA-1536: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budžeta līdzfinansējums tiek piešķirts valsts budžeta iestādēm vai atvasinātām publiskām personām 2018.gada 17.jūlija Ministru kabineta noteikumos Nr.421 “Kārtība, kādā veic gadskārtējā valsts budžeta likumā noteiktās apropriācijas izmaiņas” noteiktajos gadījumos, savukārt pārējiem finansējuma saņēmējiem līdzfinansējums projektu īstenošanai ir nodrošināms to esošo budžetu līdzekļu ietvaros. Ņemot vērā minēto, kā arī to, ka finansējuma saņēmējs šī pasākuma ietvaros ir biedrība “Latvijas Pilsoniskā alianse”, kas nav valsts budžeta iestāde vai atvasināta publiska persona (augstskola vai zinātniskais institūts), nepieciešams papildināt anotāciju ar  pamatojumu  nacionālā līdzfinansējuma piešķiršanai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pasākuma īstenošanai paredzēts valsts budžeta līdzfinansējums, jo projekta īstenotājs un sadarbības partneri nodrošinās valsts pārvaldes uzdevumu īstenošanu, kas tiešā veidā ietekmēs politikas attīstības dokumentos noteikto mērķu un rezultātu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4.3.4.9. pasākuma ietvaros plānotās darbības sniegs ieguldījumu Saliedētas un pilsoniski aktīvas sabiedrības attīstības plāna 2024.-2027. gadam projektā šādu 2. rīcības virziena “Demokrātijas kultūra un iekļaujošs pilsoniskums” noteikto uzdevumu izpildē: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veicināt iedzīvotāju demokrātijas prasmju un zināšanu apguvi atbilstoši globālajiem un laikmeta izaicinājumiem, tai skaitā mūžizglītības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stiprināt pilsoniskās sabiedrības attīstību un ilgtspēju, veidojot pilsonisku kultūru un attīstot iekļaujošu pilsoniskumu.”.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saņēmēja sadarbības partneri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izvērsti skaidrot, kāpēc ir izvēlēti tieši šādi sadarbības partneri, kā arī norādīt, vai plānota citu nevalstisko organizāciju iesaiste projekta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partneri noteikti atbilstoši Saliedētas un pilsoniski aktīvas sabiedrības attīstības plāna 2024.-2027. gadam projektā iekļautajam 2.2.2. pasākumam, kas nosaka, ka “Reģionu NVO atbalsta programma” ietvaros paredzēts katru gadu nodrošināt viena reģiona līmeņa NVO atbalsta centra kā pilsoniskās kompetences centra/inkubatora darbību katrā reģionā. Tāpat kā sadarbības partneri noteiktas nevalstiskās organizācijas, kas līdzšinējos konkursos ir ieguvuši tiesības īstenot valsts pārvaldes uzdevumus un ar savu darbību ilgtermiņā ir apliecinājušas spēju darboties efektīvi, lietderīgi un atbildīgi izmantot piešķirtos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sadarbības partneri projekta īstenošanā nodrošina, ka katrā pašvaldībā tiek atlasītas vismaz piecas nevalstiskās organizācijas, kam tiks nodrošināts atbalsts, tai skaitā finansiālais, iniciatīvu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saņēmēja sadarbības partneri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Īstenojot projektu, finansējuma saņēmējs un sadarbības partneris nodrošina projekta īstenošanas komunikācijas un vizuālās identitātes prasības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kas nosaka kārtību, kādā Eiropas Savienības fondu vadībā iesaistītās institūcijas nodrošina šo fondu ieviešanu 2021.-2027. gada plānošanas periodā, kā arī saskaņā ar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19. 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 un sadarbības partneris nodrošina projekta īstenošanas komunikācijas un vizuālās identitātes prasības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Īstenojot projektu, finansējuma saņēmējs un sadarbības partneris nodrošina projekta īstenošanas komunikācijas un vizuālās identitātes prasības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kas nosaka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sadarbības un pieredzes apmaiņas, tai skaitā ārvalstu pieredzes apmaiņas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25.punktā pie uzskaitītajām attiecināmajām izmaksām nav norādītas izmaksas 23.5. un 23.6. apakšpunktā minēto darbību īstenošanai. Lai izdevumu attiecināšanas nosacījumi būtu viennozīmīgi saprotami, lūdzam papildināt 25.punktu, paredzot izmaksas 23.5.apakšpunktā minētajām darbībām, tostarp, norādot kam izmaksas ir attiecināmas (projekta vadītājs/ projekta īstenošanas personāls/ mērķa grupa - šajā gadījuma anotācijā jāsniedz pamatojums šādai nepieciešamībai) un 23.6. apakšpunktā minētajām darbībām vai papildināt anotāciju skaidrojot, kas/ kā nodrošinās darbības īstenošanu (piemēram, vai pasākumu un iniciatīvu ietekmes analīzi īstenos projekta īstenošanas personāls).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ārpakalpojuma ietvaros nodrošina pasākumu un iniciatīvu ietekmes analīzes, kas ietver stratēģiskus ieteikumus turpmākajam iedzīvotāju iniciatīvu atbalstam,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saliedējošu pasākumu organizēšana reģiona iniciatīvu īstenošanā iesaistītajām nevalstiskajām organizācijām un aktīvistiem;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 līdz brīdim, kad tiks apstiprināta atbildīgās iestādes izstrādātā un ar vadošo iestādi saskaņotā vienas vienības izmaksu standarta likmes aprēķina un piemērošanas metodika personāla izmaksām (turpmāk – personāla izmaksu metodika), – finansējuma saņēmēja projekta īstenošanas personāla un vadības personāla izmaksas saskaņā ar Valsts un pašvaldību institūciju amatpersonu un darbinieku atlīdzības likumu, izņemot virsstundas. Ja personāla iesaiste projektā ir nodrošināta saskaņā ar daļlaika izmaksu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25.1.apakšpunktā paredzētas finansējuma saņēmēja un sadarbības partnera projekta vadības un īstenošanas personāla atlīdzības izmaksas, bet uz sadarbības partneriem nav attiecināms Valsts un pašvaldību institūciju amatpersonu un darbinieku atlīdzības likums, lūdzam papildināt, ka sadarbības partnera personāla atlīdzības izmaksām jābūt atbilstošām sadarbības partnera atlīdzības sistēmā noteiktajai samaksai par līdzvērtīga darba veikšanu vai atbilstošām vidējai darba samaksai saskaņā ar Centrālās statistikas pārvaldes datiem par līdzvērtīgu darbu attiecīgajā nozarē. Aicinām atbilstoši precizēt arī anotācijā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noteikumu projekta 25.1.2. un 25.1.3 apakšpunktā paredzētās izmaksas redzes korekcijas līdzekļiem un apdrošināšanas izmaksas, paredzēt zem netiešajām attiecināmajām izmaksām. Norādām, ka tik detalizēta informācija MK noteikumos nav jāatrunā.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skaidrot, vai 25.1.4.apakšpunktā minētā vienības izmaksu standarta likmes metodiku paredzēts izstrādāt tikai finansējuma saņēmēja personāla izmaksām, bet sadarbības partnera personāla izmaksas tiks segtas kā faktiskās izmaksas. Ja nepieciešams, lūdzam precizēt punkta redakciju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25.1.2. un 25.1.3.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īstenošanā iesaistīsies tikai biedrības un nodibinājums, svītroti Noteikumu projekta punkti, kas paredz vienkāršoto izmaksu metodikas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šo noteikumu </w:t>
            </w:r>
            <w:r w:rsidR="00000000" w:rsidRPr="00000000" w:rsidDel="00000000">
              <w:rPr>
                <w:rtl w:val="0"/>
              </w:rPr>
              <w:t xml:space="preserve">23.1. </w:t>
            </w:r>
            <w:r w:rsidR="00000000" w:rsidRPr="00000000" w:rsidDel="00000000">
              <w:rPr>
                <w:rtl w:val="0"/>
              </w:rPr>
              <w:t xml:space="preserve">apakšpunktā</w:t>
            </w:r>
            <w:r w:rsidR="00000000" w:rsidRPr="00000000" w:rsidDel="00000000">
              <w:rPr>
                <w:rtl w:val="0"/>
              </w:rPr>
              <w:t xml:space="preserve"> minētās atbalstāmās darbības īstenošanai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nekorektas interpretācijas risku, lūdzam precizēt 33. punkta redakciju, papildinot atsauces uz atbalstāmajām darbībām, ņemot vērā, ka 33.4., 33.5. un 33.6. apakšpunkti neattiecas uz 23.1. apakšpunktā minēto atbalstāmo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šo noteikumu </w:t>
            </w:r>
            <w:r w:rsidR="00000000" w:rsidRPr="00000000" w:rsidDel="00000000">
              <w:rPr>
                <w:rtl w:val="0"/>
              </w:rPr>
              <w:t xml:space="preserve">24.5.</w:t>
            </w:r>
            <w:r w:rsidR="00000000" w:rsidRPr="00000000" w:rsidDel="00000000">
              <w:rPr>
                <w:rtl w:val="0"/>
              </w:rPr>
              <w:t xml:space="preserve">, </w:t>
            </w:r>
            <w:r w:rsidR="00000000" w:rsidRPr="00000000" w:rsidDel="00000000">
              <w:rPr>
                <w:rtl w:val="0"/>
              </w:rPr>
              <w:t xml:space="preserve">24.7.</w:t>
            </w:r>
            <w:r w:rsidR="00000000" w:rsidRPr="00000000" w:rsidDel="00000000">
              <w:rPr>
                <w:rtl w:val="0"/>
              </w:rPr>
              <w:t xml:space="preserve"> un </w:t>
            </w:r>
            <w:r w:rsidR="00000000" w:rsidRPr="00000000" w:rsidDel="00000000">
              <w:rPr>
                <w:rtl w:val="0"/>
              </w:rPr>
              <w:t xml:space="preserve">24.8. </w:t>
            </w:r>
            <w:r w:rsidR="00000000" w:rsidRPr="00000000" w:rsidDel="00000000">
              <w:rPr>
                <w:rtl w:val="0"/>
              </w:rPr>
              <w:t xml:space="preserve">apakšpunktā</w:t>
            </w:r>
            <w:r w:rsidR="00000000" w:rsidRPr="00000000" w:rsidDel="00000000">
              <w:rPr>
                <w:rtl w:val="0"/>
              </w:rPr>
              <w:t xml:space="preserve"> minēto atbalstāmo darbību īstenošanai nodrošina: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kritēriju izstrādi praktisku pilsoniskās sabiedrības iniciatīvu atlasei pašvaldībās;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kopīgs par 33.3. un 34.5.3.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33.3. apakšpunktā minēto, ka finansējuma saņēmējs izstrādās kritērijus praktisku pilsoniskās sabiedrības iniciatīvu atlasei pašvaldībās, un noteikumu projekta 34.5.3. apakšpunktā minēto, ka sadarbības partneri nodrošinās finansiālu atbalstu kopienu iniciatīvu īstenošanai, lūdzam skaidrot mehānismu, kā tiks nodrošināts finansiālais atbalsts kopienu iniciatīvu īstenošanai - vai projekta ietvaros paredzēts veikt iniciatīvu atlasi un piešķirt finansējumu gala saņēmējiem (kurš veiks iniciatīvu atlasi un uzraudzīs finansējuma izlietojumu), vai arī norēķinus par kopienu iniciatīvu īstenošanas izdevumiem veiks sadarbības partneri, uzskaitot tos savā grāmatvedībā. Lūdzam attiecīgi papildināt noteikumu projektu un anotāciju, lai ir nepārprotami skaidra projekta ieviešanas shēma (t.sk., ja paredzēta iniciatīvu atlase, iekļaut prasības iekšējās kontroles sistēmas izveidei interešu konflikta, krāpšanas un korupcijas risku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kritēriju praktisku pilsoniskās sabiedrības iniciatīvu atlasei pašvaldībās izstrādes, finansējuma saņēmējs un sadarbības partneri nodrošinās praktisku pilsoniskās sabiedrības iniciatīvu atlasi, metodisko atbalstu iniciatīvu ieviešanai un finansējumu iniciatīvu īstenošanai. Norēķinus par kopienu iniciatīvu īstenošanas izdevumiem veiks finansējuma saņēmējs sadarbības partneri, uzskaitot tos savā grāmatvedībā. Finansējuma saņēmējs un sadarbības partneri iniciatīvu atlasei izstrādā iekšējās kontroles sistēmas korupcijas, interešu konflikta un krāpšanas riska novēršanai izstrādi un procedūras aprakstu, kā tiks īstenota iniciatīvu atlase, nodrošinot atklātu, objektīvu un taisnīgu iniciatīvu atlasi.”.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viegli lietojama digitāla metodiskā materiāla praktisku pilsoniskās sabiedrības iniciatīvu īstenošanai vietējo kopienu noturības prasmju veidošanai un pašorganizācijas, sadarbības un līdzdarbības prasmju attīstībai sagatavošana un aprobēšana vietējo kopienu un nevalstisko organizāciju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izdevumu attiecināšanas nosacījumi būtu viennozīmīgi saprotami, lūdzam MK noteikumos norādīt atbalstāmo darbību un attiecināmās izmaksas, no kurām plānots attiecināt šajā punktā minēto viegli lietojamu digitālu metodisko materiālu un anotācijas aprakstā minētās iniciatīvas, kuru ietvaros ir paredzētas 10 televīzijas raidījuma sērijas. Vienlaikus vēršam uzmanību, ka MK noteikumu projekta 25.2.11.apakšpunktā minētās komunikācijas prasību nodrošināšanas izmaksas ir paredzētas atbilstoši Eiropas Savienības fondu 2021.–2027. gada plānošanas perioda un Atveseļošanas fonda komunikācijas un dizaina vadlīnijām. Ja ir nepieciešamas citas informatīvo komunikācijas pasākumu izmaksas, lūdzam tās izdalīt atsevišķā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35.6. apakšpunkts papildināts ar atsauci uz 24.1. apakšpunktā noteikto atbalstāmo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Noteikumu projekta punkti, kas definē attiecināmās izmaksas norāda arī, kuru atbalstāmo darbību īstenošanai tās paredzētas, līdz ar to atkārtoti Noteikumu projekta 35.6. apakšpunkts nav papildināts ar atsauci uz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 materiāla satura izstrādi nodrošinās Noteikumu projekta 26.2.2. apakšpunktā noteiktie eksperti, savukārt digitālā materiāla tehniskais nodrošinājums paredzēts, ka tiks finansēts atbilstoši Noteikumu projekta 26.2.1. apakšpunktā noteiktā ārpakalpojuma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 viegli lietojama digitāla metodiskā materiāla šo noteikumu </w:t>
            </w:r>
            <w:r w:rsidR="00000000" w:rsidRPr="00000000" w:rsidDel="00000000">
              <w:rPr>
                <w:rtl w:val="0"/>
              </w:rPr>
              <w:t xml:space="preserve">24.1. </w:t>
            </w:r>
            <w:r w:rsidR="00000000" w:rsidRPr="00000000" w:rsidDel="00000000">
              <w:rPr>
                <w:rtl w:val="0"/>
              </w:rPr>
              <w:t xml:space="preserve">apakšpunktā</w:t>
            </w:r>
            <w:r w:rsidR="00000000" w:rsidRPr="00000000" w:rsidDel="00000000">
              <w:rPr>
                <w:rtl w:val="0"/>
              </w:rPr>
              <w:t xml:space="preserve"> noteikto praktisku pilsoniskās sabiedrības iniciatīvu īstenošanai vietējo kopienu noturības prasmju veidošanai un pašorganizācijas, sadarbības un līdzdarbības prasmju attīstībai sagatavošana un aprobēšana vietējo kopienu un nevalstisko organizāciju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skaidroto, ka pasākuma ietvaros piesaistītie sadarbības partneri atbilstoši programmas “Reģionu NVO atbalsta programma” konkursa rezultātiem līdz šim ir īstenojoši tiem deleģētos valsts pārvaldes uzdevumus, lūdzam papildināt anotāciju ar informāciju, vai sadarbības partneri arī šī pasākuma ietvaros īstenos tiem deleģētos valsts pārvaldes uzdevumus, vienlaikus ietverot informāciju par to, no kādiem normatīvajiem aktiem izriet šiem sadarbības partneriem noteiktais deleģējums veikt attiecīgus valsts pārvaldes uzdevumus. Savukārt, ja sadarbības partneri konkrētā pasākuma ietvaros netiks piesaistīti tiem deleģēto valsts pārvaldes uzdevumu izpildes ietvaros, bet gan, lai veiktu ar saimniecisku darbību nesaistītas darbības, aicinām papildināt anotāciju ar izvērtējumu komercdarbības atbalsta kontroles kontekstā attiecībā uz sadarbības partneru plānotajām darbībām projektā, kas pamato šo darbību nesaimniecisko raksturu.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4.3.4.9. pasākuma īstenotājs un sadarbības partneri valsts pārvaldes uzdevumus pilda tikai programmas “Reģionu NVO atbalsta programma” atbalstīto projektu ietvaros, līdz ar to tiem deleģētie valsts pārvaldes uzdevumi nav noteikti normatīvajā aktā.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pasākuma ietvaros projekta iesniedzējs un attiecīgi finansējuma saņēmējs – Sabiedrības integrācijas fonds, tiek aizvietots pret citu projekta iesniedzēju un finansējuma saņēmēju –  biedrību “Latvijas Pilsoniskā alianse”, lūdzam papildināt anotāciju ar informāciju, skaidrojot, vai un kuros normatīvajos aktos konkrētajai biedrībai ir noteikts valsts pārvaldes deleģēto funkciju pildīšanas pienākums, kā arī papildināt anotāciju ar informāciju, vai biedrība konkrētā projekta ietvaros veiks tikai valsts deleģētā uzdevuma funkcijas vai arī tā pasākuma ietvaros veiks ar saimniecisku darbību nesaistītas darbības. Skaidrojam, ka, ja biedrība pasākuma ietvaros īstenos ar saimniecisku darbību nesaistītas darbības, anotācija papildināma ar izvērtējumu komercdarbības atbalsta kontroles kontekstā attiecībā uz biedrības plānoto darbību nesaimniecisko raksturu. Vienlaikus, vēršam uzmanību, ka noteikumu projekta 22.punktā ietvertais saimnieciskās darbības izmaksu nodalīšanas pienākums grāmatvedības uzskaitē attiecas tikai uz pasākuma ietvaros piesaistāmajiem sadarbības partneriem, taču tas būtu papildināms, šo pienākumu attiecinot arī uz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komercdarbības atbalsta izvērtēšanas viedokļa, atbalsta saņēmēja juridiskais statuss (bezpeļņas organizācija vai sabiedriskā labuma statuss) nav noteicošais, lai izvērtētu, vai saņēmējs ir/ vai nav saimnieciskās darbības veicējs un vai atbalsts tam kvalificējas vai nekvalificējas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viennozīmīgi skaidrs, kādēļ uz šo pasākumu neattiecas MK noteikumu Nr.408 protokollēmumā minētais par izmaksu un ieguvumu analīzes nepieciešamību, lūdzam anotācijā sniegt detalizētāku pamatojumu, norādot kādi sociālekonomiskie ieguvumi ir gaidāmi no projekta darbībām, kāds labums ir sabiedrībai no šī projekta īstenošanas. Ja sociālekonomiskos ieguvumus nevar kvantificēt, sniedziet skaidrojumu aprakstoši un pamatojiet tos. Norādām, ka šobrīd norādītā informācija par projekta atbilstību organizāciju mērķiem nepamato, ka projekta ieguldījumi ir lietderīgi valstij un sabiedrībai. Pēc būtības visiem ES fondu projektiem ir jāatbilst valsts un organizāciju mērķiem un tā ir pašsaprotama lieta. Ja šādu pamatojumu nevar sniegt, lūdzam izstrādāt Izmaksu ieguvumu analīzi anotācijas līmenī vai pie projekta, lai tādējādi nodrošinātu projekta atbilstību MK noteikumu Nr.408 protokollēmumā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anotāciju ar novērtējumu, par projekta plānoto ietekmi uz tautsaimniecību,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8.1.4. sadaļa “uz Nacionālā attīstības plāna rādītājiem”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saliedētība tiek cieši saistīta arī ar ekonomisko izaugsmi un valstu labklājību. 4.3.4.9. pasākuma ietvaros paredzēts īstenot sabiedrības līdzdalības pasākumus saliedētas un pilsoniski aktīvas sabiedrības attīstības veicināšanai, izpratnes veidošanai par kopējo labumu un iedzīvotāju atbildības izjūtas veicināšanai par līdzcilvēkiem, kā arī veicināt savstarpējo uzticēšanos starp dažādām sabiedrības grupām un solidaritāti.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plāna 2021.-2027. gadam (apstiprināts Saeimas 2020. gada 2. jūlija sēdē) prioritātes “Vienota, droša un atvērta sabiedrība” rīcības virziena “Saliedētība” mērķis paredz, ka pieaug piederības sajūta Latvijas sabiedrībai, latviskai un eiropeiskai kultūrtelpai. Saziņa un sadarbība starp dažādām iedzīvotāju grupām manāmi palielinājusies, mazinot spriedzi un nepamatotus aizspriedumus. Cilvēki gādā viens par otru, aktīvi veido un piedalās sabiedriskajās aktivitātēs, kā arī saredz sabiedrības daudzveidību kā vērtīgu resursu un spēju savstarpēji saprasties un cienīt vienam otru.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Saliedētība palielina cilvēku rīcībā esošos resursus. Saliedētība ne vienmēr notiek spontāni un dabiski. Svarīgas ir pašorganizācijas un sadarbības prasmes un pieredze, piemēram, līdzdarbojoties sabiedriskajās organizācijās un veicot brīvprātīgu darbu. Individualizācijas laikmetā saliedētība nav pašsaprotama, prasmes un iespējas līdzdarbībai īpaši stiprināmas tām grupām, kurām tās ir zemas. Rīcības virziena “Saliedētība” ietvaros noteikts 399. progresa rādītājs “Lepnums par piederību Latvijai (ļoti tuvs, tuvs)”, 400. progresa rādītājs “Iedzīvotāju savstarpējais atbalsts”, 401. progresa rādītājs “Iesaistīšanās sabiedriskajās organizācijās, respondenti, kuri atbild “nekur””, 402. progresa rādītājs “Iedzīvotāju pilsoniskā uzticēšanās – nevalstiskajām organizācijām/arodbiedrībām (pilnībā uzticas vai drīzāk uzticas)”.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rīcības virziena “Tiesiskums un pārvaldība” mērķis nosaka, ka iedzīvotāji mijiedarbībā ar publiskām institūcijām veido labāku sabiedrību un pārvaldību, īsteno savas tiesiskās intereses. Lai izjustu sevi kā daļu no demokrātiskas valsts, svarīgs ir tiesiskums un laba pārvaldība. Savu tiesību apzināšanos, tiesisku uzvedību un tiesisko paļāvību palīdz veidot un stiprina gan iespēja īstenot un aizsargāt savas tiesības, gan arī neatkarīga un efektīva tiesībaizsardzības sistēma, tāpēc cilvēki uzticas valstij un piedalās tās pārvaldībā. Labu pārvaldību raksturo, tai skaitā arī aktīva iesaistīšanās pilsoniskā sabiedrībā – nevalstiskajās organizācijās un sociālajā partnerībā, tai skaitā līdzdarbībā un sociālajā dialogā. Rīcības virziena “Tiesiskums un pārvaldība” ietvaros noteikts 416. progresa rādītājs “Apmierinātība ar to, kā darbojas demokrātija (pilnīgi apmierināts, drīzāk apmierināts)”, 417. progresa rādītājs “Iedzīvotāju pilsoniskās līdzdalības indekss” un 418. progresa rādītājs “Iedzīvotāju uztvere par iespēju ietekmēt rīcībpolitiku.”.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 “Risinājuma apraksts”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nepieciešamību, noteikt finansējuma saņēmējam pienākumu izstrādāt izmaksu un ieguvumu analīzi, Kultūras ministrija ir ņēmusi vērā, ka 4.3.4.9. pasākuma mērķis ir sociāls, tai skaitā 4.3.4.9. pasākuma ietvaros nav paredzēts gūt ieņēmumus un 4.3.4.9. pasākuma ietvaros plānotiem ieguvumiem ir sociāls raksturs. 4.3.4.9. pasākuma mērķis ir stiprināt vietējo kopienu spēju pašorganizēties, sadarboties un līdzdarboties, veidojot izpratni par kopējo labumu, veicinot atbildības izjūtu par līdzcilvēkiem un sabiedrības noturības prasmju attīstību, vienlaikus izmantojot reģionālo nevalstisko organizāciju atbalsta centru potenciālu un stiprinot pilsoniskās sabiedrības efektīvu un ilgtspējīgu darbību. Ekonomiskās sadarbības un attīstības organizācija norāda, ka saliedēta sabiedrība darbojas visu tās locekļu labklājības labā, cīnās pret atstumtību un marginalizāciju, rada piederības sajūtu un veicina uzticēšanos. Sabiedrības saliedētība tiek cieši saistīta arī ar ekonomisko izaugsmi un valstu labklājību. 4.3.4.9. pasākuma ietvaros paredzēta vietējo kopienu  noturības veicināšana pret dažāda veida krīzēm, izveidojot risinājumus preventīvām darbībām koordinētai rīcībai krīzes situācijās, tādejādi ilgtermiņā padarot vietējās kopienas noturīgākas pret dažāda veida krīzēm, tai skaitā veicinot atbildīgo iestāžu un vietējas kopienas sadarbību krīžu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4.3.4.9. pasākuma sociālo raksturu, var secināt, ka 4.3.4.9. pasākuma ietvaros nav nepieciešams veikt izmaksu un ieguvumu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III sadaļas "Tiesību akta projekta ietekme uz valsts budžetu un pašvaldību budžetiem" sadaļu "Cita informācija" ar tekstu šādā redakcijā: "Nepieciešamais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ir papildināms ar jaunu punktu šādā redakcijā: “5. Kultūras ministrijai nekavējoties informēt Ministru kabinetu, ja izmaksas, kas 4.3.4.9. pasākumā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finansiālo ietekmi, un sniegt fiskāli neitrālu priekšlikumu/aprakstu situācijas risinājumam, lai turpinātu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ministrijai nekavējoties informēt Ministru kabinetu, ja izmaksas, kas 4.3.4.9. pasākumā "Sabiedrības saliedēšana, veicinot sabiedrības pašorganizēšanos un paplašinot sadarbības un līdzdarbības prasmes un iespējas"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finansiālo ietekmi, un sniegt fiskāli neitrālu priekšlikumu situācijas risinājumam, lai turpinātu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1.3.apakšpunktā "Pašreizējā situācija, problēmas un risinājumi" ir iekļauta informācija, ka izmaksas ir attiecināmas no Projekta spēkā stāšanās dienas, lai nodrošinātu projekta īstenotājam iespēju savlaicīgi uzsākt 4.3.4.9. pasākuma ietvaros apstiprināmā projekta īstenošanu. Savukārt, ja pirms projekta apstiprināšanas būs radušās izmaksas, kas nav attiecināmas, finansējuma saņēmējam tās ir jāsedz no sava budžeta. Ņemot vērā minēto, nav skaidrs Ministru kabineta sēdes protokollēmuma projekta 4.punktā iekļautās redakcijas mērķis, jo atbilstoši anotācijā iekļautajai informācijai izmaksas, kas veiktas pirms projekta iesnieguma apstiprināšanas un varētu netikt vai netiek attiecinātas finansējuma saņēmējam ir jāsedz no sava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MK sēdes protokollēmuma projekta 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2024. gadā līdz vienošanās par projekta īstenošanu noslēgšanai ar Centrālo finanšu un līgumu aģentūru 4.3.4.9. pasākuma "Sabiedrības saliedēšana, veicinot sabiedrības pašorganizēšanos un paplašinot sadarbības un līdzdarbības prasmes un iespējas" finansējuma saņēmējam Sabiedrības integrācijas fondam projekta īstenošanai nepieciešamo finansējumu 20 000 </w:t>
            </w:r>
            <w:r w:rsidR="00000000" w:rsidRPr="00000000" w:rsidDel="00000000">
              <w:rPr>
                <w:i w:val="1"/>
                <w:rtl w:val="0"/>
              </w:rPr>
              <w:t xml:space="preserve">euro </w:t>
            </w:r>
            <w:r w:rsidR="00000000" w:rsidRPr="00000000" w:rsidDel="00000000">
              <w:rPr>
                <w:rtl w:val="0"/>
              </w:rPr>
              <w:t xml:space="preserve">apmērā attiecināmo izmaksu segšanai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2018. gada 17. jūlija noteikumu Nr. 421 "Kārtība, kādā veic gadskārtējā valsts budžeta likumā noteiktās apropriācijas izmaiņas" 24.2. apakšpunkts paredz, ka no 80.00.00 programmas “Nesadalītais finansējums Eiropas Savienības politiku instrumentu un pārējās ārvalstu finanšu palīdzības līdzfinansēto projektu un pasākumu īstenošanai” līdzekļus var pārdalīt izņēmuma kārtā pirms Eiropas Savienības fondu projektu iesnieguma apstiprināšanas sadarbības iestādē, ja Ministru kabinets, pamatojoties uz iesniegto argumentāciju un risku analīzi, ir pieņēmis lēmumu par konkrētā plānotā projekta izdevumu priekšfinansēšanu noteiktā apjomā un izdevumu pozīcijām atbilstoši projektā izvirzītajam mērķim. Norādām, ka no šobrīd anotācijā sniegtās informācijas nav skaidrs, kāpēc pirms projekta apstiprināšanas nepieciešams finansējums 20 000 euro apmērā, kas kavē projekta savlaicīgu sagatavošanu un iesniegšanu sadarbības iestādē pēc noteikumu projekta apstiprināšanas, kādam periodam un kādām izdevumu pozīcijām (pievienojot aprēķinus) minētais finansējums nepieciešams. Tāpat lūdzam skaidrot potenciālos risinājumus gadījumam, ja izpildās kāds no uzrādītajiem riskiem un attiecīgie izdevumi netiek attiecināti no Eiropas Sociālā fonda Plus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un protokollēmumā svītrota informācija par priekšfinansējumu.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īsteno saskaņā ar vienošanos par projekta īstenošanu,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15.punktā veiktos precizējumus par projekta iesniedzēju, lūdzam precizēt arī noteikumu projekta 4.punktu, aizstājot noteikumu projekta 4.punktā vārdu "vienošanos" ar vārdu "līgums", ņemot vērā projekta iesniedzēja juridisko statusu. Vēršam uzmanību, ka saskaņā ar Eiropas Savienības fondu 2021.—2027. gada plānošanas perioda vadības likuma 18. panta pirmās daļas 1. un 2. punktu, ja finansējuma saņēmējs ir fiziskā vai juridiskā persona, tiek slēgts līgums par projekta īstenošanu, savukārt, ja finansējuma saņēmējs tiešās vai pastarpinātās pārvaldes iestāde, atvasināta publiska persona vai cita valsts iestāde, tiek slēgta vienošanās par projekta īstenošanu.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īsteno saskaņā ar līgumu par projekta īstenošanu, bet ne ilgāk kā līdz 2029.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iznākuma rādītājs – nacionāla, reģionāla vai vietēja mēroga valsts administrācijas vai sabiedrisko pakalpojumu iestāžu un pakalpojumu skaits, kas saņēmušas atbalstu, – 6, tai skaitā līdz 2024. gada 31. decembrim – 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8.1.apakšpunktā norādīto iznākuma rādītāja "Nacionāla, reģionāla vai vietēja mēroga valsts administrācijas vai sabiedrisko pakalpojumu iestāžu un pakalpojumu skaits, kas saņēmušas atbalstu" starpposma vērtību atbilstoši Eiropas Savienības kohēzijas politikas programmai 2021.-2027. gadam un 4.3.4. SAM rādītāju metodoloģijas aprakstam, t.i. 6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iznākuma rādītājs – nacionāla, reģionāla vai vietēja mēroga valsts administrācijas vai sabiedrisko pakalpojumu iestāžu un pakalpojumu skaits, kas saņēmušas atbalstu, – 5, tai skaitā līdz 2024. gada 31. decembrim – 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Prasības projekta iesniedzējam, finansējuma saņēmējam un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lūdzam norādīt avansa saņemšanas nosacījumus (kā piemēram, avansa apjoms un tā izmaksāšanas kārtība), kā arī lūdzam norādīt avansa un starpposma maksājuma izmaksāšanas nosacījumus. Vēršam uzmanību, ka atbilstoši MK 2023. gada 25. aprīļa noteikumu Nr. 205 “Valsts budžeta līdzekļu plānošanas kārtība Eiropas Savienības fondu projektu īstenošanai un maksājumu veikšanai 2021.–2027. gada plānošanas periodā”  8.1. apakšpunktam Eiropas Savienības fonda ietvaros var veikt avansa maksājumu finansējuma saņēmējam, ja tā izmaksāšanas nosacījumi ir paredzēti normatīvajā aktā par specifiskā atbalsta mērķa īstenošanu.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15.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Sadarbības iestāde, ja tai ir pieejami valsts budžeta līdzekļi, izvērtējot plānotā avansa apmēru, tā pamatojumu, pamatojoties uz finansējuma saņēmēja rakstisku avansa pieprasījumu, var piešķirt finansējuma saņēmējam, avansu pēc līguma par projekta īstenošanu noslēgšanas. Finansējuma saņēmējam avansu var piešķirt līdz 50 procentiem no projektam piešķirtā ESF+ finansējuma un valsts budžeta līdzfinansējuma kopsummas, ja tas paredzēts projektā, ievērojot, ka avansu var izmaksāt vairākos maksājumos un avansa un  starpposma maksājumu kopsumma nepārsniedz 95 procentus no projektam piešķirtā ESF+ un valsts budžeta finansējuma kopsummas.”.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Prasības projekta iesniedzējam, finansējuma saņēmējam un sadarbības partneriem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un </w:t>
            </w:r>
            <w:r w:rsidR="00000000" w:rsidRPr="00000000" w:rsidDel="00000000">
              <w:rPr>
                <w:rtl w:val="0"/>
              </w:rPr>
              <w:t xml:space="preserve">23.5. </w:t>
            </w:r>
            <w:r w:rsidR="00000000" w:rsidRPr="00000000" w:rsidDel="00000000">
              <w:rPr>
                <w:rtl w:val="0"/>
              </w:rPr>
              <w:t xml:space="preserve">apakšpunktā</w:t>
            </w:r>
            <w:r w:rsidR="00000000" w:rsidRPr="00000000" w:rsidDel="00000000">
              <w:rPr>
                <w:rtl w:val="0"/>
              </w:rPr>
              <w:t xml:space="preserve"> minēto atbalstāmo darbību īstenošanai projekta iesniedzējs ar sadarbības partneriem slēdz sadarbības līgumu par pušu pienākumiem, tiesībām un atbildību projekta mērķa un rādītāju sasniegšanā atbilstoši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papildināt noteikumu projektu, jo, ja noteikumu projekts paredz sadarbības partneru iesaisti projektu īstenošanā, tad noteikumu projektā jāiekļauj informācija par galvenajiem sadarbības aspektiem, t.i., atbildība, funkcijas, norādot sadarbības partnera veicamās darbības un resursus, ar kādiem tas iesaistās projektā, vai noteikumu projektā jānorāda, ka attiecīgie jautājumi tiks regulēti sadarbības līgumā. Ja tiek slēgts sadarbības līgums, noteikumu projektā ir jāatrunā tā galvenie aspekti (atbildība, funkcijas utt.). Izpildot iepriekš minētās prasības, noteikumu projektā nedublē Ministru kabineta 2023. gada 13. jūlija noteikumos Nr. 408 “Kārtība, kādā Eiropas Savienības fondu vadībā iesaistītās institūcijas nodrošina šo fondu ieviešanu 2021.–2027. gada plānošanas periodā” noteikto regulējumu, tostarp, 6. punktā ietvertos nosacījumus par sadarbības līgumā iekļaujamo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un 34. punktā noteikta finansējuma saņēmēja un sadarbības partnera atbildība un funkcijas projekta īstenošanā. Papildus skaidrojam, ka Projektā nav paredzēts noteikt stingrākas prasības kā Ministru kabineta 2023. gada 13. jūlija noteikumos Nr. 408 “Kārtība, kādā Eiropas Savienības fondu vadībā iesaistītās institūcijas nodrošina šo fondu ieviešanu 2021.-2027. gada plānošanas periodā” noteikto regulējumu, tostarp 6.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24.1.</w:t>
            </w:r>
            <w:r w:rsidR="00000000" w:rsidRPr="00000000" w:rsidDel="00000000">
              <w:rPr>
                <w:rtl w:val="0"/>
              </w:rPr>
              <w:t xml:space="preserve">, </w:t>
            </w:r>
            <w:r w:rsidR="00000000" w:rsidRPr="00000000" w:rsidDel="00000000">
              <w:rPr>
                <w:rtl w:val="0"/>
              </w:rPr>
              <w:t xml:space="preserve">24.2.</w:t>
            </w:r>
            <w:r w:rsidR="00000000" w:rsidRPr="00000000" w:rsidDel="00000000">
              <w:rPr>
                <w:rtl w:val="0"/>
              </w:rPr>
              <w:t xml:space="preserve">,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24.4.</w:t>
            </w:r>
            <w:r w:rsidR="00000000" w:rsidRPr="00000000" w:rsidDel="00000000">
              <w:rPr>
                <w:rtl w:val="0"/>
              </w:rPr>
              <w:t xml:space="preserve"> un </w:t>
            </w:r>
            <w:r w:rsidR="00000000" w:rsidRPr="00000000" w:rsidDel="00000000">
              <w:rPr>
                <w:rtl w:val="0"/>
              </w:rPr>
              <w:t xml:space="preserve">24.6. </w:t>
            </w:r>
            <w:r w:rsidR="00000000" w:rsidRPr="00000000" w:rsidDel="00000000">
              <w:rPr>
                <w:rtl w:val="0"/>
              </w:rPr>
              <w:t xml:space="preserve">apakšpunktā</w:t>
            </w:r>
            <w:r w:rsidR="00000000" w:rsidRPr="00000000" w:rsidDel="00000000">
              <w:rPr>
                <w:rtl w:val="0"/>
              </w:rPr>
              <w:t xml:space="preserve"> minēto atbalstāmo darbību īstenošanai projekta iesniedzējs ar sadarbības partneriem slēdz sadarbības līgumu par pušu pienākumiem, tiesībām un atbildību projekta mērķa un rādītāju sasniegšanā atbilstoši normatīvajiem aktiem, kas nosaka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Finansējuma saņēmējs un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20.punktā un 8.2.apakšpunktā noteikto, lūdzam izvērtēt nepieciešamību papildināt noteikumu projektu ar pienākumu finansējuma saņēmējam uzkrāt, uzskaitīt un iesniegt sadarbības iestādē apkopotus datus par noteikumu projekta 8.2. apakšpunktā minētajām personām atbilstoši Eiropas Parlamenta un Padomes 2021. gada 24. jūnija Regulas (ES) 2021/1057, ar ko izveido Eiropas Sociālo fondu Plus (ESF+) un atceļ Regulu (ES) Nr. 1296/2013, I pielikumam un Ministru kabineta 2023. gada 31. marta noteikumu Nr. 135 “Eiropas Savienības fondu projektu pārbaužu veikšanas kārtība 2021.–2027. gada plānošanas periodā” 1.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arī anotācijas 8.1.13. apakšsadaļu.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anotācijā, kad noteikumu projekta 8.2. apakšpunktā minētajs rādītājs tiks uzskatīts par sasniegtu.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sadaļa “Risinājuma apraksts”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“Rezultāta rādītājs “nevalstisko organizāciju un kopienas pārstāvju skaits, kam stiprinātas spējas veicināt sabiedrības noturību” uzskatāms par sasniegtu, kad nevalstiskā organizācija vai kopienas pārstāvis iesaistās iniciatīvu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apakšsadaļa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pasākuma ietvaros finansējuma saņēmējs uzkrāj, uzskaita un iesniedz sadarbības iestādē apkopotus datus par nevalstisko organizāciju un kopienas pārstāvjiem, kam stiprinātas spējas veicināt sabiedrības noturību, atbilstoši Eiropas Parlamenta un Padomes 2021. gada 24. jūnija Regulas (ES) 2021/1057, ar ko izveido Eiropas Sociālo fondu Plus (ESF+) un atceļ Regulu (ES) Nr. 1296/2013, I pielikumam un Ministru kabineta 2023. gada 31. marta noteikumu Nr. 135 “Eiropas Savienības fondu projektu pārbaužu veikšanas kārtība 2021.-2027. gada plānošanas periodā” 1. pielikumam.”.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un sadarbības partneris: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Finansējuma saņēmējs un sadarbības partneris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tā kā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tad </w:t>
            </w:r>
            <w:r w:rsidR="00000000" w:rsidRPr="00000000" w:rsidDel="00000000">
              <w:rPr>
                <w:u w:val="single"/>
                <w:rtl w:val="0"/>
              </w:rPr>
              <w:t xml:space="preserve">lūdzam noteikumu projekta 21.5. apakšpunktā precizēt atsauci, norādot atsauci uz Regulu 2024/2509</w:t>
            </w:r>
            <w:r w:rsidR="00000000" w:rsidRPr="00000000" w:rsidDel="00000000">
              <w:rPr>
                <w:rtl w:val="0"/>
              </w:rPr>
              <w:t xml:space="preserve">.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nodrošina interešu konflikta neesamību saskaņā ar Eiropas Parlamenta un Padomes 2024. gada 23. septembra Regulas (ES, Euratom) 2024/2509 par finanšu noteikumiem, ko piemēro Savienības vispārējam budžetam (pārstrādāta redakcija), 61. panta prasībām. Finansējuma saņēmējs un sadarbības partneris paraksta interešu konflikta neesamības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finansējuma saņēmēja un sadarbības partnera projekta vadības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Kultūras ministriju, pēc iespējas ātrāk, izstrādāt noteikumu projekta 25.1. apakšpunktā minēto personāla izmaksu metodiku, un to iesniegt to Vadošajā iestādē, lai mazinātu administratīvo slogu projekta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mainīta plānotā projekta īstenošanas pieeja un Sabiedrības integrācijas fonds neiesaistīsies projekta īstenošanā, ir svītroti punkti, kas paredz vienkāršoto izmaksu metodikas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finansējuma saņēmēja un sadarbības partnera projekta vadības un īstenošanas personāla izmaksas saskaņā ar finansējuma saņēmēja un sadarbības partnera atlīdzības sistēmā noteikto samaksu par līdzvērtīga darba veikšanu, kas vienlaikus nepārsniedz vidējo darba samaksu saskaņā ar Centrālās statistikas pārvaldes datiem par līdzvērtīgu darbu attiecīgajā nozarē. Ja personāla iesaiste projektā ir nodrošināta saskaņā ar daļlaika izmaksu attiecināmības principu, attiecināma ir ne mazāka kā 30 procentu noslodze;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pārējās projekta īstenošanas izmaksas finansējuma saņēmēja un sadarbības partnera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nepārprotamu izpratni par 25.2.apakšpunktā iekļautajām projekta īstenošanas izmaksām finansējuma saņēmēja un sadarbības partnera atbalstāmo darbību īstenošanai,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vai 25.2.3., 25.2.4., 25.2.6. un 25.2.7. apakšpunktā minētās izmaksas paredzētas finansējuma saņēmēja un arī sadarbības partneru projekta vadības un īstenošanas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atšifrēt vai anotācijā atrunāt piemērus 25.2.8.apakšpunktā minētajām pasākumu organizēšanas izmaksām, jo pirmšķietami tās varētu būt attiecināmas arī no 25.2.1. apakšpunktā minētajām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atšifrēt 25.2.9.apakšpunktā vai anotācijā, kādas tieši "iniciatīvu īstenošanas izmaksas"  ir paredzētas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noteikumu projekta 25.2.10. apakšpunktā ietverto atsauci uz 23.5. apakšpunktu, ņemot vērā, ka atbalstāmā darbība "komunikācijas un vizuālās identitātes prasību nodrošināšanas pasākumi" norādīta noteikumu projekta 23.7.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iniciatīvu atlases nodrošināšanai tiks izstrādāti kritēriji, izzinot vietējo iedzīvotāju, kopienu un nevalstisko organizāciju nepieciešamo zināšanu un prasmju vajadzības. Atbilstoši noteiktajām zināšanu un prasmju vajadzībām tiks atlasītas īstenojamās iniciatīvas, līdz ar to šobrīd nevar definēt attiecināmo izmaksu tvērumu, kas nepieciešams iniciatīvu īstenošanai. Izmaksas, tai skaitā varētu ietvert, telpu nomas izmaksas, materiālu izmaksas, kafijas pauzes izmaksas, transporta izmaksas, ēdināšanas izmaksas, kancelejas preču izmaksas, inventāra nomas izmaksas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pasākumu organizēšanas izmaksas varētu tikt īstenotas ārpakalpojuma ietvaros, vienlaikus, piemēram atbalstāmās darbības, kas paredz atbalsta tīklu veidošanu, īstenošanai pasākumu organizēšanu varētu īstenot arī projekta īstenošanas personāls.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pārējās projekta īstenošanas izmaksas finansējuma saņēmēja un sadarbības partnera atbalstāmo darbību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26.2.11. izmaksas komunikācijas un vizuālās identitātes prasību nodrošināšanai šo noteikumu </w:t>
            </w:r>
            <w:r w:rsidR="00000000" w:rsidRPr="00000000" w:rsidDel="00000000">
              <w:rPr>
                <w:rtl w:val="0"/>
              </w:rPr>
              <w:t xml:space="preserve">24.8. </w:t>
            </w:r>
            <w:r w:rsidR="00000000" w:rsidRPr="00000000" w:rsidDel="00000000">
              <w:rPr>
                <w:rtl w:val="0"/>
              </w:rPr>
              <w:t xml:space="preserve">apakšpunktā</w:t>
            </w:r>
            <w:r w:rsidR="00000000" w:rsidRPr="00000000" w:rsidDel="00000000">
              <w:rPr>
                <w:rtl w:val="0"/>
              </w:rPr>
              <w:t xml:space="preserve"> minētās atbalstāmās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26.2.11. apakšpunktā iekļauto atsauci, aizstājot atsauci "24.8. apakšpunktā" ar atsauci "24.9.apakšpunktā", jo nav korekti minēta atbalstāmā darbība - komunikācijas un vizuālās identitātes prasību nodrošināšanas pasākumi kā atbalstāmā darbība ir noteikta noteikumu projekta 24.9. apakšpunktā. Vienlaikus aicinām izvērtēt nepieciešamību  precizēt arī citas noteikumu projekta normas,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26.2.11. izmaksas komunikācijas un vizuālās identitātes prasību nodrošināšanai šo noteikumu </w:t>
            </w:r>
            <w:r w:rsidR="00000000" w:rsidRPr="00000000" w:rsidDel="00000000">
              <w:rPr>
                <w:rtl w:val="0"/>
              </w:rPr>
              <w:t xml:space="preserve">24.9. </w:t>
            </w:r>
            <w:r w:rsidR="00000000" w:rsidRPr="00000000" w:rsidDel="00000000">
              <w:rPr>
                <w:rtl w:val="0"/>
              </w:rPr>
              <w:t xml:space="preserve">apakšpunktā</w:t>
            </w:r>
            <w:r w:rsidR="00000000" w:rsidRPr="00000000" w:rsidDel="00000000">
              <w:rPr>
                <w:rtl w:val="0"/>
              </w:rPr>
              <w:t xml:space="preserve"> minētās atbalstāmās darbības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25.2.11. izmaksas horizontālā principa "Vienlīdzība, iekļaušana, nediskriminācija un pamattiesību ievērošana" darbību īstenošanai, tai skaitā pandusu nomas, indukcijas cilpu nomas, zīmju valodas tulku un vieglās valodas tulkošanas pakalpojumu izmaksas, subtitrēšanas un reāllaika transkripcijas pakalpojumu izmaksas, ja tas ir nepieciešams vides un informācijas pieejamības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apakšpunktā vārdu “pieejamība” aizstāt ar vārdu “piekļūstamība”. Vēršam uzmanību,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26.2.12. izmaksas horizontālā principa "Vienlīdzība, iekļaušana, nediskriminācija un pamattiesību ievērošana" darbību īstenošanai, tai skaitā pandusu nomas, indukcijas cilpu nomas, zīmju valodas tulku un vieglās valodas tulkošanas pakalpojumu izmaksas, subtitrēšanas un reāllaika transkripcijas pakalpojumu izmaksas, ja tas ir nepieciešams vides un informācijas piekļūstamības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un projekta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par to, kā finansējuma saņēmējam jārīkojas gadījumā, ja atbalsta pasākums tā īstenošanas laikā kļūst par atbalstu komercdarbībai, aicinām noteikumu projektu papildināt ar attiecīgu normu, piemēram, šādā redakcijā: "Ja ar saimniecisku darbību nesaistīts projekts tā dzīves cikla laikā kļūst par projektu, kas saistīts ar saimniecisku darbību, kurai sniegtais atbalsts būtu kvalificējams kā komercdarbības atbalsts, finansējuma saņēmējs no finansējuma, par kuru nav saņemts nekāds komercdarbības atbalsts, atmaksā sadarbības iestādei nelikumīgi saņemto komercdarbības atbalstu kopā ar procentiem  saskaņā ar Komercdarbības atbalsta kontroles likuma IV vai V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ar saimniecisku darbību nesaistīts projekts tā dzīves cikla laikā kļūst par projektu, kas saistīts ar saimniecisku darbību, kurai sniegtais atbalsts būtu kvalificējams kā komercdarbības atbalsts, finansējuma saņēmējs no finansējuma, par kuru nav saņemts nekāds komercdarbības atbalsts, atmaksā sadarbības iestādei nelikumīgi saņemto komercdarbības atbalstu kopā ar procentiem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un projekta īstenošanas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33.1.1.2. drošas informācijas kanālu pieejamība krīzes situācijās un to lietošana vietējās kopienas darbību koordinācijai;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apakšpunktā vārdu “pieejamība” aizstāt ar vārdu “piekļūstamība”. Vēršam uzmanību,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informāciju plašākai sabiedrībai par projekta ietvaros īstenotajām iedzīvotāju iniciatīvām, ilustrējot rezultātus un to īstenošanas pievienoto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nepārprotamu priekšstatu par normā ietvertajiem pienākumiem, lūdzam skaidrot kā un ar kādu regularitāti finansējuma saņēmējam būs jānodrošina 33.6. apakšpunktā norādītā darbība (piemēram, projekta īstenošanas laikā vai projektam noslēdzoties, sniegt informāciju tīmekļa vietnē, vai citur).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informāciju plašākai sabiedrībai par projekta ietvaros īstenotajām iedzīvotāju iniciatīvām, ilustrējot rezultātus un to īstenošanas pievienoto vērtību. Informācija plašākai sabiedrībai tiks sagatavota atbilstoši īstenotajām iniciatīvām, indikatīvi paredzot 10 televīzijas raidījuma sērijas.”.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informāciju plašākai sabiedrībai par projekta ietvaros īstenotajām iedzīvotāju iniciatīvām, ilustrējot rezultātus un to īstenošanas pievienoto vērtību.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kopienas atbalsta tīkla izveidi, piesaistot vismaz 12 partnerus konkrētajā reģionā, vienlaikus nodrošinot: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izprotama sadarbības shēma, lūdzam anotācijā aprakstīt, kā tiek plānota sadarbība ar šiem 12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“Kopienas atbalsta tīkla darbības, tai skaitā sociālo tīklu grupu darbības nodrošināšanai sadarbības partneri katrā reģionā piesaista vismaz 12 partnerus (nevalstiskās organizācijas un/vai kopienas pārstāvjus), kas projekta īstenošanai tiek piesaistīti kā eksperti. 12 partneri nodrošinās metodisko atbalstu iniciatīvu īstenošanā un iniciatīvu koordinēšanu pašvaldību līmenī, veidos vienojošu saziņas mehānismu aktīvo iedzīvotāju sadarbības veicināšanai un iedibināto sadarbības tīklu ilgtspējai.”.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Sadarbības iestāde lēmumu par projekta iesnieguma apstiprināšanu, apstiprināšanu ar nosacījumu vai noraidīšanu pieņem triju mēnešu laikā pēc projekta iesnieguma iesniegšanas beigu datuma.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35.punktu, jo šāda tiesību norma izriet no augstāka normatīvā akta, un saskaņā ar Ministru kabineta 2009. gada 3. februāra noteikumu Nr. 108 “Normatīvo aktu projektu sagatavošanas noteikumi” 3.2. apakšpunktu normatīvā akta projektā neietver normas, kas dublē augstāka vai tāda paša spēka normatīvā akta tiesību normās ietverto normatīvo regulējumu. Vēršam uzmanību, ka Eiropas Savienības fondu 2021.—2027. gada plānošanas perioda vadības likuma 28. panta pirmā daļa nosaka, ka sadarbības iestāde lēmumu par projekta iesnieguma apstiprināšanu, apstiprināšanu ar nosacījumu vai noraidīšanu pieņem triju mēnešu laikā pēc projekta iesnieguma iesniegšanas beigu datuma.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Projekta īstenošanas satura jautājumus pārrauga Saliedētas un pilsoniski aktīvas sabiedrības attīstības pamatnostādņu 2021.-2027. gadam īstenošanas uzraudzības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 punktā noteikts, ka “Projekta īstenošanas satura jautājumus pārrauga Saliedētas un pilsoniski aktīvas sabiedrības attīstības pamatnostādņu 2021.-2027. gadam īstenošanas uzraudzības padome.” Saistībā ar minēto lūdzam noteikumu projekta anotācijā precizēt un detalizēti skaidrot, kā izpaudīsies šīs uzraudzības padomes pārraudzības funkcija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svarīgi norādīt, kādi būs padomes konkrētie pienākumi un atbildība, kā arī kāda būs tās loma un iesaistes līmenis projekta īstenošanas procesā. Nepieciešams skaidrojums par to, vai padomei būs tikai konsultatīva funkcija vai arī tai tiks piešķirtas konkrētas lēmumu pieņemšanas tiesības un uzraudzības mehānismi, kas varētu ietekmēt projekta īstenošanas saturu un gaitu.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4.3.4.9. pasākuma ietvaros apstiprinātā projekta īstenošanas satura jautājumus pārrauga Saliedētas un pilsoniski aktīvas sabiedrības attīstības pamatnostādņu 2021.-2027. gadam īstenošanas uzraudzības padome (turpmāk - pamatnostādņu īstenošanas uzraudzības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īstenošanas uzraudzības padome ir koleģiāla uzraudzības institūcija, kuras darbības mērķis ir veicināt saskaņotu Saliedētas un pilsoniski aktīvas sabiedrības attīstības pamatnostādņu 2021.-2027. gadam rīcības virzienu īstenošanu saskaņā ar Ministru kabineta 2021. gada 21. decembra noteikumiem Nr. 851 “Saliedētas un pilsoniski aktīvas sabiedrības attīstības pamatnostādņu īstenošanas uzraudzības padomes nolikums” (turpmāk – Noteikumi Nr. 851).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851 2.2. apakšpunktā noteiktajam pamatnostādņu īstenošanas uzraudzības padome veicina valsts pārvaldes un citu iesaistīto institūciju sadarbību Saliedētas un pilsoniski aktīvas sabiedrības attīstības pamatnostādņu 2021.-2027. gadam rīcības virzienu apakšmērķu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plāna 2024.-2027. gadam projekta 2.2. uzdevuma ietvaros “Stiprināt pilsoniskās sabiedrības attīstību un ilgtspēju, veidojot pilsonisku kultūru un attīstot iekļaujošu pilsoniskumu”, tai skaitā paredzēta sabiedrības saliedēšana, veicinot sabiedrības pašorganizēšanos un paplašinot sadarbības un līdzdarbības prasmes un iespējas, ko paredzēts īstenot 4.3.4.9. pasākuma ietvaros. Attiecīgi pamatnostādņu īstenošanas uzraudzības padome 4.3.4.9. pasākuma pārraudzību īstenos atbilstošo Noteikumu Nr. 851 noteiktajām funkcijām un uzdevumiem, nodrošinot konsultatīva rakstura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Projekta īstenošanas satura jautājumus pārrauga Saliedētas un pilsoniski aktīvas sabiedrības attīstības pamatnostādņu 2021.-2027. gadam īstenošanas uzraudzības padome.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15. punkts paredz, ka finansējuma saņēmējam avansu var piešķirt līdz 50 procentiem no projektam piešķirtā Eiropas Sociālā fonda Plus finansējuma un valsts budžeta līdzfinansējuma kopsummas, lūdzam anotācijas 1.3. sadaļā "Pašreizējā situācija, problēmas un risinājumi" sniegt atbilstošu pamatojumu šāda avansa apmēra nepieciešamībai, jo avanss tiek plānots lielāks nekā 30%, proti, lielāks nekā paredz Ministru kabineta 2023. gada 25. aprīļa noteikumu Nr. 205 “Valsts budžeta līdzekļu plānošanas kārtība Eiropas Savienības fondu projektu īstenošanai un maksājumu veikšanai 2021.–2027. gada plānošanas periodā” (turpmāk - noteikumi Nr. 205) 10.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noteikumu projekta 15. punkts paredz, ka avansa un starpposma maksājumu kopsumma nepārsniedz 95 procentus no projektam piešķirtā Eiropas Sociālā fonda Plus un valsts budžeta finansējuma kopsummas, lūdzam anotācijas 1.3. sadaļā "Pašreizējā situācija, problēmas un risinājumi" sniegt atbilstošu pamatojumu šādam avansa un starpposma maksājumu kopsummas apmēram. Vēršam uzmanību, ka saskaņā ar Ministru kabineta 2023. gada 25. aprīļa sēdes protokollēmumu (prot. Nr. 22 25. § 3. punkts) ministrijai, izstrādājot normatīvā akta projektu par specifiskā atbalsta mērķa īstenošanu un paredzot avansa un starpposma maksājuma kopsummu noteikumu Nr. 205 </w:t>
            </w:r>
            <w:r w:rsidR="00000000" w:rsidRPr="00000000" w:rsidDel="00000000">
              <w:rPr>
                <w:u w:val="single"/>
                <w:rtl w:val="0"/>
              </w:rPr>
              <w:t xml:space="preserve">18. punktā noteiktajā apjomā</w:t>
            </w:r>
            <w:r w:rsidR="00000000" w:rsidRPr="00000000" w:rsidDel="00000000">
              <w:rPr>
                <w:rtl w:val="0"/>
              </w:rPr>
              <w:t xml:space="preserve"> vai noteikumu 17. punktā noteiktajā apjomā, ja avansa un starpposma maksājumu kopsummu izmanto tai deleģētā valsts pārvaldes uzdevuma īstenošanai, anotācijā ir īpaši jāpamato šāda avansa un starpposma maksājuma kopsummas apmēra nepieciešamība.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apmērs precizēts atbilstoši Ministru kabineta 2023. gada 25. aprīļa noteikumu Nr. 205 “Valsts budžeta līdzekļu plānošanas kārtība Eiropas Savienības fondu projektu īstenošanai un maksājumu veikšanai 2021.-2027. gada plānošanas periodā” (turpmāk – noteikumi Nr. 205) 10. punktā noteiktajam – 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sadarbības iestāde, ja tai ir pieejami valsts budžeta līdzekļi, izvērtējot plānotā avansa apmēru, tā pamatojumu, pamatojoties uz finansējuma saņēmēja rakstisku avansa pieprasījumu, var piešķirt finansējuma saņēmējam, avansu pēc līguma par projekta īstenošanu noslēgšanas. Finansējuma saņēmējam avansu var piešķirt līdz 30 procentiem no projektam piešķirtā ESF+ finansējuma un valsts budžeta līdzfinansējuma kopsummas, ja tas paredzēts projektā, ievērojot, ka avansu var izmaksāt vairākos maksājumos un avansa un  starpposma maksājumu kopsumma nepārsniedz 95 procentus no projektam piešķirtā ESF+ un valsts budžeta finansējuma kopsummas.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Biedrību un nodibinājumu likumu biedrības un nodibinājuma darbībai nav peļņas gūšanas rakstura, attiecīgi biedrības un nodibinājumi finansējumu savai darbībai nodrošina, piesaistot valsts budžeta un ārvalstu finansējumu projektu īstenošanai, līdz ar to, lai mazinātu projekta finanšu plūsmas riskus, būtiski paredzēt, ka biedrībai vai nodibinājumam avansa un starpposma maksājuma kopsumma nepārsniedz 95 procentus no projektam piešķirtā ESF+ un valsts budžeta 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skaidrot, un papildināt anotāciju, ar informāciju, kāpēc tika izvēlēta tieši biedrība “Latvijas Pilsoniskā alianse” kā finansējuma saņēmējs, nevis kāds cits no plānotajiem sadarbības partneriem, un vai pārējiem sadarbības partneriem tika tāda iespēja piedāvāta, kļūt, par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skaidrots, ka biedrība “Latvijas Pilsoniskā alianse” ir nacionāla mēroga organizācija, savukārt plānotie sadarbības partneri ir reģionāla mēroga organizācijas.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anotācija papildināta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starp visiem projekta īstenošanā iesaistītajiem partneriem par to, kas uzņemsies projekta iesniedzēja lomu, panākta 2024. gada 30. septembra sanāksmē, kurā piedalījās visi projektā iesaistītie partneri un Kultūras ministrijas pārstāvji.”.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skaidrot, vai finansējuma saņēmēja maiņa neietekmēs arī rezultāta rādītāja r.4.3.4.f “Nevalstisko organizāciju un kopienas pārstāvju skaits, kam stiprinātas spējas veicināt sabiedrības noturību” sasniedzamo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līdz ar finansējuma saņēmēja maiņu, Noteikumu projekts precizēts nosakot, ka kopienas atbalsta tīkla izveidei gan finansējuma saņēmējs, gan sadarbības partneri katrā reģionā piesaista vismaz 12 partnerus (nevalstiskās organizācijas un/vai kopienas pārstāvjus).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visiem 4.3.4.9. pasākuma intervences kodiem, atbilstošo Eiropas Savienības kohēzijas politikas programmas 2021.-2027. gadam papildinājumam.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iespējamo dubultā finansējuma risku, aicinām papildināt anotāciju ar informāciju par sadaļā "Risinājuma apraksts" minētās Kultūras ministrijas īstenotās programmas "Reģionu NVO atbalsta programma" demarkāciju ar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“Reģionu NVO atbalsta programma” īstenotājs ir Kultūras ministrija, plānojot kārtējā gada “Reģionu NVO atbalsta programmu” un tajā atbalstāmās darbības tiks noteikta demarkācija ar 4.3.4.9. pasākumu, paredzot, ka atbalstam plānotais finansējuma izlietojums un veicamie uzdevumi tiks noteikti papildinoši, izslēdzot dubultā 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sadaļas apakšsadaļas "Juridiskās personas" atbilstošajā apakšsadaļā "Ietekmes apraksts" noteikts, ka</w:t>
            </w:r>
            <w:r w:rsidR="00000000" w:rsidRPr="00000000" w:rsidDel="00000000">
              <w:rPr>
                <w:i w:val="1"/>
                <w:rtl w:val="0"/>
              </w:rPr>
              <w:t xml:space="preserve"> [..] Sabiedrības integrācijas fonds pildīs finansējuma saņēmēja funkcijas un Kultūras ministrija pildīs atbildīgās iestādes funkcijas</w:t>
            </w:r>
            <w:r w:rsidR="00000000" w:rsidRPr="00000000" w:rsidDel="00000000">
              <w:rPr>
                <w:rtl w:val="0"/>
              </w:rPr>
              <w:t xml:space="preserve">. </w:t>
            </w:r>
            <w:r w:rsidR="00000000" w:rsidRPr="00000000" w:rsidDel="00000000">
              <w:rPr>
                <w:i w:val="1"/>
                <w:rtl w:val="0"/>
              </w:rPr>
              <w:t xml:space="preserve">Vērtējot Projekta īstenošanas ietekmi uz administratīvajām procedūrām, ir identificējams administratīvā sloga palielinājums potenciālajiem finansējuma saņēmējiem un Eiropas Savienības fondu vadībā iesaistītajām institūcijām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otrajā teikumā sniegto informāciju un to precizēt, ņemot vērā to, ka Eiropas Savienības fondu vadībā iesaistītās institūcijas rīkosies tām normatīvajos aktos noteikto funkciju ietvaros, attiecīgi nav pamata apgalvojumam, ka tām palielināsies administratīvais slogs. Vienlaikus, kā minēts pirmajā teikumā, administratīvais slogs palielināsies atbildīgajai iestādei, jo atbildīgās iestādes atšķiras atkarībā no katra specifiskā atbalsta mērķa, taču pārējās Eiropas Savienības fondu vadībā iesaistītās institūcijas ir nemainīgas ar noteiktu funkciju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2.2. apakšsadaļu "Tiesiskā regulējuma ietekme uz tautsaimniecību" ar informāciju, ka 4.3.4.9.pasākumam ir ietekme uz tautsaimniecību, un ka ietekme ir aprakstīta anotācijas 8.1.4.apakšsadaļā, kur norādīta ietekme uz Latvijas Nacionālā attīstības plāna 2021.-2027. gadam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ES fondu pasākumu īstenošanas MK noteikumu anotācijas aizpildīšanai un, ievērojot vadlīnijās "Horizontālais princips “Vienlīdzība, iekļaušana, nediskriminācija un pamattiesību ievērošana” vadlīnijas īstenošanai un uzraudzībai  (2021-2027)" noteikto, lūdzu 8.2. sadaļu papildināt ar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noteikumos paredzētajiem horizontālā principa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iesniegumu vērtēšanas kritērija veidu, kura ietvaros projekta iesniedzējam ir jāsniedz informācija par šī horizontālā principa ievērošanu, paredzot specifiskas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citu informāciju, piemēram, informāciju par nosacījumu finansējuma saņēmējam veikt sociāli atbildīgus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20.2.punkts paredz ievērot horizontālo principu "Vienlīdzība, iekļaušana, nediskriminācija un pamattiesību ievērošana" un uzkrāt datus par projekta ietekmi uz šādiem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20.2.1.personu skaits, kas piedalījušās mācību programmās, kurās integrēti jautājumi par dzimumu līdztiesības, personu ar invaliditāti vienlīdzīgu iespēju, vecuma nediskriminācijas, etniskās piederības un citiem pamattiesību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20.2.2.konsultatīva rakstura pasākumu skaits par dzimumu līdztiesības, personu ar invaliditāti vienlīdzīgu iespēju, vecuma nediskriminācijas, etniskās piederības un citiem pamattiesību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pasākums tiks īstenots ierobežotas projektu iesniegumu atlases veidā. 4.3.4.9. pasākuma projekta iesnieguma vērtēšanā tiks definēts horizontālā principa “Vienlīdzība, iekļaušana, nediskriminācija un pamattiesību ievērošana” specifiskais atbilstības kritērijs (precizējamais kritērijs), par kuru var tikt pieņemts lēmums par projekta iesnieguma apstiprināšanu, vai apstiprināšanu ar nosacījumu, ja projekta iesniedzējs nodrošina pilnīgu atbilstību kritērijam lēmumā noteiktajā termiņā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noteikuma projekta 32.punktam projekta ietvaros ir atbalstāma sociāli atbildīga un inovatīva iepirkuma īstenošana un vides prasību integrācija preču un pakalpojumu  iepirkumos (zaļais publiskais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Kultūras ministrijai informēt Ministru kabinetu par priekšlikumiem rīcībai gadījumā, ja netiek saņemts pozitīvs Eiropas Komisijas lēmums par grozījumiem Eiropas Savienības Kohēzijas politikas programmā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protokollēmuma projekta 3.punktu šādā redakcijā: "Kultūras ministrijai informēt Ministru kabinetu par priekšlikumiem rīcībai gadījumā, ja netiek saņemts pozitīvs Eiropas Komisijas lēmums par pieteiktajiem rādītāju grozījumiem Eiropas Savienības Kohēzijas politikas programmā 2021.-2027.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Kultūras ministrijai informēt Ministru kabinetu par priekšlikumiem rīcībai gadījumā, ja netiek saņemts pozitīvs Eiropas Komisijas lēmums par pieteiktajiem rādītāju grozījumiem Eiropas Savienības Kohēzijas politikas programmā 2021.-2027. gadam.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24-TA-1536</w:t>
    </w:r>
    <w:r>
      <w:br/>
    </w:r>
    <w:r w:rsidR="00000000" w:rsidRPr="00000000" w:rsidDel="00000000">
      <w:rPr>
        <w:rtl w:val="0"/>
      </w:rPr>
      <w:t xml:space="preserve">27.11.2024. 16.44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24-TA-1536</w:t>
    </w:r>
    <w:r>
      <w:br/>
    </w:r>
    <w:r w:rsidR="00000000" w:rsidRPr="00000000" w:rsidDel="00000000">
      <w:rPr>
        <w:rtl w:val="0"/>
      </w:rPr>
      <w:t xml:space="preserve">27.11.2024. 16.44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Izziņa_24-TA-1536.docx</dc:title>
</cp:coreProperties>
</file>

<file path=docProps/custom.xml><?xml version="1.0" encoding="utf-8"?>
<Properties xmlns="http://schemas.openxmlformats.org/officeDocument/2006/custom-properties" xmlns:vt="http://schemas.openxmlformats.org/officeDocument/2006/docPropsVTypes"/>
</file>