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Ārkārtas situāciju valsts elektronisko sakaru tīkla (ĀSVEST) paplašināšanai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pārdali Ārkārtas situāciju valsts elektronisko sakaru tīkla (ĀSVEST)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Aizsardzības ministrijas izstrādāto rīkojuma projektu “Par finansējuma pārdali Ārkārtas situāciju valsts elektronisko sakaru tīkla (ĀSVEST)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atļaut Aizsardzības ministrijai pārdalīt finansējumu 2025. gadā 1 102 204 euro, 2026. gadā 73 796 euro, 2027. gadā 1 559 000 euro un 2028. gadā 220 157  euro no Aizsardzības ministrijas budžeta apakšprogrammas 22.12.00. “Nacionālo bruņoto spēku uzturēšana” uz Satiksmes ministrijas apakšprogrammu 04.01.00 “Ārkārtas situāciju valsts elektronisko sakaru tīkla darbības nodrošināšana”, lai nodrošinātu Ārkārtas situāciju valsts elektronisko sakaru tīkla (turpmāk ĀSVEST) paplašināšanu, ierīkojot ĀSVEST 3. kārtas piekļuves un pieslēguma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 VAS “Latvijas valsts radio un televīzijas centru” (turpmāk – LVRTC) 2019.gada 20.decembrī ir noslēgusi deleģēšanas līgumu “Par ārkārtas situāciju valsts elektronisko sakaru tīkla nodrošināšanu” (turpmāk – ĀSVEST deleģēšanas līgums), kurš ir spēkā no 2020.gada 1.janvāra līdz 2035.gada 31.decembrim (15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apzinās, ka valsts aizsardzības spēju vajadzību nodrošināšanai ir nepieciešams ārkārtas situāciju valsts elektronisko sakaru tīkls, vienlaikus LTRK nevar piekrist papildus budžeta līdzekļu novirzīšanai LVRTC deleģējuma līgumu ietvaros, ņemot vērā, ka pie papildus līdzekļu piešķiršanas un 3.kārtas izbūves nav veikts izvērtējums par to, vai joprojām minētas uzdevums ir jādeleģē vai arī šo pakalpojumu līdzvērtīgā vai pat tehnoloģiskā un drošības ziņā augstākā kvalitātē brīvos tirgus un konkurences apstākļos spēj nodrošināt citi tirgus dalībnieki, izvēloties tos atlases vai konkursa kārtībā. LTRK ieskatā pēc Aizsardzības ministrijas, Satiksmes ministrijas definētiem kritērijiem un valsts drošības dienestu ieteikumiem definētiem konkursa atlases kritērijiem Satiksmes ministrijai un valsts pārvaldei kopumā būtu iespēja salīdzināt un izvēlēties tehnoloģiski atbilstošāko pakalpojumu sniedzēju un, iespējams, arī finansiāli izdevīgāko risinājumu, kas budžeta izdevumu izvērtēšanas ietvaros nav mazsvarīgi. Neveicot deleģējuma izvērtējumu, tiek pārkāpti godīgas konkurences principi, kā arī var rasties nepieciešamība apsvērt, vai minētā deleģējuma līguma ietvaros piešķirtie papildus uzdevumi un piešķirtais papildus finansējums, nav uzskatāms par nepamatotu vai nesaskaņotu valsts atbalstu. Tāpēc LTRK aicina skaidrot deleģējuma apjoma paplašināšanas un papildu finansējuma piešķiršanas pamatotību un izvērtējumu – vai minētais deleģējums pamatots kā in-house iepirkums vai kā vispārējas tautsaimnieciskas nozīmes pakalpojums. Norādām, ka ne “in-house” jeb iekšēja iepirkuma principa, ne valsts atbalsta piemērošana nav pietiekams pamatojums konkurences ierobežošanai, jo, lai nodrošinātu pilnvērtīgu konkurenci, "in house" princips ir vēlams un piemērojams tikai tādos gadījumos, kad pastāv tirgus nepilnība un tirgū šo preču vai pakalpojumu pieejamību nespēj nodrošināt privātie tirgus dalībnieki. In-house izņēmuma piemērošana rūpīgi jāizsver konkrētā izņēmuma tvērums un piemērošanas nosacījumi, lai nepieļautu nepamatotu konkurences ierobežošanu un mazinātu neatļauta valsts atbalsta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valsts akciju sabiedrībai "Latvijas Valsts radio un televīzijas centrs" (LVRTC) par ārkārtas situāciju valsts elektronisko sakaru tīkla izveidošanu un uzturēšanu ir tieši saistīts ar valsts drošības un suverenitātes jautājumiem, kas esošajā ģeopolitiskajā situācijā ir būtiski un 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deleģējumiem netiek ne apšaubīta nozares spēja sniegt pakalpojumus, bet tiek nodrošināts, ka valsts savus aizsardzības risinājumus patur savā pārziņā bez riska, ko veido jebkurš pakalpojuma sniedzējs, kas darbojas (vai pārstāj darboties) tirgū un pieņem lēmumus uz finansiālā izdevīguma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uzraudzībai ir izstrādāta Satiksmes ministrijas iekšējā kārtība, kas ir saskaņā ar Valsts kontroles ieteikumiem, tostarp izslēdzot pārkompensācijas un šķērssubsidēšanas risku. Vienlaikus papildu uzraudzību nodrošina Aizsardzības ministrija, attiecīgi izskatot atskaites.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ir saskaņā ar Elektronisko sakaru likuma 4.panta otrās daļas 1. un 2.punktu, kur noteikts, ka Satiksmes ministrija atbilstoši kompetencei elektronisko sakaru nozarē nodrošina: 1) ārkārtas situāciju valsts elektronisko sakaru tīkla izveidošanu atbilstoši valsts drošības un aizsardzības jomā pieņemtajiem lēmumiem, kā arī tā uzturēšanu, darbību un uzraudzību; 2) ārkārtas situāciju valsts elektronisko sakaru tīkla pieslēgumu starptautisko organizāciju un citu juridisko personu tīkliem valsts funkciju īstenošanai, 27. panta pirmo daļu, Valsts pārvaldes iekārtas likuma 12.panta pirmās daļas 3.punktu un otro daļu, 40.panta pirmo daļu, 45.panta pirmo daļu, Ministru kabineta 2022.gada 9.augusta instrukciju Nr.4 “Ārkārtas situāciju elektronisko sakaru tīkla nodrošināšanas un lietošanas kārtība”, Ministru kabineta 2018.gada 26.septembra rīkojumu Nr.463 “Par institūcijām, kurām nodrošināma piekļuve ārkārtas situāciju valsts elektronisko sakaru tīklam”, Ministru kabineta 2020.gada 5.jūnija rīkojumu Nr.302 “Grozījumi Ministru kabineta 2018.gada 26.septembra rīkojumā Nr.463 “Par institūcijām, kurām nodrošināma piekļuve ārkārtas situāciju valsts elektronisko sakaru tīklam”, Ministru kabineta 2019.gada 22.oktobra sēdes protokollēmuma (prot.Nr.49, 49.§) “Informatīvais ziņojums “Par Latvijas Republikas ārējās robežas stiprināšanu”, Ministru kabineta 2019.gada 9.jūlija rīkojumu Nr.344 “Par ārkārtas situāciju valsts elektronisko sakaru tīkla izbūves un elektronisko sakaru pakalpojumu centra izveides deleģēšanu valsts akciju sabiedrībai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saistībā ar Satiksmes ministrijas nolikumā minētajiem deleģējumiem Latvijas Valsts radio un televīzijas centram, ņemot vērā biedrības “Latvijas Tirdzniecības un rūpniecības kamera” un biedrības “Latvijas Darba devēju konfederācija” iesniegumu, Konkurences padome (05.10.2023. vēstule Nr. 1.7-1/1206 ) sniedza viedokli , ka tai nav pamata apšaubīt noslēgto deleģējuma līgumu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Konkurences padomes vēstulē norādītājam, deleģējuma līguma termiņam izbeidzoties, satiksmes ministrija plāno pārvērtēt pamatojumu pārvaldes uzdevumu deleģēšanai Latvijas Valsts radio un televīzijas centram, pēc iespējas rīkojot konkursus par tiesībām nodrošināt deleģēto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finansējuma piešķiršanu Ārkārtas situāciju valsts elektronisko sakaru tīkla (ĀSVEST) paplašināšanai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Ārkārtas situāciju valsts elektronisko sakaru tīkla paplašināšanu, ierīkojot ĀSVEST 3. kārtas piekļuves un pieslēguma punktus, atļaut Aizsardzības ministrijai no budžeta apakšprogrammas 22.12.00 “Nacionālo bruņoto spēku uzturēšana” piešķirt finansējumu 2025. gadā 1 102 204 euro, 2026. gadā 73 796 euro, 2027. gadā 1 559 000 euro un 2028. gadā 220 157  euro kā transfertu uz Satiksmes ministrijas budžeta apakšprogrammu 04.01.00 “Ārkārtas situāciju valsts elektronisko sakaru tīkla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un Satiksmes ministrijai normatīvajos aktos noteiktajā kārtībā saskaņot savstarpējos transfertus un iesniegt Finanšu ministrijā priekšlikumus apropriācijas izmaiņām 2025. gadā un priekšlikumus par bāzes izdevumu precizēšanu 2026-.2028.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Aizsardzības ministrijai noslēgt vienošanos ar Satiksmes ministriju, paredzot piešķirto līdzekļu izlietojuma kontroli un nosakot, ka par grāmatvedības datu pareizību un finanšu līdzekļu izlietojumu atbilstoši šā rīkojuma 1. punktā minētajam mērķim ir atbildīga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Aizsardzības ministrijas izstrādāto rīkojuma projektu “Par finansējuma pārdali Ārkārtas situāciju valsts elektronisko sakaru tīkla (ĀSVEST)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pamats pieņemt, ka komersanti, kas darbojas tirgū nav uzticami un tie kaut kādā brīdī varētu pārtraukt pakalpojuma nodrošināšanu. Turklāt kritērijus šāda pakalpojuma iepirkšanai var izstrādāt tādus, kas mazina gan drošības riskus, gan pakalpojuma nodrošinājuma ilgtermiņa risku, gan uzņēmuma finansiālo stāvokli. Ne mazāk svarīgi, ka publiski pieejamā informācija liecina, ka uzņēmumi, kas varētu iesaistīties pakalpojuma nodrošināšanā, ir atzīti par nacionālajai drošībai nozīmīgiem tiesību subjektiem. Līdz ar to LTRK ieskatā nav saprotams, kāpēc subjekti ar šo statusu netiek iesaistīti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vēstule, uz ko izzņā atsaucas ministrija, ietver arī Konkurences padomes viedokli attiecībā uz to, kā jāpiemēro Valsts pārvaldes iekārtas likuma 40. panta pirmajā daļā ietverts deleģējuma līgumu slēgšanas pamatprincips – deleģēt pārvaldes uzdevumu iespējams, ja pilnvarotā persona pārvaldes uzdevumu var veikt efektīvāk. Minētais izriet arī no valsts pārvaldes principa, kas nosaka pienākumu valsts pārvaldi organizēt pēc iespējas efektīvi . Efektivitātes princips sevī ietver arī pienākumu valsts pārvaldes institucionālo sistēmu pastāvīgi pārbaudīt un, ja nepieciešams, pilnveidot, izvērtējot arī funkciju apjomu, nepieciešamību un koncentrācijas pakāpi, normatīvā regulējuma apjomu un detalizāciju un apsverot deleģēšanas iespējas vai ārpakalpojuma izmantošanu. Šobrīd, kad efektīva publisko līdzekļu izmantošana ir vēl būtiskāka, salīdzinot ar brīdi, kad deleģēšanas līgumi tika noslēgti, ir svarīgi no jauna izvērtēt, vai tiešām sabiedrībai tiek sniegts visefektīvākais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vērš Aizsardzības ministrijas uzmanību, ka 2025. gada 21. februārī Ministru prezidente Evika Siliņa nāca klajā ar valdības uzrāviena plānu un konkrētiem prioritārajiem uzdevumiem, kas valdībai jāpaveic šī gada laikā. Viens no pasākumiem paredz vismaz 5% publisko pakalpojumu nodot privātajam sektoram. LTRK ieskatā šī ir iespēja, ko publiskā pārvalde var izmantot, lai valdības vadītājas nodomu atbalstītu un īstenotu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nepiekrīt ministrijas skaidrojumam un turpina uzturēt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skaidrojumā sniegto viedokli uz abiem iebildumiem. Vēršam uzmanību, ka  deleģējuma līguma slēgšana ar komersantiem ir Satiksmes ministrijas kompetence, tā plāno pārvērtēt pamatojumu pārvaldes uzdevumu deleģēšanai LVRTC, pēc iespējas rīkojot konkursus par tiesībām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Aizsardzības ministrijai no budžeta apakšprogrammas 22.12.00 “Nacionālo bruņoto spēku uzturēšana” piešķirt finansējumu 2025. gadā 1 102 204 euro, 2026. gadā 73 796 euro, 2027. gadā 1 559 000 euro un 2028. gadā 220 157  euro kā transfertu uz Satiksmes ministrijas budžeta apakšprogrammu 04.01.00 “Ārkārtas situāciju valsts elektronisko sakaru tīkla darbības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Ārkārtas situāciju valsts elektronisko sakaru tīkla paplašināšanu, ierīkojot ĀSVEST 3. kārtas piekļuves un pieslēguma punktus, atļaut Aizsardzības ministrijai pārdalīt finansējumu 2025. gadā 1 102 204 euro, 2026. gadā 73 796 euro, 2027. gadā 1 559 000 euro un 2028. gadā 220 157  euro no Aizsardzības ministrijas budžeta apakšprogrammas 22.12.00. “Nacionālo bruņoto spēku uzturēšana” uz Satiksmes ministrijas apakšprogrammu 04.01.00 “Ārkārtas situāciju valsts elektronisko sakaru tīkla 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un Satiksmes ministrijai normatīvajos aktos noteiktajā kārtībā saskaņot savstarpējos transfertus un iesniegt Finanšu ministrijā priekšlikumus apropriācijas pārdalei kārtējā saimnieciskajā gadā un priekšlikumus par finansējuma pārdali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noslēgt vienošanos ar Satiksmes ministriju, paredzot piešķirto līdzekļu izlietojuma kontroli un nosakot, ka par grāmatvedības datu pareizību un finanšu līdzekļu izlietojumu atbilstoši šā rīkojuma 1. punktā minētajam mērķim ir atbildīga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finansējuma piešķiršanu Satiksmes ministrijai ne tikai 2025.gadam, bet arī 2026.-2028. gadam, lūdzam precizēt Ministru kabineta rīkojuma projekta 2. punktu, paredzot uzdevumu Aizsardzības ministrijai un Satiksmes ministrijai iesniegt priekšlikumus bāzes izdevumu precizēšanai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un Satiksmes ministrijai normatīvajos aktos noteiktajā kārtībā saskaņot savstarpējos transfertus un iesniegt Finanšu ministrijā priekšlikumus apropriācijas izmaiņām 2025. gadā un priekšlikumus par bāzes izdevumu precizēšanu 2026-.2028.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Aizsardzības ministrijai no budžeta apakšprogrammas 22.12.00 “Nacionālo bruņoto spēku uzturēšana” piešķirt finansējumu 2025. gadā 1 102 204 euro, 2026. gadā 73 796 euro, 2027. gadā 1 559 000 euro un 2028. gadā 220 157  euro kā transfertu uz Satiksmes ministrijas budžeta apakšprogrammu 04.01.00 “Ārkārtas situāciju valsts elektronisko sakaru tīkla darbības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nodrošinātu Ārkārtas situāciju valsts elektronisko sakaru tīkla paplašināšanu, ierīkojot ĀSVEST 3. kārtas piekļuves un pieslēguma punktus, atļaut Aizsardzības ministrijai pārdalīt finansējumu 2025. gadā 1 102 204 euro, 2026. gadā 73 796 euro, 2027. gadā 1 559 000 euro un 2028. gadā 220 157  euro no Aizsardzības ministrijas budžeta apakšprogrammas 22.12.00. “Nacionālo bruņoto spēku uzturēšana” uz Satiksmes ministrijas apakšprogrammu 04.01.00 “Ārkārtas situāciju valsts elektronisko sakaru tīkla 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un Satiksmes ministrijai normatīvajos aktos noteiktajā kārtībā saskaņot savstarpējos transfertus un iesniegt Finanšu ministrijā priekšlikumus apropriācijas pārdalei kārtējā saimnieciskajā gadā un priekšlikumus par finansējuma pārdali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noslēgt vienošanos ar Satiksmes ministriju, paredzot piešķirto līdzekļu izlietojuma kontroli un nosakot, ka par grāmatvedības datu pareizību un finanšu līdzekļu izlietojumu atbilstoši šā rīkojuma 1. punktā minētajam mērķim ir atbildīga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 punkts paredz veikt pārdali starp ministrijām, savukārt 2. punkts uzdod abām ministrijām saskaņot savstarpējos transfertus. Ņemot vērā, ka atbilstoši Likumam par budžetu un finanšu vadību tās ir divas dažādas darbības, lūdzam precizēt Ministru kabineta rīkojuma projekta 1. punktu, paredzot, ka finansējums tiek piešķirts transferta veidā (skat. piedāvāto redakciju). Lūdzam arī attiecīgi precizēt rīkojuma projekta nosaukumu, vārdu “pārdali” aizstājot ar vārdu “piešķiršanu”, kā arī veikt attiecīgus precizējumus anotācijas 1.3.sadaļā un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Ārkārtas situāciju valsts elektronisko sakaru tīkla paplašināšanu, ierīkojot ĀSVEST 3. kārtas piekļuves un pieslēguma punktus, atļaut Aizsardzības ministrijai no budžeta apakšprogrammas 22.12.00 “Nacionālo bruņoto spēku uzturēšana” piešķirt finansējumu 2025. gadā 1 102 204 euro, 2026. gadā 73 796 euro, 2027. gadā 1 559 000 euro un 2028. gadā 220 157  euro kā transfertu uz Satiksmes ministrijas budžeta apakšprogrammu 04.01.00 “Ārkārtas situāciju valsts elektronisko sakaru tīkla darbības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Aizsardzības ministrijai no budžeta apakšprogrammas 22.12.00 “Nacionālo bruņoto spēku uzturēšana” piešķirt finansējumu 2025. gadā 1 102 204 euro, 2026. gadā 73 796 euro, 2027. gadā 1 559 000 euro un 2028. gadā 220 157  euro kā transfertu uz Satiksmes ministrijas budžeta apakšprogrammu 04.01.00 “Ārkārtas situāciju valsts elektronisko sakaru tīkla darbības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norādīts, ka ĀSVEST 3. kārtas piekļuves un pieslēguma punktu izveidei, pamatojoties uz LVRTC izmaksu aprēķinu, nepieciešams kopējais finansējums 5 116 687,70 euro. Lūdzam papildināt anotāciju ar detalizētiem aprēķiniem ĀSVEST 3. kārtas piekļuves un pieslēguma punktu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norādītās izdevumu pozīcijas un to summas, kas veido papildu nepieciešamo finansējumu 5 116 687,70 </w:t>
            </w:r>
            <w:r w:rsidR="00000000" w:rsidRPr="00000000" w:rsidDel="00000000">
              <w:rPr>
                <w:i w:val="1"/>
                <w:rtl w:val="0"/>
              </w:rPr>
              <w:t xml:space="preserve">euro </w:t>
            </w:r>
            <w:r w:rsidR="00000000" w:rsidRPr="00000000" w:rsidDel="00000000">
              <w:rPr>
                <w:rtl w:val="0"/>
              </w:rPr>
              <w:t xml:space="preserve">apmērā, jo saskaitot tās, papildu nepieciešamā finansējuma kopsumma veidojas 4 593 865,91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25-TA-1145</w:t>
    </w:r>
    <w:r>
      <w:br/>
    </w:r>
    <w:r w:rsidR="00000000" w:rsidRPr="00000000" w:rsidDel="00000000">
      <w:rPr>
        <w:rtl w:val="0"/>
      </w:rPr>
      <w:t xml:space="preserve">28.08.2025. 23.38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25-TA-1145</w:t>
    </w:r>
    <w:r>
      <w:br/>
    </w:r>
    <w:r w:rsidR="00000000" w:rsidRPr="00000000" w:rsidDel="00000000">
      <w:rPr>
        <w:rtl w:val="0"/>
      </w:rPr>
      <w:t xml:space="preserve">28.08.2025. 23.38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Izziņa_25-TA-1145.docx</dc:title>
</cp:coreProperties>
</file>

<file path=docProps/custom.xml><?xml version="1.0" encoding="utf-8"?>
<Properties xmlns="http://schemas.openxmlformats.org/officeDocument/2006/custom-properties" xmlns:vt="http://schemas.openxmlformats.org/officeDocument/2006/docPropsVTypes"/>
</file>