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23-TA-1898: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15. septembra noteikumos Nr. 1060 "Noteikumi par bīstamo un piesārņojošo kravu apriti un kontroli ostās"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(05.03.2011.)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 punktā minēto lūdzam noteikumu projekta anotācijā skaidrot, kādēļ Ministru kabineta 2009. gada 15. septembra noteikumos Nr. 1060 "Noteikumi par bīstamo un piesārņojošo kravu apriti un kontroli ostās" tiek svītrota prasība, kas paredz, ka jāiesniedz izņēmumu sertifikāts (</w:t>
            </w:r>
            <w:r w:rsidR="00000000" w:rsidRPr="00000000" w:rsidDel="00000000">
              <w:rPr>
                <w:i w:val="1"/>
                <w:rtl w:val="0"/>
              </w:rPr>
              <w:t xml:space="preserve">Certificate Exempting a Substance, Material from the Provisions of IMDG Code</w:t>
            </w:r>
            <w:r w:rsidR="00000000" w:rsidRPr="00000000" w:rsidDel="00000000">
              <w:rPr>
                <w:rtl w:val="0"/>
              </w:rPr>
              <w:t xml:space="preserve">) par vielām un materiāliem, uz kuriem neattiecas IMDG kodeksā minētās prasības (piemēram, kokogles, zivju milti).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MK noteikumu Nr.1060 apakšpunkti (14.3.; 14.4.1.; 14.4.2.; 14.4.3.) ir attiecināmi tikai uz bīstamām un piesārņojošām kravām iepakotā veidā, kas saskaņā ar SOLAS konvencijas VII nodaļas 4.noteikumā noteikto atsaucas uz  IMDG kodeksa 5.4.nodaļu (Documentation),  kur savukārt ir uzskaitīta visa nepieciešamā informācija. Tādējādi  Projekts paredz, ka no MK noteikumiem Nr.1060 tiek svītrotas prasības, ka jāiesniedz informācija par rīcību situācijā, ja noticis negadījums (14.3.); izņēmumu sertifikāts (Certificate Exempting a Substance, Material from the Provisions of IMDG Code) par vielām un materiāliem, uz kuriem neattiecas IMDG kodeksā minētās prasības (piemēram, kokogles, zivju milti);(14.4.1.); sertifikāts par piemērotību laikapstākļu ietekmei (Weathering Certificate) (14.4.2.); saskaņojums par jaunām pašreaģējošām vielām un organiskajiem peroksīdiem, kuru izsniegusi minēto vielu izcelsmes valsts kompetentā institūcija attiecībā uz to klasifikācijas un transportēšanas nosacījumiem (14.4.3.).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formalitātes, kas saistītas ar kuģa ienākšanu ostā un iziešanu no tās nosaka Ministru kabineta 2012.gada 15.maija noteikumi Nr.339 "Noteikumi par ostu formalitātēm", tai skaitā nosakot arī informācijas sniegšanas prasības pirms kuģis ienāk ostā.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ņemot vērā, ka noteikumu projeka paredzētie grozījumi varētu stāties spēkā vēlāk nekā kalendārā gada pirmajā mēnesī, ir jāiekļauj pārejas noteikumi attiecībā uz grozīto Ministru kabineta noteikumu 4.</w:t>
            </w:r>
            <w:r w:rsidR="00000000" w:rsidRPr="00000000" w:rsidDel="00000000">
              <w:rPr>
                <w:vertAlign w:val="superscript"/>
                <w:rtl w:val="0"/>
              </w:rPr>
              <w:t xml:space="preserve">1</w:t>
            </w:r>
            <w:r w:rsidR="00000000" w:rsidRPr="00000000" w:rsidDel="00000000">
              <w:rPr>
                <w:rtl w:val="0"/>
              </w:rPr>
              <w:t xml:space="preserve"> punkta un 5.3.apakšpunkta piemērošanas kārtību. Saistībā ar minēto vēršam uzmanību, ka attiecīgs regulējums noteikumu projektā nav iekļauts, tādēļ lūdzam atbilstoši papildināt noteikumu projektu vai precizēt noteikumu projekta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attiecīgā informācija anotācijā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nodrošināt, ka noteikumu projekta anotācijā ir sniegts skaidrojums par visiem noteikumu projektā paredzētajiem grozījumiem, tostarp arī noteikumu projekta 1. (skaidrojums sniegts vienīgi par izmaiņām attiecīgo Ministru kabineta noteikumu 2.1.5. apakšpunktā), 40. un 41. punktā minētajiem.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noteikumu projekta anotācijā ir sniegts skaidrojums par visiem noteikumu projektā paredzētajiem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aizpildīt noteikumu projekta anotācijas 5. sadaļu, jo īpaši - 5.4. sadaļas 1. tabulu, sniedzot izvērstu skaidrojumu par Eiropas Parlamenta un Padomes 2002. gada 27. jūnijas Direktīvā 2002/59/EK, ar ko izveido Kopienas kuģu satiksmes uzraudzības un informācijas sistēmu un atceļ Padomes Direktīvu 93/75/EEK un Eiropas Parlamenta un Padomes 2009. gada 23. aprīļa Direktīvā 2009/17/EK, ar kuru groza Direktīvu 2002/59/EK, ar ko izveido Kopienas kuģu satiksmes uzraudzības un informācijas sistēmu, ietverto prasību pārņemšanu nacionālajā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skaidrot, kā ar noteikumu projektu tiek izpildītas anotācijas 5. sadaļā minētie un citos starptautiskajos dokumentos, uz kuriem norādīts noteikumu projektā, ietvertās saistības, norādot attiecīgo saistību būtību, un to izpildei veicamos pasākumus un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 punktā noteikto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anotācijas 5.4. sadaļas 1. tabulā skaidrot Eiropas Parlamenta un Padomes 2002. gada 27. jūnija Direktīvas 2002/59/EK, ar ko izveido Kopienas kuģu satiksmes uzraudzības un informācijas sistēmu un atceļ Padomes Direktīvu 93/75/EEK (turpmāk - direktīva Nr. 2002/59/EK), 13. panta 3. punktā ietvertās rīcības brīvības izmantošanu vai neizmantošanu, papildinot aili (sniedzot pamatojumu) par dalībvalsts rīcības brīvības izmantošanu, norādot minēto normu, kas paredz rīcības brīvību, kādā veidā minētā rīcības brīvība ir izmantota noteikumu projektā, un to, kādēļ ir vai nav izmantota attiecīgā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anotācijas 5.4. sadaļas 1. tabulā detalizētāk skaidrot minētās direktīvas 12. panta katra punkta (apakšpunkta)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anotācijas 5.5. sadaļas 2. tabulā skaidrot, kādu konkrēti saistību nepārtrauktība tiek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Eiropas Parlamenta un Padomes 2002. gada 27. jūnija Direktīvas 2002/59/EK, ar ko izveido Kopienas kuģu satiksmes uzraudzības un informācijas sistēmu un atceļ Padomes Direktīvu 93/75/EEK (turpmāk - direktīva Nr. 2002/59/EK), 13. panta 3. punktā ietvertās rīcības brīvības izmantošanu vai neizmantošanu, konstatēts, ka direktīvas Nr. 2002/59/EK 13.panta 1., 2. un 3.punkts jau ir pārņemts ar Ministru kabineta 2012.gada 15.maija noteikumiem Nr.339 “Noteikumi par ostu formalitāēm”, tādējādi no noteikumu projekta anotācijas 5.4.sadaļas I tabulas atsauce uz direktīvas Nr. 2002/59/EK 13.panta otro daļu ir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Kaitīgu šķidru vielu pārpalikumu, to saturošu mazgājamo un pirmsmazgāšanas ūdeņu nodošana ostas atkritumu pieņemšanas iekārtās notiek atbilstoši attiecīgās ostas kuģu atkritumu pieņemšanas un apsaimniekošanas plānam saskaņā ar MARPOL konvencijas II 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punktā un citos līdzīgos gadījumos konkretizēt attiecīgo starptautisko līgumu pielikumu vienības, kurās ietverts attiecīgais regulējums,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Kaitīgu šķidru vielu kravas pārpalikumus, to saturošu mazgājamo un pirmsmazgāšanas ūdeņus un citus šo vielu saturošus maisījumus kuģis nodod ostas atkritumu pieņemšanas iekārtās saskaņā ar MARPOL konvencijas II pielikuma 13.noteikuma prasībām un normatīvajos aktos par kuģu atkritumu pieņemšanas kārtību un kuģu atkritumu apsaimniekošanas plānu izstrādes kārtību noteiktajam, ja ostā ir pieejama atbilstoša ostas atkritumu pieņemšanas iekārta šādu kravas pārpalikumu, to saturošu mazgājamo un pirmsmazgāšanas ūdeņu un citu šo vielu saturošu maisījumu nodošanai.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Kaitīgu šķidru vielu pārpalikumu, to saturošu mazgājamo un pirmsmazgāšanas ūdeņu nodošana ostas atkritumu pieņemšanas iekārtās notiek atbilstoši attiecīgās ostas kuģu atkritumu pieņemšanas un apsaimniekošanas plānam saskaņā ar MARPOL konvencijas II 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32.-34. punktu nepieciešams izvērtēt un precizēt.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skaidrs, uz kuru tiesību subjektu attiecīgās prasības ir attiecināmas, tādēļ nepieciešams norādīt uz attiecīgo pienākumu subjektu vai subjektiem. Vienlaikus norādām, ka, piemēram, atsauce uz ostas kuģu atkritumu pieņemšanas un apsaimniekošanas plānu ir pieļaujama vienīgi gadījumā, ja minētās prasības ir jāpilda ostai, kam minētais plāns ir saistošs;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noteikumu projekta 33. punkta neizriet sekas, ja ostā nav pieejama atbilstoša ostas atkritumu pieņemšanas iekārta šādu pārpalikumu vai to maisījumu pieņemšanai, proti, kā jārīkojas ar attiecīgo vielu pārpalikumiem un to saturošo ūdens maisījumu.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precizēts noteikumu projekta 32., 33. un 34.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Kaitīgu šķidru vielu kravas pārpalikumus, to saturošu mazgājamo un pirmsmazgāšanas ūdeņus un citus šo vielu saturošus maisījumus kuģis nodod ostas atkritumu pieņemšanas iekārtās saskaņā ar MARPOL konvencijas II pielikuma 13.noteikuma prasībām un normatīvajos aktos par kuģu atkritumu pieņemšanas kārtību un kuģu atkritumu apsaimniekošanas plānu izstrādes kārtību noteiktajam, ja ostā ir pieejama atbilstoša ostas atkritumu pieņemšanas iekārta šādu kravas pārpalikumu, to saturošu mazgājamo un pirmsmazgāšanas ūdeņu un citu šo vielu saturošu maisījumu nodošanai.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b w:val="1"/>
                <w:rtl w:val="0"/>
              </w:rPr>
              <w:t xml:space="preserve">Ja Y vai Z kategorijas kaitīgas šķidras vielas izkraušana ostā nenotiek saskaņā ar kuģa Procedūru un iekārtu rokasgrāmatu (</w:t>
            </w:r>
            <w:r w:rsidR="00000000" w:rsidRPr="00000000" w:rsidDel="00000000">
              <w:rPr>
                <w:b w:val="1"/>
                <w:i w:val="1"/>
                <w:rtl w:val="0"/>
              </w:rPr>
              <w:t xml:space="preserve">Procedures and Arrangements Manual</w:t>
            </w:r>
            <w:r w:rsidR="00000000" w:rsidRPr="00000000" w:rsidDel="00000000">
              <w:rPr>
                <w:b w:val="1"/>
                <w:rtl w:val="0"/>
              </w:rPr>
              <w:t xml:space="preserve">), tad kuģa tanku pirmsmazgāšanu veic pirms kuģis atstāj izkraušanas ostu. Kuģa tanku pirmsmazgāšanas ūdeņus novada ostas atkritumu pieņemšanas iekārtā vai citā ostā, kur ir piemērota pieņemšanas iekārta, ja kuģis ir saņēmis rakstisku apstiprinājumu, ka šajā ostā pieņemšanas iekārta ir pieejama un piemērota minētajam nolūkam.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6. punktā minēto atkārtoti lūdzam noteikumu projektā nedublēt starptautisko līgumu prasības, t.i., noteikumu projekta 34. punktā nedublēt 1973. gada Starptautiskās konvencijas par piesārņošanas novēršanu no kuģiem un tās 1978. gada protokola (turpmāk - MARPOL), atbilstoši precizējot noteikumu projektu un tā vietā izdarot atbilstošas atsauces uz konkrēto starptautisko līgumu. Noteikumu projekta anotācijā norādīts, ka jaunā prasība noteikumu projektā paredz izslēgt tos MARPOL konvencijas II pielikuma 16.noteikumu 1.punktā minētos gadījumus, kad šajā punktā minētais inspektors nosaka alternatīvus pasākumus kravas pārpalikumu aizvākšanai no kuģa, līdz ar to nav nepieciešama inspektora vizīte uz kuģa. Tomēr vēršam uzmanību, ka minētās MARPOL prasības daļēja pārrakstīšana, ņemot vērā to, ka MARPOL ir tieši piemērojama un kolīzijas gadījumā jebkurā gadījumā būs piemērojams MARPOL, nevis noteikumu projekts, neatrisina noteikumu projekta anotācijā norādīto problemātiku un, ja MARPOL konvencijas II pielikuma 16.noteikuma 1.punktā minēto inspektoru pilnvarošana ir MARPOL dalībvalstīm obligāta, tad nacionālajos normatīvajos aktos ir jānodrošina atbilstošs pilnvarojums vai jāskaidro pamatojums, lai attiecīgu pilnvarojumu neparedzētu (anotācijā minēts, ka Latvija nav pilnvarojusi īpašus MARPOL konvencijas II pielikuma 16.noteikuma 1.punktā minētos inspektorus. Vienlaikus gan arī norādīts, ka šīs funkcijas pagaidām veic VSIA “Latvijas Jūras administrācija” ostas valsts kontroles inspektori).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Y vai Z kategorijas kaitīgas šķidras vielas izkraušana ostā nenotiek saskaņā ar kuģa Procedūru un iekārtu rokasgrāmatu (</w:t>
            </w:r>
            <w:r w:rsidR="00000000" w:rsidRPr="00000000" w:rsidDel="00000000">
              <w:rPr>
                <w:i w:val="1"/>
                <w:rtl w:val="0"/>
              </w:rPr>
              <w:t xml:space="preserve">Procedures and Arrangements Manual</w:t>
            </w:r>
            <w:r w:rsidR="00000000" w:rsidRPr="00000000" w:rsidDel="00000000">
              <w:rPr>
                <w:rtl w:val="0"/>
              </w:rPr>
              <w:t xml:space="preserve">), tad pirmsmazgāšanu veic pirms kuģis atstāj izkraušanas ostu, tanku pirmsmazgāšanas ūdeņus novada ostas atkritumu pieņemšanas iekārtā vai citā ostā, kur ir piemērota pieņemšanas iekārta, ja kuģis ir saņēmis rakstisku apstiprinājumu, ka šajā ostā pieņemšanas iekārta ir pieejama un piemērota minētajam nolūkam.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 piemēram, noteikumu projekta 34. punktu) nedublēt 1973. gada Starptautiskās konvencijas par piesārņošanas novēršanu no kuģiem un tās 1978. gada protokola un citu starptautisku līgumu prasības, atbilstoši precizējot noteikumu projektu un tā vietā izdarot atbilstošas atsauces uz attiecīgo starptautisko līgumu prasībām. Kā arī lūdzam noteikumu projektā lietot minētajos starptautiskajos līgumos lietoto terminoloģiju vai skaidrot noteikumu projektā lietoto terminoloģiju (piemēram, terminu "pārpalikums")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34.</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35.4.4. saskaņotā iekraušanas vai izkraušanas plāna, kuģa/krasta kontroles lapas un MSDS atbilstību Tankkuģu drošības norādījumos (ķīmiskās vielas) (</w:t>
            </w:r>
            <w:r w:rsidR="00000000" w:rsidRPr="00000000" w:rsidDel="00000000">
              <w:rPr>
                <w:i w:val="1"/>
                <w:rtl w:val="0"/>
              </w:rPr>
              <w:t xml:space="preserve">Tanker Safety Guide (Chemicals)</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35. punktā minēto Tankkuģu drošības norādījumu (ķīmiskās vielas) (</w:t>
            </w:r>
            <w:r w:rsidR="00000000" w:rsidRPr="00000000" w:rsidDel="00000000">
              <w:rPr>
                <w:i w:val="1"/>
                <w:rtl w:val="0"/>
              </w:rPr>
              <w:t xml:space="preserve">Tanker Safety Guide (Chemicals)</w:t>
            </w:r>
            <w:r w:rsidR="00000000" w:rsidRPr="00000000" w:rsidDel="00000000">
              <w:rPr>
                <w:rtl w:val="0"/>
              </w:rPr>
              <w:t xml:space="preserve">)  saturu un saistošo spēku attiecībā uz privātpersonām. Nepieciešamības gadījumā lūdzam noteikumu projekta 35. punktā svītrot atsauci uz minēto dokumentu, ņemot vērā, ka atbilstoši Latvijas Republikas Satversmes 90. pantam normatīvajā aktā noteikta personas pienākuma saturam ir jābūt nepārprotami skaidram.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35.punkts precizē MK noteikumu Nr.1060 35.4.4. apakšpunktā minēto atsauci tankkuģim, kas pārvadā bīstamās ķīmiskās vielas kā lejamkravas no Starptautiskās naftas tankkuģu un termināļu drošības rokasgrāmatā (ISGOTT) minētajām prasībām uz Tankkuģu drošības norādījumos (Ķīmiskās vielas) minētajām prasībām,  un 35.5.2. apakšpunktā minēto atsauci tankkuģim, kas pārvadā sašķidrinātu gāzi kā lejamkravu no ISGOTT un Gāzvedēju tankkuģu un termināļu operatoru sabiedrības (SIGTTO) vadlīnijās minētajām prasībām uz Tankkuģu drošības norādījumos (Sašķidrināta gāze) minētajām prasībām. Tankkuģu drošības norādījumi (Tanker Safety Guide) ir iekļautas Starptautiskās Jūrniecības organizācijas izdoto pārskatīto 2007. gada 26.februāra rekomendāciju (MSC.1/Circ.1216 "Recommendations on the Safe Transport of Dangerous Cargoes and Related Activities in Port Areas") starptautiski atzīto norādījumu un kodeksu sarakstā. Šo vadlīniju mērķis ir saskaņot noteikumus ostas teritorijā ar kuģi, lai nodrošinātu netraucētu darbību un izvairītos no pārpratumiem starp kuģi un krastu. Vadlīnijas ir saskaņotas ar IMO ietvaros izdotajiem attiecīgiem kodeksiem un jo īpaši ar IMDG kodeksu.  Attiecīgi IMDG kodeksa esošās redakcijas 1.3.Nodaļas 1.3.1.7.punktā šīs vadlīnijas ir pieminētas kā atbilstošas IMDG kodeksa prasību īstenošanā. Vadlīnijas sākotnēji tika pieņemtas kā IMO Asamblejas rezolūcija A.289(VIII) 1973.gadā, kas savukārt ir vairākkārt grozīta. Saskaņā ar Jūrlietu pārvaldes un jūras drošības likuma 38.panta pirmajā daļā noteikto veicot kuģu kravas operācijas ar bīstamām un piesārņojošām kravām, piestātnes operators, kravas pārvaldītājs un kuģa kapteinis atbilstoši savai kompetencei atkarībā no kravas veida nodrošina SOLAS konvencijas, MARPOL konvencijas un kodeksu, to skaitā Starptautiskā jūras bīstamo kravu kodeksa (IMDG kodeksa), Starptautiskā jūras beramkravu kodeksa (IMSBC kodeksa), Starptautiskās rokasgrāmatas par drošību uz naftas tankkuģiem un naftas terminālos (ISGOTT), Starptautiskā naftas sabiedrību jūras foruma (OCIMF) Rokasgrāmatas par drošību terminālos sašķidrināto gāzu pārkraušanai uz kuģiem un citu starptautisko normatīvo aktu prasību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35.4.4. saskaņotā iekraušanas vai izkraušanas plāna, kuģa/krasta kontroles lapas un MSDS atbilstību Tankkuģu drošības norādījumos (ķīmiskās vielas) (</w:t>
            </w:r>
            <w:r w:rsidR="00000000" w:rsidRPr="00000000" w:rsidDel="00000000">
              <w:rPr>
                <w:i w:val="1"/>
                <w:rtl w:val="0"/>
              </w:rPr>
              <w:t xml:space="preserve">Tanker Safety Guide (Chemicals)</w:t>
            </w:r>
            <w:r w:rsidR="00000000" w:rsidRPr="00000000" w:rsidDel="00000000">
              <w:rPr>
                <w:rtl w:val="0"/>
              </w:rPr>
              <w:t xml:space="preserve">)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 ja kuģa pārbaudes laikā </w:t>
            </w:r>
            <w:r w:rsidR="00000000" w:rsidRPr="00000000" w:rsidDel="00000000">
              <w:rPr>
                <w:b w:val="1"/>
                <w:rtl w:val="0"/>
              </w:rPr>
              <w:t xml:space="preserve">konstatēti trūkumi</w:t>
            </w:r>
            <w:r w:rsidR="00000000" w:rsidRPr="00000000" w:rsidDel="00000000">
              <w:rPr>
                <w:rtl w:val="0"/>
              </w:rPr>
              <w:t xml:space="preserve">, kuri būtiski ietekmē kuģa, tā apkalpes, kravas un apkārtējās vides drošību (piemēram, kuģa iekraušanas </w:t>
            </w:r>
            <w:r w:rsidR="00000000" w:rsidRPr="00000000" w:rsidDel="00000000">
              <w:rPr>
                <w:b w:val="1"/>
                <w:rtl w:val="0"/>
              </w:rPr>
              <w:t xml:space="preserve">vai</w:t>
            </w:r>
            <w:r w:rsidR="00000000" w:rsidRPr="00000000" w:rsidDel="00000000">
              <w:rPr>
                <w:rtl w:val="0"/>
              </w:rPr>
              <w:t xml:space="preserve"> izkraušanas operācijas nenorit saskaņā ar apstiprināto kravas plānu), </w:t>
            </w:r>
            <w:r w:rsidR="00000000" w:rsidRPr="00000000" w:rsidDel="00000000">
              <w:rPr>
                <w:b w:val="1"/>
                <w:rtl w:val="0"/>
              </w:rPr>
              <w:t xml:space="preserve">Latvijas Jūras administrācijas</w:t>
            </w:r>
            <w:r w:rsidR="00000000" w:rsidRPr="00000000" w:rsidDel="00000000">
              <w:rPr>
                <w:rtl w:val="0"/>
              </w:rPr>
              <w:t xml:space="preserve"> inspektors, ja nepieciešams, pieprasa kuģa kapteinim pārtraukt kravas operācijas līdz trūkumu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37. un 38. punktu, jo nav skaidri saprotama Latvijas Jūras administrācijas inspektora rīcība gadījumā, ja kuģa pārbaudes laikā konstatēti trūkumi, kuri būtiski ietekmē kuģa, tā apkalpes, kravas un apkārtējās vides drošību, bet nav nepieciešams pieprasīt kuģa kapteinim pārtraukt kravas operācijas līdz trūkumu novēršanai, ņemot vērā, ka 37. punktā norādīta vienīgi rīcība tādu trūkumu konstatēšanas gadījumā, kuri būtiski ietekmē kuģa, tā apkalpes, kravas un apkārtējās vides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35.</w:t>
            </w:r>
            <w:r w:rsidR="00000000" w:rsidRPr="00000000" w:rsidDel="00000000">
              <w:rPr>
                <w:vertAlign w:val="superscript"/>
                <w:rtl w:val="0"/>
              </w:rPr>
              <w:t xml:space="preserve">1</w:t>
            </w:r>
            <w:r w:rsidR="00000000" w:rsidRPr="00000000" w:rsidDel="00000000">
              <w:rPr>
                <w:rtl w:val="0"/>
              </w:rPr>
              <w:t xml:space="preserve">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 ja kuģa pārbaudes laikā konstatēti trūkumi, kuri būtiski ietekmē kuģa, tā apkalpes, kravas un apkārtējās vides drošību (piemēram, kuģa iekraušanas vai izkraušanas operācijas nenorit saskaņā ar apstiprināto kravas plānu), Latvijas Jūras administrācijas inspektors, pieprasa kuģa kapteinim pārtraukt kravas operācijas līdz trūkumu novēršanai;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 Latvijas Jūras administrācijas inspektoram ir tiesības pieprasīt trūkumu novēršanu (arī pārtraukt kravas operācijas līdz trūkumu novēršanai), ja netiek ievērotas prasības, tai skaitā ja kuģis, kravas transporta vienība vai iepakojums neatbilst bīstamo un piesārņojošo kravu transportēšanas prasībām vai netiek iesniegti pieprasītie dokumenti, vai konstatēti citi pārkāpumi.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38. punktu, kā 36. un 37. punktā ietvertā regulējuma pēc būtības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 Latvijas Jūras administrācijas inspektoram ir tiesības pieprasīt trūkumu novēršanu (arī pārtraukt kravas operācijas līdz trūkumu novēršanai), ja netiek ievērotas prasības, tai skaitā ja kuģis, kravas transporta vienība vai iepakojums neatbilst bīstamo un piesārņojošo kravu transportēšanas prasībām vai netiek iesniegti pieprasītie dokumenti, vai konstatēti citi pārkāpumi.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38. punktā precīzāk noteikt, kādas prasības šajā punktā ir domātas, norādot uz normatīvajiem aktiem vai to jomu, kas šīs prasības noteic.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 Latvijas Jūras administrācijas inspektoram ir tiesības pieprasīt trūkumu novēršanu (arī pārtraukt kravas operācijas līdz trūkumu novēršanai), ja netiek ievērotas prasības, tai skaitā ja kuģis, kravas transporta vienība vai iepakojums neatbilst bīstamo un piesārņojošo kravu transportēšanas prasībām vai netiek iesniegti pieprasītie dokumenti, vai konstatēti citi pārkāpumi.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ar ko neatbilstību novēršana atšķiras no trūkumu novēršanas, ar ko norīkotais inspektors atšķiras no inspektora, kā arī - ar ko trūkumi, neatbilstības un pārkāpumi savstarpēji atšķiras noteikumu projekta kontekstā, tādēļ lūdzam izvērtēt un sniegt atbilstošu skaidrojumu par minēto noteikumu projekta anotācijā, nepieciešamības gadījumā precizējot noteikumu projekta 38. punktu un citas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2002/59/EK 12., 13. un 19. pantā ir ietverti punkti, nevis daļas, tādēļ lūdzam precizēt noteikumu projekta anotācijas 5.4. sadaļas 1. tabulā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aprīkojums atbilstoši IMO, Starptautiskās Veselības organizācijas (IHO) un Starptautiskās Darba organizācijas (ILO) norādījumu “Pirmās medicī­niskās palīdzības norādes, ko pielieto ar bīstamām kravām saistītos negadījumos” (</w:t>
            </w:r>
            <w:r w:rsidR="00000000" w:rsidRPr="00000000" w:rsidDel="00000000">
              <w:rPr>
                <w:i w:val="1"/>
                <w:rtl w:val="0"/>
              </w:rPr>
              <w:t xml:space="preserve">Medical First Aid Guide for Use in Accidents Involving Dangerous Goods</w:t>
            </w:r>
            <w:r w:rsidR="00000000" w:rsidRPr="00000000" w:rsidDel="00000000">
              <w:rPr>
                <w:rtl w:val="0"/>
              </w:rPr>
              <w:t xml:space="preserve">) (turpmāk – MFAG) 14.pielikumā “Medikamentu un aprīkojuma saraksts”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izsaka priekšlikumu, ka ir nepieciešams redakcionāli precizēt MK noteikumu Nr.1060 11.1. apakšpunktu, kas līdz šim 23-TA-1898 grozījumu projektā nav skarts. Priekšlikums ir aizvietot vārdus “Starptautiskās Veselības organizācijas (IHO)” ar vārdiem “Pasaules Veselības organizācijas (PVO)”.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11.1.apakšpunktā ir minēta Starptautiskā Veselības organizācija (IHO), nevis Pasaules Veselības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Kuģa īpašnieks nodrošina, lai uz kuģa, kas iesaistīts kravas operācijās ar bīstamām un piesārņojošām kravām,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aprīkojums atbilstoši IMO, Starptautiskās Veselības organizācijas (IHO) un Starptautiskās Darba organizācijas (ILO) norādījumu “Pirmās medicī­niskās palīdzības norādes, ko pielieto ar bīstamām kravām saistītos negadījumos” (Medical First Aid Guide for Use in Accidents Involving Dangerous Goods) (turpmāk – MFAG) 14.pielikumā “Medikamentu un aprīkojuma saraksts”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IMO mājaslapā par MFAG ir teksts, kurā nav minēta IHO organizācija, bet gan Pasaules Veselības organizācija (PVO): https://www.imo.org/en/OurWork/Safety/Pages/MFAG.aspx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“Information on medical first aid is provided in the IMO/</w:t>
            </w:r>
            <w:r w:rsidR="00000000" w:rsidRPr="00000000" w:rsidDel="00000000">
              <w:rPr>
                <w:b w:val="1"/>
                <w:rtl w:val="0"/>
              </w:rPr>
              <w:t xml:space="preserve">WHO</w:t>
            </w:r>
            <w:r w:rsidR="00000000" w:rsidRPr="00000000" w:rsidDel="00000000">
              <w:rPr>
                <w:rtl w:val="0"/>
              </w:rPr>
              <w:t xml:space="preserve">/ILO Medical First Aid Guide for use in accidents Involving dangerous Goods (MFAG), which is the chemicals supplement to the International Medical guide for ships (IMGS) which is published by the World Health Organization (WHO), Geneva.”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aprīkojums atbilstoši IMO, Pasaules Veselības organizācijas (PVO) un Starptautiskās Darba organizācijas (ILO) norādījumu “Pirmās medicī­niskās palīdzības norādes, ko pielieto ar bīstamām kravām saistītos negadījumos” (</w:t>
            </w:r>
            <w:r w:rsidR="00000000" w:rsidRPr="00000000" w:rsidDel="00000000">
              <w:rPr>
                <w:i w:val="1"/>
                <w:rtl w:val="0"/>
              </w:rPr>
              <w:t xml:space="preserve">Medical First Aid Guide for Use in Accidents Involving Dangerous Goods</w:t>
            </w:r>
            <w:r w:rsidR="00000000" w:rsidRPr="00000000" w:rsidDel="00000000">
              <w:rPr>
                <w:rtl w:val="0"/>
              </w:rPr>
              <w:t xml:space="preserve">) (turpmāk – MFAG) 14.pielikumā “Medikamentu un aprīkojuma saraksts”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Pirms kuģa, kas pārvadā bīstamo un piesārņojošo kravu, iekraušanas operācijām kravas nosūtītājs nodrošina, lai kuģa kapteinim vai viņa pārstāvim tiktu iesniegti šādi kravas dokumenti un attiecīgas kravas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13.punkta prasība paredz, ka pirms bīstamo un piesārņojošo (iepakoto) kravu ievešanas ostās kravas nosūtītājs iesniedz kravas pārvadātājam un ostas komersantam bīstamo un piesārņojošo kravu transporta dokumentus, kuros iekļauta informācija par bīstamo kravu. Nav sniegts skaidrojums anotācijā vai tas nozīmē, ka turpmāk kuģi ar bīstamu kravu neinformēs ostu par bīstamo kravu līdz brīdim kad notiks jauna iekraušanas operācija, vai tas nozīmē, ka kuģis varēs atrasties ostā nezināmu laiku līdz iekraušanas operācijai, nepaziņojot par jau esošu bīstamu kravu.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Pirms kuģa, kas pārvadā bīstamo un piesārņojošo kravu, iekraušanas operācijām kravas nosūtītājs nodrošina, lai kuģa kapteinim vai viņa pārstāvim tiktu iesniegti šādi kravas dokumenti un attiecīgas kravas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kravas IMO bīstamības klase saskaņā ar IMDG kodeksu, IBC kodeksu, IGC kodeksu vai IMSBC kodeksu;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no MK noteikumu Nr.1060 14.punkta tiek svītrotas prasības, ka jāiesniedz informācija par rīcību situācijā, ja noticis negadījums (14.3.); sertifikāts par piemērotību laikapstākļu ietekmei (Weathering Certificate) (14.4.2.); saskaņojums par jaunām pašreaģējošām vielām un organiskajiem peroksīdiem, kuru izsniegusi minēto vielu izcelsmes valsts kompetentā institūcija attiecībā uz to klasifikācijas un transportēšanas nosacījumiem (14.4.3.). Anotācijā būtu jānorāda, kādēļ šādu informāciju iesniegt vairs nav būtiski.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kravas IMO bīstamības klase saskaņā ar IMDG kodeksu, IBC kodeksu, IGC kodeksu vai IMSBC kodeksu;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Kravas nosūtītāja pienākums ir iesniegt kuģa kapteinim vai viņa pārstāvim šo noteikumu </w:t>
            </w:r>
            <w:r w:rsidR="00000000" w:rsidRPr="00000000" w:rsidDel="00000000">
              <w:rPr>
                <w:rtl w:val="0"/>
              </w:rPr>
              <w:t xml:space="preserve">14.</w:t>
            </w:r>
            <w:r w:rsidR="00000000" w:rsidRPr="00000000" w:rsidDel="00000000">
              <w:rPr>
                <w:rtl w:val="0"/>
              </w:rPr>
              <w:t xml:space="preserve"> punktā minēto informāciju un nodrošināt to, ka pārvadāšanai paredzētā krava ir tā krava, kas deklarēta ievērojot šo noteikumu </w:t>
            </w:r>
            <w:r w:rsidR="00000000" w:rsidRPr="00000000" w:rsidDel="00000000">
              <w:rPr>
                <w:rtl w:val="0"/>
              </w:rPr>
              <w:t xml:space="preserve">14.</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konkrēta Ministru kabineta noteikumu vienība ar noteikumu projektu tiek izteikta jaunā redakcijā, atbilstoši juridiskās tehnikas prasībām lūdzam jaunajā redakcijā izteiktajā vienībā nenorādīt uz iepriekš svītrotām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Kravas nosūtītāja pienākums ir iesniegt kuģa kapteinim vai viņa pārstāvim šo noteikumu </w:t>
            </w:r>
            <w:r w:rsidR="00000000" w:rsidRPr="00000000" w:rsidDel="00000000">
              <w:rPr>
                <w:rtl w:val="0"/>
              </w:rPr>
              <w:t xml:space="preserve">14.</w:t>
            </w:r>
            <w:r w:rsidR="00000000" w:rsidRPr="00000000" w:rsidDel="00000000">
              <w:rPr>
                <w:rtl w:val="0"/>
              </w:rPr>
              <w:t xml:space="preserve"> punktā minēto informāciju un nodrošināt to, ka pārvadāšanai paredzētā krava ir tā krava, kas deklarēta ievērojot šo noteikumu </w:t>
            </w:r>
            <w:r w:rsidR="00000000" w:rsidRPr="00000000" w:rsidDel="00000000">
              <w:rPr>
                <w:rtl w:val="0"/>
              </w:rPr>
              <w:t xml:space="preserve">14.</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Infekciozas vielas (6.2 bīstamības klase) atļauts ievest ostas teritorijā vai izvest no tās tikai tiešai iekraušanai kuģī vai izkrau­šanai no kuģa (imports vai eksports). Šādas kravas var palikt ostas teritorijā ne ilgāk par 48 stundām.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kravu gadījumā ostai jau pirms ievešanas būtu jāzin, ka krava satur infekciozas vielas, lai piemērotu 48 stundu periodu, bet šobrīd noteikumu projekta 13.punkts izteikts redakcijā, kas neparedz informēšanu pirms kravas ievešanas ostā, bet paredz informēšanu tikai pirms jaunas kravas iekraušanas. Lūdzam skaidrojumu anotācijā vai noteikumu projekta precizēšanu risku novēršanai.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Infekciozas vielas (6.2 bīstamības klase) atļauts ievest ostas teritorijā vai izvest no tās tikai tiešai iekraušanai kuģī vai izkrau­šanai no kuģa (imports vai eksports). Šādas kravas var palikt ostas teritorijā ne ilgāk par 48 stundām.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Ja kuģis ostā veic Y kategorijas negrimstošu kaitīgu šķidru vielu kravas izkraušanu, šo vielu kravas pārpalikumus un to saturošu ūdens maisījumu, kas radies kuģa tanku pirmsmazgāšanas laikā, nodod ostas atkritumu pieņemšanas iekārtās, ja ostā ir pieejama atbilstoša ostas atkritumu pieņemšanas iekārta šādu kravas pārpalikumu vai to maisījumu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34. punktu, jo minētajai normai nav juridiskas slodzes un tā dublē 1973.gada Starptautiskās konvencijas par piesārņošanas novēršanu no kuģiem un tās 1978. gada protokola (turpmāk – MARPOL konvencija) II pielikuma 13. noteikuma prasības. Vienlaikus vēršam uzmanību, ka minētā noteikuma prasības jau ir pēc būtības ieviestas noteikumu projekta 33. punktā, tādēļ ierosinām nepieciešamības gadījumā papildināt noteikumu projekta 33.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noteikumu projekta attiecīgā norma. Atbilstoši papildināts noteikumu projekta 33.punkts (precizētajā noteikumu projekta redakcijā 34.punkts).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Ja ostā tiek veikta Y kategorijas negrimstošu kaitīgu šķidru vielu izkraušana, šo vielu pārpalikumus un to saturošu ūdens maisījumu, kas radies pirmsmazgāšanas laikā, nodod ostas atkritumu pieņemšanas iekārtās, ja ostā ir pieejama atbilstoša ostas atkritumu pieņemšanas iekārta šādu pārpalikumu vai to maisījumu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ietver prasības, kas noteiks jaunas tiesību normas par kaitīgu šķidru vielu pārpalikumu, to saturošu mazgājamo un pirmsmazgāšanas ūdeņu nodošanas kārtību. Lai novērstu iespējamu vides piesārņojumu, noteikumu projekts paredz Y kategorijas negrimstošu kaitīgu šķidru vielu saturošu pirmsmazgāšanas ūdeņu nodošanu ostas atkritumu pieņemšanas iekārtās, ja ostā ir pieejama atbilstoša ostas atkritumu pieņemšanas iekārta. No noteikumu projekta nav saprotams kāda kārtība jāpiemēro šajā punktā minēto vielu izkraušanā, ja ostā nav pieejama šī iekārta, lai nepieļautu vides piesārņojumu un potenciālu risku cilvēka veselībai. Vai tādos gadījumos attiecīgo vielu izkraušana nav pieļaujama? Lūdzam to skaidrot anotācijā vai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 ja kuģa pārbaudes laikā konstatētas neatbilstības, kuras būtiski ietekmē kuģa, tā apkalpes, kravas un apkārtējās vides drošību (piemēram, kuģa iekraušanas/izkraušanas operācijas nenorit saskaņā ar apstiprināto kravas plānu), norīkotais inspektors, ja nepieciešams, pieprasa kuģa kapteinim pārtraukt kravas operācijas līdz trūkumu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simbolu "/", ciktāl tas netiek lietots normatīvo aktu nosaukumos v.tml., aizstāt ar saikli "un" vai saikli "vai", jo no attiecīgās normas nav skaidrs, vai ar simbolu "/" tiek saprasts saiklis "un" vai saiklis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35.</w:t>
            </w:r>
            <w:r w:rsidR="00000000" w:rsidRPr="00000000" w:rsidDel="00000000">
              <w:rPr>
                <w:vertAlign w:val="superscript"/>
                <w:rtl w:val="0"/>
              </w:rPr>
              <w:t xml:space="preserve">1</w:t>
            </w:r>
            <w:r w:rsidR="00000000" w:rsidRPr="00000000" w:rsidDel="00000000">
              <w:rPr>
                <w:rtl w:val="0"/>
              </w:rPr>
              <w:t xml:space="preserve">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 ja kuģa pārbaudes laikā konstatēti trūkumi, kuri būtiski ietekmē kuģa, tā apkalpes, kravas un apkārtējās vides drošību (piemēram, kuģa iekraušanas vai izkraušanas operācijas nenorit saskaņā ar apstiprināto kravas plānu), Latvijas Jūras administrācijas inspektors, pieprasa kuģa kapteinim pārtraukt kravas operācijas līdz trūkumu novēršanai;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 Latvijas Jūras administrācijas inspektoram ir tiesības pieprasīt trūkumu novēršanu (arī pārtraukt kravas operācijas līdz trūkumu novēršanai), ja netiek ievērotas prasības, tai skaitā ja kuģis, kravas transporta vienība vai iepakojums neatbilst bīstamo un piesārņojošo kravu transportēšanas prasībām vai netiek iesniegti pieprasītie dokumenti, vai konstatēti citi pārkāpumi.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norādīt uz pārvadāšanu, nevis transportēšanu, vai sniegt atbilstošu pamatotu skaidrojumu noteikumu projekta anotācijā par noteikumu projektā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35.</w:t>
            </w:r>
            <w:r w:rsidR="00000000" w:rsidRPr="00000000" w:rsidDel="00000000">
              <w:rPr>
                <w:vertAlign w:val="superscript"/>
                <w:rtl w:val="0"/>
              </w:rPr>
              <w:t xml:space="preserve">1</w:t>
            </w:r>
            <w:r w:rsidR="00000000" w:rsidRPr="00000000" w:rsidDel="00000000">
              <w:rPr>
                <w:rtl w:val="0"/>
              </w:rPr>
              <w:t xml:space="preserve">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segregācija ostas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42. punktā ietvertās tabulas 12. rindu "Citas bīstamas vielas </w:t>
            </w:r>
            <w:r w:rsidR="00000000" w:rsidRPr="00000000" w:rsidDel="00000000">
              <w:rPr>
                <w:u w:val="single"/>
                <w:rtl w:val="0"/>
              </w:rPr>
              <w:t xml:space="preserve">un</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23-TA-1898</w:t>
    </w:r>
    <w:r>
      <w:br/>
    </w:r>
    <w:r w:rsidR="00000000" w:rsidRPr="00000000" w:rsidDel="00000000">
      <w:rPr>
        <w:rtl w:val="0"/>
      </w:rPr>
      <w:t xml:space="preserve">20.02.2024. 12.40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23-TA-1898</w:t>
    </w:r>
    <w:r>
      <w:br/>
    </w:r>
    <w:r w:rsidR="00000000" w:rsidRPr="00000000" w:rsidDel="00000000">
      <w:rPr>
        <w:rtl w:val="0"/>
      </w:rPr>
      <w:t xml:space="preserve">20.02.2024. 12.40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Izziņa_23-TA-1898.docx</dc:title>
</cp:coreProperties>
</file>

<file path=docProps/custom.xml><?xml version="1.0" encoding="utf-8"?>
<Properties xmlns="http://schemas.openxmlformats.org/officeDocument/2006/custom-properties" xmlns:vt="http://schemas.openxmlformats.org/officeDocument/2006/docPropsVTypes"/>
</file>