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690" w14:textId="77777777" w:rsidR="00425F8B" w:rsidRDefault="00626C05">
      <w:pPr>
        <w:jc w:val="center"/>
        <w:rPr>
          <w:b/>
          <w:bCs/>
          <w:sz w:val="22"/>
          <w:szCs w:val="22"/>
        </w:rPr>
      </w:pPr>
      <w:r>
        <w:rPr>
          <w:b/>
          <w:bCs/>
          <w:sz w:val="22"/>
          <w:szCs w:val="22"/>
        </w:rPr>
        <w:t>Latvijas Lielo pilsētu asociācija izziņa par iebildumiem/priekšlikumiem</w:t>
      </w:r>
    </w:p>
    <w:p w14:paraId="13F5C8A2" w14:textId="77777777" w:rsidR="00425F8B" w:rsidRDefault="00626C05">
      <w:pPr>
        <w:jc w:val="center"/>
        <w:rPr>
          <w:b/>
          <w:bCs/>
          <w:sz w:val="22"/>
          <w:szCs w:val="22"/>
        </w:rPr>
      </w:pPr>
      <w:r>
        <w:rPr>
          <w:b/>
          <w:bCs/>
          <w:sz w:val="22"/>
          <w:szCs w:val="22"/>
        </w:rPr>
        <w:t>Likumprojektam “Grozījumi Civillikumā” (VSS-573)</w:t>
      </w:r>
    </w:p>
    <w:p w14:paraId="571EABEB" w14:textId="77777777" w:rsidR="00425F8B" w:rsidRDefault="00425F8B">
      <w:pPr>
        <w:jc w:val="center"/>
        <w:rPr>
          <w:sz w:val="22"/>
          <w:szCs w:val="22"/>
        </w:rPr>
      </w:pPr>
    </w:p>
    <w:tbl>
      <w:tblPr>
        <w:tblW w:w="9623" w:type="dxa"/>
        <w:tblCellMar>
          <w:left w:w="10" w:type="dxa"/>
          <w:right w:w="10" w:type="dxa"/>
        </w:tblCellMar>
        <w:tblLook w:val="0000" w:firstRow="0" w:lastRow="0" w:firstColumn="0" w:lastColumn="0" w:noHBand="0" w:noVBand="0"/>
      </w:tblPr>
      <w:tblGrid>
        <w:gridCol w:w="846"/>
        <w:gridCol w:w="850"/>
        <w:gridCol w:w="3969"/>
        <w:gridCol w:w="3958"/>
      </w:tblGrid>
      <w:tr w:rsidR="00425F8B" w14:paraId="602760CB"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31A2" w14:textId="77777777" w:rsidR="00425F8B" w:rsidRDefault="00626C05">
            <w:pPr>
              <w:jc w:val="center"/>
              <w:rPr>
                <w:sz w:val="22"/>
                <w:szCs w:val="22"/>
              </w:rPr>
            </w:pPr>
            <w:proofErr w:type="spellStart"/>
            <w:r>
              <w:rPr>
                <w:sz w:val="22"/>
                <w:szCs w:val="22"/>
              </w:rPr>
              <w:t>Nr.p.k</w:t>
            </w:r>
            <w:proofErr w:type="spellEnd"/>
            <w:r>
              <w:rPr>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F6D5" w14:textId="77777777" w:rsidR="00425F8B" w:rsidRDefault="00626C05">
            <w:pPr>
              <w:jc w:val="center"/>
              <w:rPr>
                <w:sz w:val="22"/>
                <w:szCs w:val="22"/>
              </w:rPr>
            </w:pPr>
            <w:r>
              <w:rPr>
                <w:sz w:val="22"/>
                <w:szCs w:val="22"/>
              </w:rPr>
              <w:t>Lpp.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2132" w14:textId="77777777" w:rsidR="00425F8B" w:rsidRDefault="00626C05">
            <w:pPr>
              <w:jc w:val="center"/>
              <w:rPr>
                <w:sz w:val="22"/>
                <w:szCs w:val="22"/>
              </w:rPr>
            </w:pPr>
            <w:r>
              <w:rPr>
                <w:sz w:val="22"/>
                <w:szCs w:val="22"/>
              </w:rPr>
              <w:t>Esošā redakcija</w:t>
            </w:r>
          </w:p>
        </w:tc>
        <w:tc>
          <w:tcPr>
            <w:tcW w:w="3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5082" w14:textId="77777777" w:rsidR="00425F8B" w:rsidRDefault="00626C05">
            <w:pPr>
              <w:jc w:val="center"/>
              <w:rPr>
                <w:sz w:val="22"/>
                <w:szCs w:val="22"/>
              </w:rPr>
            </w:pPr>
            <w:r>
              <w:rPr>
                <w:sz w:val="22"/>
                <w:szCs w:val="22"/>
              </w:rPr>
              <w:t>Iebildumi/priekšlikumi</w:t>
            </w:r>
          </w:p>
        </w:tc>
      </w:tr>
      <w:tr w:rsidR="00425F8B" w14:paraId="4F6E6E66"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3638" w14:textId="77777777" w:rsidR="00425F8B" w:rsidRDefault="00626C05">
            <w:pPr>
              <w:rPr>
                <w:sz w:val="22"/>
                <w:szCs w:val="22"/>
              </w:rPr>
            </w:pPr>
            <w:r>
              <w:rPr>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1E075" w14:textId="77777777" w:rsidR="00425F8B" w:rsidRDefault="00626C05">
            <w:pPr>
              <w:jc w:val="center"/>
              <w:rPr>
                <w:sz w:val="22"/>
                <w:szCs w:val="22"/>
              </w:rPr>
            </w:pPr>
            <w:r>
              <w:rPr>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A160" w14:textId="77777777" w:rsidR="00425F8B" w:rsidRDefault="00626C05">
            <w:pPr>
              <w:jc w:val="both"/>
              <w:rPr>
                <w:sz w:val="22"/>
                <w:szCs w:val="22"/>
              </w:rPr>
            </w:pPr>
            <w:r>
              <w:rPr>
                <w:sz w:val="22"/>
                <w:szCs w:val="22"/>
              </w:rPr>
              <w:t>416. pantā:</w:t>
            </w:r>
          </w:p>
          <w:p w14:paraId="42F7B48B" w14:textId="77777777" w:rsidR="00425F8B" w:rsidRDefault="00425F8B">
            <w:pPr>
              <w:jc w:val="both"/>
              <w:rPr>
                <w:sz w:val="22"/>
                <w:szCs w:val="22"/>
              </w:rPr>
            </w:pPr>
          </w:p>
          <w:p w14:paraId="33D61C14" w14:textId="77777777" w:rsidR="00425F8B" w:rsidRDefault="00626C05">
            <w:pPr>
              <w:jc w:val="both"/>
              <w:rPr>
                <w:sz w:val="22"/>
                <w:szCs w:val="22"/>
              </w:rPr>
            </w:pPr>
            <w:r>
              <w:rPr>
                <w:sz w:val="22"/>
                <w:szCs w:val="22"/>
              </w:rPr>
              <w:t xml:space="preserve">izteikt pirmo un otro daļu šādā </w:t>
            </w:r>
            <w:r>
              <w:rPr>
                <w:sz w:val="22"/>
                <w:szCs w:val="22"/>
              </w:rPr>
              <w:t>redakcijā:</w:t>
            </w:r>
          </w:p>
          <w:p w14:paraId="37FFEE1A" w14:textId="77777777" w:rsidR="00425F8B" w:rsidRDefault="00425F8B">
            <w:pPr>
              <w:jc w:val="both"/>
              <w:rPr>
                <w:sz w:val="22"/>
                <w:szCs w:val="22"/>
              </w:rPr>
            </w:pPr>
          </w:p>
          <w:p w14:paraId="705E362E" w14:textId="77777777" w:rsidR="00425F8B" w:rsidRDefault="00626C05">
            <w:pPr>
              <w:jc w:val="both"/>
              <w:rPr>
                <w:sz w:val="22"/>
                <w:szCs w:val="22"/>
              </w:rPr>
            </w:pPr>
            <w:r>
              <w:rPr>
                <w:sz w:val="22"/>
                <w:szCs w:val="22"/>
              </w:rPr>
              <w:t>"Ja pēc mantojuma atstājēja nāves viņam mantinieki nav palikuši vai šie mantinieki sludinājumā par mantojuma atklāšanos norādītajā termiņā nav ieradušies vai nav pierādījuši savas mantojuma tiesības, manta piekrīt valstij vai pašvaldībai. Gadīj</w:t>
            </w:r>
            <w:r>
              <w:rPr>
                <w:sz w:val="22"/>
                <w:szCs w:val="22"/>
              </w:rPr>
              <w:t>umus, kad bezmantinieku manta piekrīt pašvaldībai, nosaka Ministru kabinets.</w:t>
            </w:r>
          </w:p>
          <w:p w14:paraId="695181A3" w14:textId="77777777" w:rsidR="00425F8B" w:rsidRDefault="00425F8B">
            <w:pPr>
              <w:jc w:val="both"/>
              <w:rPr>
                <w:sz w:val="22"/>
                <w:szCs w:val="22"/>
              </w:rPr>
            </w:pPr>
          </w:p>
          <w:p w14:paraId="76E73F06" w14:textId="77777777" w:rsidR="00425F8B" w:rsidRDefault="00626C05">
            <w:pPr>
              <w:jc w:val="both"/>
              <w:rPr>
                <w:sz w:val="22"/>
                <w:szCs w:val="22"/>
              </w:rPr>
            </w:pPr>
            <w:r>
              <w:rPr>
                <w:sz w:val="22"/>
                <w:szCs w:val="22"/>
              </w:rPr>
              <w:t>Valsts vai pašvaldība atzīst tikai tos parādus, kas pieteikti kā kreditoru pretenzijas mantojuma lietā notāram sludinājumā par mantojuma atklāšanos norādītajā termiņā un kurus pa</w:t>
            </w:r>
            <w:r>
              <w:rPr>
                <w:sz w:val="22"/>
                <w:szCs w:val="22"/>
              </w:rPr>
              <w:t>r pamatotiem atzinis tiesu izpildītājs. Valsts vai pašvaldība apmierina kreditoru pretenzijas tikai ar to mantu, kuru viņa tādā kārtā patiesi iegūst.";</w:t>
            </w:r>
          </w:p>
          <w:p w14:paraId="2069D034" w14:textId="77777777" w:rsidR="00425F8B" w:rsidRDefault="00425F8B">
            <w:pPr>
              <w:jc w:val="both"/>
              <w:rPr>
                <w:sz w:val="22"/>
                <w:szCs w:val="22"/>
              </w:rPr>
            </w:pPr>
          </w:p>
          <w:p w14:paraId="16651AA8" w14:textId="77777777" w:rsidR="00425F8B" w:rsidRDefault="00626C05">
            <w:pPr>
              <w:jc w:val="both"/>
              <w:rPr>
                <w:sz w:val="22"/>
                <w:szCs w:val="22"/>
              </w:rPr>
            </w:pPr>
            <w:r>
              <w:rPr>
                <w:sz w:val="22"/>
                <w:szCs w:val="22"/>
              </w:rPr>
              <w:t xml:space="preserve"> 930. pantā:</w:t>
            </w:r>
          </w:p>
          <w:p w14:paraId="3FBC689C" w14:textId="77777777" w:rsidR="00425F8B" w:rsidRDefault="00425F8B">
            <w:pPr>
              <w:jc w:val="both"/>
              <w:rPr>
                <w:sz w:val="22"/>
                <w:szCs w:val="22"/>
              </w:rPr>
            </w:pPr>
          </w:p>
          <w:p w14:paraId="3A0610BF" w14:textId="77777777" w:rsidR="00425F8B" w:rsidRDefault="00626C05">
            <w:pPr>
              <w:jc w:val="both"/>
              <w:rPr>
                <w:sz w:val="22"/>
                <w:szCs w:val="22"/>
              </w:rPr>
            </w:pPr>
            <w:r>
              <w:rPr>
                <w:sz w:val="22"/>
                <w:szCs w:val="22"/>
              </w:rPr>
              <w:t xml:space="preserve">papildināt piezīmi pēc vārda "valstij" ar vārdiem "vai pašvaldībai. Gadījumus, kad </w:t>
            </w:r>
            <w:r>
              <w:rPr>
                <w:sz w:val="22"/>
                <w:szCs w:val="22"/>
              </w:rPr>
              <w:t>nekustamas bezīpašnieka lietas piekrīt pašvaldībai, nosaka Ministru kabinets.";</w:t>
            </w:r>
          </w:p>
          <w:p w14:paraId="15BD54B1" w14:textId="77777777" w:rsidR="00425F8B" w:rsidRDefault="00425F8B">
            <w:pPr>
              <w:jc w:val="both"/>
              <w:rPr>
                <w:sz w:val="22"/>
                <w:szCs w:val="22"/>
              </w:rPr>
            </w:pPr>
          </w:p>
        </w:tc>
        <w:tc>
          <w:tcPr>
            <w:tcW w:w="3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D3F5" w14:textId="77777777" w:rsidR="00425F8B" w:rsidRDefault="00626C05">
            <w:pPr>
              <w:jc w:val="both"/>
            </w:pPr>
            <w:r>
              <w:rPr>
                <w:sz w:val="22"/>
                <w:szCs w:val="22"/>
              </w:rPr>
              <w:t xml:space="preserve">Vispārīgs </w:t>
            </w:r>
            <w:r>
              <w:rPr>
                <w:b/>
                <w:sz w:val="22"/>
                <w:szCs w:val="22"/>
              </w:rPr>
              <w:t>iebildums</w:t>
            </w:r>
            <w:r>
              <w:rPr>
                <w:sz w:val="22"/>
                <w:szCs w:val="22"/>
              </w:rPr>
              <w:t xml:space="preserve"> par grozījumiem </w:t>
            </w:r>
            <w:proofErr w:type="gramStart"/>
            <w:r>
              <w:rPr>
                <w:sz w:val="22"/>
                <w:szCs w:val="22"/>
              </w:rPr>
              <w:t>416.panta</w:t>
            </w:r>
            <w:proofErr w:type="gramEnd"/>
            <w:r>
              <w:rPr>
                <w:sz w:val="22"/>
                <w:szCs w:val="22"/>
              </w:rPr>
              <w:t xml:space="preserve"> otrajā daļā un 930.pantā attiecībā uz Ministru kabineta deleģējumu noteikt gadījumus, kad bezmantinieku manta vai </w:t>
            </w:r>
            <w:proofErr w:type="spellStart"/>
            <w:r>
              <w:rPr>
                <w:sz w:val="22"/>
                <w:szCs w:val="22"/>
              </w:rPr>
              <w:t>bezīpašnieku</w:t>
            </w:r>
            <w:proofErr w:type="spellEnd"/>
            <w:r>
              <w:rPr>
                <w:sz w:val="22"/>
                <w:szCs w:val="22"/>
              </w:rPr>
              <w:t xml:space="preserve"> li</w:t>
            </w:r>
            <w:r>
              <w:rPr>
                <w:sz w:val="22"/>
                <w:szCs w:val="22"/>
              </w:rPr>
              <w:t>eta piekritīs pašvaldībai:</w:t>
            </w:r>
          </w:p>
          <w:p w14:paraId="52DE26AF" w14:textId="77777777" w:rsidR="00425F8B" w:rsidRDefault="00425F8B">
            <w:pPr>
              <w:jc w:val="both"/>
              <w:rPr>
                <w:sz w:val="22"/>
                <w:szCs w:val="22"/>
              </w:rPr>
            </w:pPr>
          </w:p>
          <w:p w14:paraId="2F7EE8C2" w14:textId="77777777" w:rsidR="00425F8B" w:rsidRDefault="00626C05">
            <w:pPr>
              <w:jc w:val="both"/>
              <w:rPr>
                <w:sz w:val="22"/>
                <w:szCs w:val="22"/>
              </w:rPr>
            </w:pPr>
            <w:r>
              <w:rPr>
                <w:sz w:val="22"/>
                <w:szCs w:val="22"/>
              </w:rPr>
              <w:t>Tā kā nav iespējams jau šobrīd iepazīties ar Ministru kabineta noteikumu projektu, kas detalizēti noteiks konkrētas nekustamo īpašumu kategorijas, kuras bezmantinieka mantas vai bezīpašnieka lietas gadījumā piekritīs pašvaldībai</w:t>
            </w:r>
            <w:r>
              <w:rPr>
                <w:sz w:val="22"/>
                <w:szCs w:val="22"/>
              </w:rPr>
              <w:t>, bet likumprojekta anotācijā ir tikai precizēta norāde par to, ka pašvaldības īpašumā pāries bezmantinieku manta vai bezīpašnieka lieta, kas uzskatāma par dzīvojamo fondu, kā arī ēkas, kas atrodas uz pašvaldības zemes vai arī zeme, uz kuras atrodas pašval</w:t>
            </w:r>
            <w:r>
              <w:rPr>
                <w:sz w:val="22"/>
                <w:szCs w:val="22"/>
              </w:rPr>
              <w:t xml:space="preserve">dības ēkas (būves), tad pašvaldībai nav iespējams izvērtēt un sniegt viedokli vai priekšlikumus par attiecīgo ierosinājumu.   </w:t>
            </w:r>
          </w:p>
          <w:p w14:paraId="32B42482" w14:textId="77777777" w:rsidR="00425F8B" w:rsidRDefault="00425F8B">
            <w:pPr>
              <w:jc w:val="both"/>
              <w:rPr>
                <w:sz w:val="22"/>
                <w:szCs w:val="22"/>
              </w:rPr>
            </w:pPr>
          </w:p>
          <w:p w14:paraId="43E95463" w14:textId="77777777" w:rsidR="00425F8B" w:rsidRDefault="00626C05">
            <w:pPr>
              <w:jc w:val="both"/>
              <w:rPr>
                <w:sz w:val="22"/>
                <w:szCs w:val="22"/>
              </w:rPr>
            </w:pPr>
            <w:r>
              <w:rPr>
                <w:sz w:val="22"/>
                <w:szCs w:val="22"/>
              </w:rPr>
              <w:t>Kā jau likumprojekta “Grozījumi Civillikumā” (VSS-573) izziņā par atzinumos sniegtajiem iebildumiem LLPA ir norādījusi, atsevišķ</w:t>
            </w:r>
            <w:r>
              <w:rPr>
                <w:sz w:val="22"/>
                <w:szCs w:val="22"/>
              </w:rPr>
              <w:t>os gadījumos pašvaldībai piekritīgais bezmantinieka vai bezīpašnieka īpašums var nebūt izmantojams tās funkciju realizēšanai, līdz ar to nav mērķtiecīgi šādos gadījumos īpašumu noteikt kā piekrītošu pašvaldībai, radot jaunu, lieku un dārgu administratīvo s</w:t>
            </w:r>
            <w:r>
              <w:rPr>
                <w:sz w:val="22"/>
                <w:szCs w:val="22"/>
              </w:rPr>
              <w:t xml:space="preserve">logu pašvaldībai </w:t>
            </w:r>
            <w:proofErr w:type="gramStart"/>
            <w:r>
              <w:rPr>
                <w:sz w:val="22"/>
                <w:szCs w:val="22"/>
              </w:rPr>
              <w:t>(</w:t>
            </w:r>
            <w:proofErr w:type="gramEnd"/>
            <w:r>
              <w:rPr>
                <w:sz w:val="22"/>
                <w:szCs w:val="22"/>
              </w:rPr>
              <w:t>t.sk. nepieciešamību pēc jaunu administratīvo struktūru veidošanas). Turklāt bezīpašnieka mantas apsaimniekošana neietilpst nevienā no pašvaldības funkcijām, kas uzskaitītas  likuma “Par pašvaldībām”  15.pantā.</w:t>
            </w:r>
          </w:p>
          <w:p w14:paraId="6957268A" w14:textId="77777777" w:rsidR="00425F8B" w:rsidRDefault="00626C05">
            <w:pPr>
              <w:spacing w:before="100" w:after="80"/>
              <w:jc w:val="both"/>
            </w:pPr>
            <w:r>
              <w:rPr>
                <w:sz w:val="22"/>
                <w:szCs w:val="22"/>
              </w:rPr>
              <w:t>Tādējādi šobrīd uzturam jau</w:t>
            </w:r>
            <w:r>
              <w:rPr>
                <w:sz w:val="22"/>
                <w:szCs w:val="22"/>
              </w:rPr>
              <w:t xml:space="preserve"> iepriekš pausto viedokli, ka bezmantinieka un bezīpašnieka mantas piekritība pašvaldībai nosakāma, </w:t>
            </w:r>
            <w:r>
              <w:rPr>
                <w:sz w:val="22"/>
                <w:szCs w:val="22"/>
                <w:u w:val="single"/>
              </w:rPr>
              <w:t>iegūstot attiecīgās</w:t>
            </w:r>
            <w:r>
              <w:rPr>
                <w:sz w:val="22"/>
                <w:szCs w:val="22"/>
              </w:rPr>
              <w:t xml:space="preserve"> </w:t>
            </w:r>
            <w:r>
              <w:rPr>
                <w:sz w:val="22"/>
                <w:szCs w:val="22"/>
                <w:u w:val="single"/>
              </w:rPr>
              <w:t>pašvaldības piekrišanu</w:t>
            </w:r>
            <w:r>
              <w:rPr>
                <w:sz w:val="22"/>
                <w:szCs w:val="22"/>
              </w:rPr>
              <w:t xml:space="preserve">, </w:t>
            </w:r>
            <w:r>
              <w:rPr>
                <w:sz w:val="22"/>
                <w:szCs w:val="22"/>
                <w:u w:val="single"/>
              </w:rPr>
              <w:t>pašvaldībai pirms tam izvērtējot nekustamā īpašuma nepieciešamību likumā noteikto pašvaldību funkciju veikšanai.</w:t>
            </w:r>
          </w:p>
        </w:tc>
      </w:tr>
    </w:tbl>
    <w:p w14:paraId="5A8E18F8" w14:textId="77777777" w:rsidR="00425F8B" w:rsidRDefault="00425F8B"/>
    <w:sectPr w:rsidR="00425F8B">
      <w:headerReference w:type="default" r:id="rId7"/>
      <w:pgSz w:w="11901" w:h="16834"/>
      <w:pgMar w:top="851" w:right="1134" w:bottom="568" w:left="1134" w:header="7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FEA" w14:textId="77777777" w:rsidR="00000000" w:rsidRDefault="00626C05">
      <w:r>
        <w:separator/>
      </w:r>
    </w:p>
  </w:endnote>
  <w:endnote w:type="continuationSeparator" w:id="0">
    <w:p w14:paraId="0BD6901E" w14:textId="77777777" w:rsidR="00000000" w:rsidRDefault="0062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wiss TL">
    <w:panose1 w:val="020B0504020202020204"/>
    <w:charset w:val="BA"/>
    <w:family w:val="swiss"/>
    <w:pitch w:val="variable"/>
    <w:sig w:usb0="800002AF"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Baltic">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BABD" w14:textId="77777777" w:rsidR="00000000" w:rsidRDefault="00626C05">
      <w:r>
        <w:rPr>
          <w:color w:val="000000"/>
        </w:rPr>
        <w:separator/>
      </w:r>
    </w:p>
  </w:footnote>
  <w:footnote w:type="continuationSeparator" w:id="0">
    <w:p w14:paraId="6271F046" w14:textId="77777777" w:rsidR="00000000" w:rsidRDefault="0062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40F8" w14:textId="77777777" w:rsidR="00386788" w:rsidRDefault="00626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4C2"/>
    <w:multiLevelType w:val="multilevel"/>
    <w:tmpl w:val="319C74B4"/>
    <w:styleLink w:val="LFO4"/>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A502209"/>
    <w:multiLevelType w:val="multilevel"/>
    <w:tmpl w:val="BEAE9FDC"/>
    <w:styleLink w:val="LFO9"/>
    <w:lvl w:ilvl="0">
      <w:numFmt w:val="bullet"/>
      <w:pStyle w:val="Sarakstaaizzme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5F8B"/>
    <w:rsid w:val="00425F8B"/>
    <w:rsid w:val="0062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990F"/>
  <w15:docId w15:val="{4AF3C9C4-4A54-4C3E-8287-59D58CA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8"/>
      <w:lang w:eastAsia="en-US"/>
    </w:rPr>
  </w:style>
  <w:style w:type="paragraph" w:styleId="Virsraksts1">
    <w:name w:val="heading 1"/>
    <w:basedOn w:val="Parasts"/>
    <w:next w:val="Parasts"/>
    <w:uiPriority w:val="9"/>
    <w:qFormat/>
    <w:pPr>
      <w:spacing w:before="240"/>
      <w:jc w:val="center"/>
      <w:outlineLvl w:val="0"/>
    </w:pPr>
    <w:rPr>
      <w:rFonts w:ascii="Swiss TL" w:hAnsi="Swiss TL"/>
      <w:b/>
      <w:sz w:val="24"/>
      <w:u w:val="single"/>
    </w:rPr>
  </w:style>
  <w:style w:type="paragraph" w:styleId="Virsraksts2">
    <w:name w:val="heading 2"/>
    <w:basedOn w:val="Parasts"/>
    <w:next w:val="Parasts"/>
    <w:uiPriority w:val="9"/>
    <w:semiHidden/>
    <w:unhideWhenUsed/>
    <w:qFormat/>
    <w:pPr>
      <w:spacing w:before="120"/>
      <w:jc w:val="center"/>
      <w:outlineLvl w:val="1"/>
    </w:pPr>
    <w:rPr>
      <w:rFonts w:ascii="Swiss TL" w:hAnsi="Swiss TL"/>
      <w:b/>
      <w:sz w:val="24"/>
    </w:rPr>
  </w:style>
  <w:style w:type="paragraph" w:styleId="Virsraksts3">
    <w:name w:val="heading 3"/>
    <w:basedOn w:val="Parasts"/>
    <w:next w:val="Parastaatkpe"/>
    <w:uiPriority w:val="9"/>
    <w:semiHidden/>
    <w:unhideWhenUsed/>
    <w:qFormat/>
    <w:pPr>
      <w:jc w:val="center"/>
      <w:outlineLvl w:val="2"/>
    </w:pPr>
    <w:rPr>
      <w:b/>
      <w:sz w:val="24"/>
    </w:rPr>
  </w:style>
  <w:style w:type="paragraph" w:styleId="Virsraksts5">
    <w:name w:val="heading 5"/>
    <w:basedOn w:val="Parasts"/>
    <w:next w:val="Parasts"/>
    <w:uiPriority w:val="9"/>
    <w:semiHidden/>
    <w:unhideWhenUsed/>
    <w:qFormat/>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pPr>
      <w:ind w:left="720"/>
    </w:pPr>
    <w:rPr>
      <w:sz w:val="20"/>
    </w:rPr>
  </w:style>
  <w:style w:type="paragraph" w:styleId="Kjene">
    <w:name w:val="footer"/>
    <w:basedOn w:val="Parasts"/>
    <w:pPr>
      <w:tabs>
        <w:tab w:val="center" w:pos="4320"/>
        <w:tab w:val="right" w:pos="8640"/>
      </w:tabs>
    </w:pPr>
    <w:rPr>
      <w:sz w:val="20"/>
    </w:rPr>
  </w:style>
  <w:style w:type="paragraph" w:styleId="Galvene">
    <w:name w:val="header"/>
    <w:basedOn w:val="Parasts"/>
    <w:pPr>
      <w:tabs>
        <w:tab w:val="center" w:pos="4252"/>
        <w:tab w:val="right" w:pos="8504"/>
      </w:tabs>
    </w:pPr>
    <w:rPr>
      <w:sz w:val="20"/>
    </w:rPr>
  </w:style>
  <w:style w:type="paragraph" w:styleId="Nosaukums">
    <w:name w:val="Title"/>
    <w:basedOn w:val="Parasts"/>
    <w:uiPriority w:val="10"/>
    <w:qFormat/>
    <w:pPr>
      <w:jc w:val="center"/>
    </w:pPr>
    <w:rPr>
      <w:sz w:val="24"/>
    </w:rPr>
  </w:style>
  <w:style w:type="paragraph" w:styleId="Sarakstarindkopa">
    <w:name w:val="List Paragraph"/>
    <w:basedOn w:val="Parasts"/>
    <w:pPr>
      <w:spacing w:after="200" w:line="276" w:lineRule="auto"/>
      <w:ind w:left="720"/>
    </w:pPr>
    <w:rPr>
      <w:rFonts w:ascii="Calibri" w:eastAsia="Calibri" w:hAnsi="Calibri"/>
      <w:sz w:val="22"/>
      <w:szCs w:val="22"/>
    </w:rPr>
  </w:style>
  <w:style w:type="paragraph" w:styleId="Vresteksts">
    <w:name w:val="footnote text"/>
    <w:basedOn w:val="Parasts"/>
    <w:rPr>
      <w:rFonts w:ascii="Calibri" w:eastAsia="Calibri" w:hAnsi="Calibri"/>
      <w:sz w:val="20"/>
    </w:rPr>
  </w:style>
  <w:style w:type="character" w:customStyle="1" w:styleId="VrestekstsRakstz">
    <w:name w:val="Vēres teksts Rakstz."/>
    <w:rPr>
      <w:rFonts w:ascii="Calibri" w:eastAsia="Calibri" w:hAnsi="Calibri"/>
      <w:lang w:val="lv-LV" w:eastAsia="en-US"/>
    </w:rPr>
  </w:style>
  <w:style w:type="character" w:styleId="Vresatsauce">
    <w:name w:val="footnote reference"/>
    <w:rPr>
      <w:rFonts w:ascii="Times New Roman" w:hAnsi="Times New Roman"/>
      <w:position w:val="0"/>
      <w:vertAlign w:val="superscript"/>
      <w:lang w:val="lv-LV"/>
    </w:rPr>
  </w:style>
  <w:style w:type="paragraph" w:styleId="Paraststmeklis">
    <w:name w:val="Normal (Web)"/>
    <w:basedOn w:val="Parasts"/>
    <w:pPr>
      <w:spacing w:before="100" w:after="100"/>
    </w:pPr>
    <w:rPr>
      <w:rFonts w:ascii="Verdana" w:hAnsi="Verdana"/>
      <w:sz w:val="9"/>
      <w:szCs w:val="9"/>
      <w:lang w:val="en-US"/>
    </w:rPr>
  </w:style>
  <w:style w:type="character" w:customStyle="1" w:styleId="Virsraksts5Rakstz">
    <w:name w:val="Virsraksts 5 Rakstz."/>
    <w:rPr>
      <w:rFonts w:ascii="Calibri" w:eastAsia="Times New Roman" w:hAnsi="Calibri" w:cs="Times New Roman"/>
      <w:b/>
      <w:bCs/>
      <w:i/>
      <w:iCs/>
      <w:sz w:val="26"/>
      <w:szCs w:val="26"/>
      <w:lang w:eastAsia="en-US"/>
    </w:rPr>
  </w:style>
  <w:style w:type="paragraph" w:styleId="Pamatteksts">
    <w:name w:val="Body Text"/>
    <w:basedOn w:val="Parasts"/>
    <w:pPr>
      <w:spacing w:after="120"/>
    </w:pPr>
    <w:rPr>
      <w:sz w:val="24"/>
      <w:szCs w:val="24"/>
      <w:lang w:eastAsia="lv-LV"/>
    </w:rPr>
  </w:style>
  <w:style w:type="character" w:customStyle="1" w:styleId="PamattekstsRakstz">
    <w:name w:val="Pamatteksts Rakstz."/>
    <w:rPr>
      <w:sz w:val="24"/>
      <w:szCs w:val="24"/>
    </w:rPr>
  </w:style>
  <w:style w:type="character" w:customStyle="1" w:styleId="Pamatteksts2Rakstz">
    <w:name w:val="Pamatteksts 2 Rakstz."/>
    <w:rPr>
      <w:sz w:val="24"/>
      <w:szCs w:val="24"/>
    </w:rPr>
  </w:style>
  <w:style w:type="paragraph" w:styleId="Pamatteksts2">
    <w:name w:val="Body Text 2"/>
    <w:basedOn w:val="Parasts"/>
    <w:pPr>
      <w:spacing w:after="120" w:line="480" w:lineRule="auto"/>
    </w:pPr>
    <w:rPr>
      <w:sz w:val="24"/>
      <w:szCs w:val="24"/>
      <w:lang w:eastAsia="lv-LV"/>
    </w:rPr>
  </w:style>
  <w:style w:type="character" w:customStyle="1" w:styleId="BodyText2Char1">
    <w:name w:val="Body Text 2 Char1"/>
    <w:rPr>
      <w:lang w:eastAsia="en-US"/>
    </w:rPr>
  </w:style>
  <w:style w:type="paragraph" w:styleId="Sarakstaaizzme3">
    <w:name w:val="List Bullet 3"/>
    <w:basedOn w:val="Parasts"/>
    <w:autoRedefine/>
    <w:pPr>
      <w:numPr>
        <w:numId w:val="1"/>
      </w:numPr>
    </w:pPr>
    <w:rPr>
      <w:rFonts w:ascii="Times-Baltic" w:hAnsi="Times-Baltic"/>
      <w:sz w:val="20"/>
      <w:lang w:val="en-US"/>
    </w:rPr>
  </w:style>
  <w:style w:type="paragraph" w:styleId="Sarakstaaizzme5">
    <w:name w:val="List Bullet 5"/>
    <w:basedOn w:val="Parasts"/>
    <w:autoRedefine/>
    <w:pPr>
      <w:numPr>
        <w:numId w:val="2"/>
      </w:numPr>
    </w:pPr>
    <w:rPr>
      <w:rFonts w:ascii="Times-Baltic" w:hAnsi="Times-Baltic"/>
      <w:sz w:val="20"/>
      <w:lang w:val="en-US"/>
    </w:rPr>
  </w:style>
  <w:style w:type="paragraph" w:customStyle="1" w:styleId="naisf">
    <w:name w:val="naisf"/>
    <w:basedOn w:val="Parasts"/>
    <w:pPr>
      <w:spacing w:before="75" w:after="75"/>
      <w:ind w:firstLine="375"/>
      <w:jc w:val="both"/>
    </w:pPr>
    <w:rPr>
      <w:sz w:val="24"/>
      <w:szCs w:val="24"/>
      <w:lang w:eastAsia="lv-LV"/>
    </w:rPr>
  </w:style>
  <w:style w:type="paragraph" w:styleId="Pamattekstsaratkpi">
    <w:name w:val="Body Text Indent"/>
    <w:basedOn w:val="Parasts"/>
    <w:pPr>
      <w:spacing w:after="120"/>
      <w:ind w:left="283"/>
    </w:pPr>
    <w:rPr>
      <w:sz w:val="20"/>
    </w:rPr>
  </w:style>
  <w:style w:type="character" w:customStyle="1" w:styleId="PamattekstsaratkpiRakstz">
    <w:name w:val="Pamatteksts ar atkāpi Rakstz."/>
    <w:rPr>
      <w:lang w:eastAsia="en-US"/>
    </w:rPr>
  </w:style>
  <w:style w:type="character" w:customStyle="1" w:styleId="GalveneRakstz">
    <w:name w:val="Galvene Rakstz."/>
    <w:rPr>
      <w:lang w:eastAsia="en-US"/>
    </w:rPr>
  </w:style>
  <w:style w:type="character" w:customStyle="1" w:styleId="KjeneRakstz">
    <w:name w:val="Kājene Rakstz."/>
    <w:rPr>
      <w:lang w:eastAsia="en-US"/>
    </w:rPr>
  </w:style>
  <w:style w:type="character" w:customStyle="1" w:styleId="NosaukumsRakstz">
    <w:name w:val="Nosaukums Rakstz."/>
    <w:rPr>
      <w:sz w:val="24"/>
      <w:lang w:eastAsia="en-US"/>
    </w:rPr>
  </w:style>
  <w:style w:type="character" w:styleId="Hipersaite">
    <w:name w:val="Hyperlink"/>
    <w:rPr>
      <w:color w:val="0000FF"/>
      <w:u w:val="single"/>
    </w:rPr>
  </w:style>
  <w:style w:type="character" w:styleId="Neatrisintapieminana">
    <w:name w:val="Unresolved Mention"/>
    <w:rPr>
      <w:color w:val="605E5C"/>
      <w:shd w:val="clear" w:color="auto" w:fill="E1DFDD"/>
    </w:rPr>
  </w:style>
  <w:style w:type="character" w:styleId="Izmantotahipersaite">
    <w:name w:val="FollowedHyperlink"/>
    <w:basedOn w:val="Noklusjumarindkopasfonts"/>
    <w:rPr>
      <w:color w:val="954F72"/>
      <w:u w:val="single"/>
    </w:rPr>
  </w:style>
  <w:style w:type="numbering" w:customStyle="1" w:styleId="LFO4">
    <w:name w:val="LFO4"/>
    <w:basedOn w:val="Bezsaraksta"/>
    <w:pPr>
      <w:numPr>
        <w:numId w:val="1"/>
      </w:numPr>
    </w:pPr>
  </w:style>
  <w:style w:type="numbering" w:customStyle="1" w:styleId="LFO9">
    <w:name w:val="LFO9"/>
    <w:basedOn w:val="Bezsarak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a&#353;vald&#299;ba_V&#274;STUL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Pašvaldība_VĒSTULE</Template>
  <TotalTime>1</TotalTime>
  <Pages>1</Pages>
  <Words>1771</Words>
  <Characters>1011</Characters>
  <Application>Microsoft Office Word</Application>
  <DocSecurity>0</DocSecurity>
  <Lines>8</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 veidlapa</dc:title>
  <dc:subject/>
  <dc:creator>Katrīna Auziņa</dc:creator>
  <cp:lastModifiedBy>Linda Strazdiņa</cp:lastModifiedBy>
  <cp:revision>2</cp:revision>
  <cp:lastPrinted>2022-02-24T12:17:00Z</cp:lastPrinted>
  <dcterms:created xsi:type="dcterms:W3CDTF">2022-03-01T07:55:00Z</dcterms:created>
  <dcterms:modified xsi:type="dcterms:W3CDTF">2022-03-01T07:55:00Z</dcterms:modified>
</cp:coreProperties>
</file>