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22-TA-3450: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13. augusta rīkojumā Nr. 442 “Par Satiksmes ministrijas ilgtermiņa saistībām valsts galvenā autoceļa “E67/A7 Ķekavas apvedceļš” publiskās un privātās partnerības projekta īstenošanai un par nacionālo interešu objekta statusa noteikšanu Ķekavas apvedceļa publiskās un privātās partnerības projekta infrastruktūrai”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1.3 sadaļas pašreizējās situācijas apraksta punktā trešā rindkopa noslēdzas ar komatu un teikums kopumā nesniedz pilnvērtīgu informāciju pēc būtības, lūdzam precizēt minēto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noformējumā izzudis sākotnējais teksta formatējums, proti, anotācijas iepriekšējās redakcijas 1.3. sadaļas pašreizējās situācijas apraksta punktā trešā un ceturtā rindkopa jālasa kā viens 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Ērtākai nolasīšanai tekstā ievietotas uzskaitījuma atzīmes un teksts sakārtots vienā teikumā bez dalījuma rindkopās.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1.-5.punktā precizēt sniegto informāciju, norādot Satiksmes ministrijas budžetā plānoto finansējumu valsts galvenā autoceļa "E67/A7 Ķekavas apvedceļš" publiskās un privātās partnerības projekta īstenošanai un pie izmaiņām norādot starpību pret to apmēru, kas piedāvāts kā jaunais finansējuma apmērs Ministru kabineta rīkojuma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1.-2.punktos  sniegtā informācija precizēta pēc šāda principa - 2.,4.,6.kolonnā norādīti izdevumi, kādi tie ir paredzēti saskaņā ar Ministru kabineta 2021. gada 21. decembra rīkojumā Nr.977 “Grozījumi Ministru kabineta 2020. gada 13. augusta rīkojumā Nr. 422 “Par Satiksmes ministrijas ilgtermiņa saistībām valsts galvenā autoceļa “E67/A7 Ķekavas apvedceļš” publiskās un privātās partnerības projekta īstenošanai” (turpmāk - MKR Nr.977) noteikto, bet 3.,5.,7.kolonnā norādīta starpība starp summām, kas paredzētas MKR Nr. 977 un summām pēc ierosinātajiem grozījumiem.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3.punktā  sniegtā informācija precizēta pēc šāda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2022.gadu fiskālā ietekme nav norādīta, jo gan izdevumi, gan ieņēmumi veidojas no reversā pievienotās vērtības nodokļa (turpmāk - PVN), tātad, starpība starp ieņēmumiem un  izdevumiem ir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2023.gadu 4.kolonnā norādīta starpība starp valsts budžeta ieņēmumiem (reversais PVN + PVN no bruto pieejamības maksājuma (turpmāk - BPM)) un izdevumiem  (reversais PVN +PVN no BPM + BPM) saskaņā ar spēkā esošo MKR Nr. 977; starpība atbilst paredzētajai BPM vērtībai;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ierosinātajiem grozījumiem 2023.gadā vairs nav paredzēts veikt bruto pieejamības maksājumu un saglabājas tikai valsts budžeta ieņēmumi un izdevumi, kurus veido rev.PVN,  5.kolonnā norādīta vērtība “0”, jo fiskālā ietekme ir neitrāla.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2024.gadu 6.kolonnā norādīta fiskālā ietekme, kas veidojas kā starpība starp paredzamajiem valsts budžeta ieņēmumiem un izdevumiem, bet 7.kolonnā norādīta starpība starp sākotnējo fiskālo ietekmi saskaņā ar MKR Nr.977 un fiskālo ietekmi saskaņā ar ierosinātajām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5.punktā  sniegtā informācija atstāta nemainīga (norādīta starpība starp finansiālo ietekmi (kas ir starpība starp budžeta ieņēmumiem un izdevumiem)  saskaņā ar MKR Nr. 977 un finansiālo ietekmi pēc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6. punktā norādīto, ka valsts budžetā maksājamais pievienotās vērtības nodoklis atbilstoši apgrieztajai pievienotās vērtības nodokļa maksāšanas kārtībai 2021. gadā bija 1 223 576 </w:t>
            </w:r>
            <w:r w:rsidR="00000000" w:rsidRPr="00000000" w:rsidDel="00000000">
              <w:rPr>
                <w:i w:val="1"/>
                <w:rtl w:val="0"/>
              </w:rPr>
              <w:t xml:space="preserve">euro</w:t>
            </w:r>
            <w:r w:rsidR="00000000" w:rsidRPr="00000000" w:rsidDel="00000000">
              <w:rPr>
                <w:rtl w:val="0"/>
              </w:rPr>
              <w:t xml:space="preserve">, bet saskaņā ar Ministru kabineta 2021. gada 21. decembra rīkojumu Nr. 977 2021.gadā tas tika paredzēts 2 055 471 </w:t>
            </w:r>
            <w:r w:rsidR="00000000" w:rsidRPr="00000000" w:rsidDel="00000000">
              <w:rPr>
                <w:i w:val="1"/>
                <w:rtl w:val="0"/>
              </w:rPr>
              <w:t xml:space="preserve">euro</w:t>
            </w:r>
            <w:r w:rsidR="00000000" w:rsidRPr="00000000" w:rsidDel="00000000">
              <w:rPr>
                <w:rtl w:val="0"/>
              </w:rPr>
              <w:t xml:space="preserve"> apmērā, lūdzam anotācijas 3.sadaļas 6.punktā sniegt informāciju, vai 2021.gadā neizmantotais finansējums tika saglabāts kā slēgtais asignējums.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 punktā iekļauts papildu skaidrojums atbilstoši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neizmantotais finansējums tika saglabāts kā slēgtais asignējums.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6.1. un 6.2. apakšpunktā detalizēti norādīt izmaiņas sadalījumā pa gadiem pievienotās vērtības nodokļa maksājumiem un izmaiņas sadalījumā pa gadiem pieejamības maksājumiem un attiecīgi arī izmaiņas saistībām kopā (kā piemēru aicinām izmantot informāciju, kas tika sniegta Ministru kabineta 2021. gada 21. decembra rīkojuma Nr. 977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anotācijas 3. sadaļas 6.1. un 6.2. apakšpunktos, detalizēti norādot izmaiņas sadalījumā pa gadiem pievienotās vērtības nodokļa maksājumiem un izmaiņas sadalījumā pa gadiem pieejamības maksājumiem.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sagatavot un iesniegt Finanšu ministrijā apropriāciju izmaiņu pieprasījumu 2023. gadam saskaņā ar </w:t>
            </w:r>
            <w:r w:rsidR="00000000" w:rsidRPr="00000000" w:rsidDel="00000000">
              <w:rPr>
                <w:rtl w:val="0"/>
              </w:rPr>
              <w:t xml:space="preserve">Likuma par budžetu un finanšu vadību</w:t>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panta trešajā daļā noteikto, precizējot Satiksmes ministrijas ilgtermiņa saistības no 6 124 566 </w:t>
            </w:r>
            <w:r w:rsidR="00000000" w:rsidRPr="00000000" w:rsidDel="00000000">
              <w:rPr>
                <w:i w:val="1"/>
                <w:rtl w:val="0"/>
              </w:rPr>
              <w:t xml:space="preserve">euro </w:t>
            </w:r>
            <w:r w:rsidR="00000000" w:rsidRPr="00000000" w:rsidDel="00000000">
              <w:rPr>
                <w:rtl w:val="0"/>
              </w:rPr>
              <w:t xml:space="preserve">uz 8 877 798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Satiksmes ministrijai 2022.gadā gadā ir veikta līdzekļu pārdale no valsts budžeta programmas "Apropriācijas rezerve" valsts galvenā autoceļa “E67/A7 Ķekavas apvedceļš” projekta īstenošanai saskaņā ar Likuma par budžetu un finanšu vadību 9.</w:t>
            </w:r>
            <w:r w:rsidR="00000000" w:rsidRPr="00000000" w:rsidDel="00000000">
              <w:rPr>
                <w:vertAlign w:val="superscript"/>
                <w:rtl w:val="0"/>
              </w:rPr>
              <w:t xml:space="preserve">1</w:t>
            </w:r>
            <w:r w:rsidR="00000000" w:rsidRPr="00000000" w:rsidDel="00000000">
              <w:rPr>
                <w:rtl w:val="0"/>
              </w:rPr>
              <w:t xml:space="preserve"> panta trešajā un ceturtajā daļā paredzēto. Vienlaikus vēršam uzmanību, ka saskaņā ar Likuma par budžetu un finanšu vadību 9.</w:t>
            </w:r>
            <w:r w:rsidR="00000000" w:rsidRPr="00000000" w:rsidDel="00000000">
              <w:rPr>
                <w:vertAlign w:val="superscript"/>
                <w:rtl w:val="0"/>
              </w:rPr>
              <w:t xml:space="preserve">1</w:t>
            </w:r>
            <w:r w:rsidR="00000000" w:rsidRPr="00000000" w:rsidDel="00000000">
              <w:rPr>
                <w:rtl w:val="0"/>
              </w:rPr>
              <w:t xml:space="preserve"> panta ceturtajā daļā noteikto no apropriācijas rezerves ministrijas nepieprasa līdzekļus, un tie netiek pārdalīti tādiem pasākumiem, kuriem ir ietekme uz turpmākajiem saimnieciskajiem gadiem, kā arī saskaņā ar Ministru kabineta 2018. gada 17. jūlija noteikumu Nr. 421 “Kārtība, kādā veic gadskārtējā valsts budžeta likumā noteiktās apropriācijas izmaiņas” 23.</w:t>
            </w:r>
            <w:r w:rsidR="00000000" w:rsidRPr="00000000" w:rsidDel="00000000">
              <w:rPr>
                <w:vertAlign w:val="superscript"/>
                <w:rtl w:val="0"/>
              </w:rPr>
              <w:t xml:space="preserve">2</w:t>
            </w:r>
            <w:r w:rsidR="00000000" w:rsidRPr="00000000" w:rsidDel="00000000">
              <w:rPr>
                <w:rtl w:val="0"/>
              </w:rPr>
              <w:t xml:space="preserve"> punktā paredzēto turpmākajos gados tam pašam pasākumam finansējumu no apropriācijas rezerves nepieprasa. Ņemot vērā iepriekš minēto, lūdzam svītrot Ministru kabineta protokollēmuma projekta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5.punkts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normatīvajos aktos noteiktajā kārtībā sagatavot un iesniegt Finanšu ministrijai priekšlikumus bāzes izdevumu ilgtermiņa saistību precizēšanai valsts budžeta apakšprogrammā 23.06.00 “Valsts autoceļu uzturēšana un atjaunošana”: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projekta 6. punkta ievaddaļu (</w:t>
            </w:r>
            <w:r w:rsidR="00000000" w:rsidRPr="00000000" w:rsidDel="00000000">
              <w:rPr>
                <w:i w:val="1"/>
                <w:rtl w:val="0"/>
              </w:rPr>
              <w:t xml:space="preserve">skat. piedāvāto redakciju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normatīvajos aktos noteiktajā kārtībā sagatavot un iesniegt Finanšu ministrijai priekšlikumus maksimāli pieļaujamā izdevumu apjoma ilgtermiņa saistību noteikšanai valsts budžeta apakšprogrammā 23.06.00 “Valsts autoceļu uzturēšana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normatīvajos aktos noteiktajā kārtībā sagatavot un iesniegt Finanšu ministrijai priekšlikumus maksimāli pieļaujamā izdevumu apjoma ilgtermiņa saistību noteikšanai valsts budžeta apakšprogrammā 23.06.00 “Valsts autoceļu uzturēšana un atjaunošana”: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22-TA-3450</w:t>
    </w:r>
    <w:r>
      <w:br/>
    </w:r>
    <w:r w:rsidR="00000000" w:rsidRPr="00000000" w:rsidDel="00000000">
      <w:rPr>
        <w:rtl w:val="0"/>
      </w:rPr>
      <w:t xml:space="preserve">08.12.2022. 19.25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22-TA-3450</w:t>
    </w:r>
    <w:r>
      <w:br/>
    </w:r>
    <w:r w:rsidR="00000000" w:rsidRPr="00000000" w:rsidDel="00000000">
      <w:rPr>
        <w:rtl w:val="0"/>
      </w:rPr>
      <w:t xml:space="preserve">08.12.2022. 19.25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Izziņa_22-TA-3450.docx</dc:title>
</cp:coreProperties>
</file>

<file path=docProps/custom.xml><?xml version="1.0" encoding="utf-8"?>
<Properties xmlns="http://schemas.openxmlformats.org/officeDocument/2006/custom-properties" xmlns:vt="http://schemas.openxmlformats.org/officeDocument/2006/docPropsVTypes"/>
</file>