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22-TA-2763: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8.pielikums "Taisnīgas pārkārtošanās teritoriālais plāns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pielikumā  minēta  </w:t>
            </w:r>
            <w:r w:rsidR="00000000" w:rsidRPr="00000000" w:rsidDel="00000000">
              <w:rPr>
                <w:b w:val="1"/>
                <w:rtl w:val="0"/>
              </w:rPr>
              <w:t xml:space="preserve">Latvijas Lauksaimniecības universitāte (LLU)</w:t>
            </w:r>
            <w:r w:rsidR="00000000" w:rsidRPr="00000000" w:rsidDel="00000000">
              <w:rPr>
                <w:rtl w:val="0"/>
              </w:rPr>
              <w:t xml:space="preserve"> bet no 1.septembra  tā turpina savu darbību kā </w:t>
            </w:r>
            <w:r w:rsidR="00000000" w:rsidRPr="00000000" w:rsidDel="00000000">
              <w:rPr>
                <w:b w:val="1"/>
                <w:rtl w:val="0"/>
              </w:rPr>
              <w:t xml:space="preserve">Latvijas Biozinātņu un tehnoloģiju universitāte.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tekstā  terminu  Latvijas Lauksaimniecības universitāte (LLU) ar  </w:t>
            </w:r>
            <w:r w:rsidR="00000000" w:rsidRPr="00000000" w:rsidDel="00000000">
              <w:rPr>
                <w:b w:val="1"/>
                <w:rtl w:val="0"/>
              </w:rPr>
              <w:t xml:space="preserve">Latvijas Biozinātņu un tehnoloģiju universitāte.</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9.pielikums "Taisnīgas pārkārtošanās teritoriālā plāna darbībām pieejamā Taisnīgas pārkārtošanās fonda finansējuma, sasniedzamo rādītāju un atbildības sadalījums"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Eiropas Savienības kohēzijas politikas programmu 2021.-2027.gadam 9.pielikumu “Taisnīgas pārkārtošanās teritoriālā plāna darbībām pieejamā Taisnīgas pārkārtošanās fonda finansējuma, sasniedzamo rādītāju un atbildības sadalījums” ar kolonnu ar TPTP pasākumu plānoto atlases uzsākšanas laiku, atbilstoši VARAM 07.10.2022. elektroniskā pasta vēstulē sniegtajiem priekšlikumiem. Skaidrojam, ka 9.pielikuma papildināšana ar pasākumu uzsākšanas laika grafiku ir nepieciešama, jo turpinās saskaņošanas process ar Eiropas Komisiju par Taisnīgas pārkārtošanās teritoriālā plānu (turpmāk – TPTP), kas ietekmē arī TPTP pasākumu īstenošanas nosacījumu sagatavošanu un apstiprināšanu Ministru kabinetā (turpmāk – MK). Vēršam uzmanību, ka Vides aizsardzības un reģionālās attīstības ministrija (turpmāk – VARAM) 23.09.2022. sniedza atzinumu par tiesību akta projektu “Informatīvais ziņojums par Finanšu ministrijas pārziņā esošo Eiropas Savienības fondu un ārvalstu finanšu palīdzības aktualitātēm līdz 2022. gada 1. septembrim (pusgada ziņojums)” (22-TA-2446) un saskaņoja to ar priekšlikumiem, tai skaitā, lūdzot precizēt pusgada ziņojuma 3.pielikumu  “Eiropas Savienības fondu 2021.–2027.gada plānošanas perioda Ministru kabineta noteikumu par investīciju ieviešanu izstrādes indikatīvais laika grafiks” attiecībā uz atsevišķu 6.1.1.SAM pasākumu indikatīvo laika grafiku saskaņošanas uzsākšanai TAP portālā, MK noteikumu iesniegšanai apstiprināšanai MK, kā arī plānoto atlases uzsākšanas laiku. Ņemot vērā, ka VARAM 23.09.2022. atzinumā sniegtais priekšlikums par laika grafika precizēšanu atsevišķiem 6.1.1.SAM pasākumiem netika ņemts vērā, VARAM ar 06.10.2022. elektroniskā pasta vēstuli Nr. 4-5/6928 nosūtīja Finanšu ministrijai precizēto Eiropas Savienības kohēzijas politikas 2021.-2027.gadam papildinājumu, kurā precizēja 6.1.1.3.pasākuma “Atbalsts uzņēmējdarbībai nepieciešamās publiskās infrastruktūras attīstībai, veicinot pāreju uz klimatneitrālu ekonomiku”  (1.kārta) un 6.1.1.6. “Bezemisiju transportlīdzekļu izmantošanas veicināšana pašvaldībās”  pasākuma  laika grafiku atbilstoši VARAM 23.09.2022. atzinumā sniegtajam priekšlikumam.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redakcionālus precizējumus Eiropas Savienības kohēzijas politikas programmā 2021.-2027.gadam un atsevišķos tās pielikumos atbilstoši VARAM 14.10.2022. elektroniskā pasta vēstulē sniegtajiem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Izglītības un zinātnes ministrijas veiktos tehniskos un redakcionālos precizējumus Eiropas Savienības kohēzijas politikas programmā 2021.-2027. gadam (turpmāk - Programma), kas nosūtīti Finanšu ministrijai ar atsevišķām elektroniskā pasta vēstulēm š.g. 10. oktobrī, 12. oktobrī un 14. oktobrī (elektroniskā pasta vēstulēs iekļauti priekšlikumi izmaiņām: (1) Programmas sadaļā "Izmantoties saīsinājumi un termini"; Programmas (56) rindkopā, (265) rindkopā, (274) rindkopā un Programmas 8.tabulā precizēta starpposma vērtība (2024) RCO 67 „Jaunu vai modernizētu izglītības iestāžu klašu telpu ietilpība”; (2) Programmas papildinājumā par 4.2.1.2., 4.2.1.6., 4.2.2.5. un 4.2.2.7. pasākumu un Programmas papildinājuma lapā “intervences kodi” par 4.2.1.1.pasākuma un 4.2.1.2.pasākuma finansējuma sadalījumu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pēdējie grozījumi Profesionālās izglītības likumā nosaka, ka visas profesionālās vidējās izglītības iestādes iedalās pēc statusa: tehnikumi, mākslu izglītības kompetenču centri, profesionālās vidusskolas un profesionālās tālākizglītības centri, lūdzam papildināt pasākuma “4.2.2.9. Izglītības procesa individualizācija un starpnozaru sadarbība profesionālās izglītības izcilībai” 3.kārtas finansējuma saņēmēju loku ar mākslas izglītības kompetences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sniegtais priekšlikums pēc būtības jau ir ņemts vērā. Eiropas Savienības kohēzijas politikas programmā 2021.–2027.gadam (turpmāk – Programmā) šobrīd ir noteikts, ka 4.2.2. SAM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(turpmāk – 4.2.2.SAM) mērķa grupa ir profesionālās izglītības iestādes, kas atbilstoši Profesionālās izglītības likuma 16.</w:t>
            </w:r>
            <w:r w:rsidR="00000000" w:rsidRPr="00000000" w:rsidDel="00000000">
              <w:rPr>
                <w:vertAlign w:val="superscript"/>
                <w:rtl w:val="0"/>
              </w:rPr>
              <w:t xml:space="preserve">1</w:t>
            </w:r>
            <w:r w:rsidR="00000000" w:rsidRPr="00000000" w:rsidDel="00000000">
              <w:rPr>
                <w:rtl w:val="0"/>
              </w:rPr>
              <w:t xml:space="preserve"> pantā noteiktajam tai skaitā ietver arī mākslu izglītības kompetences centrus. Ņemot vērā ierobežoto zīmju skaitu Programmas tekstā, 4.2.2. SAM galvenā mērķgrupa netiks papildināta, īpaši uzsverot mākslu izglītības kompetences centrus, jo pēc būtības tie jau ir ietverti profesionālās izglītības iestāžu lokā (skat. zemāk Profesionālās izglītības likumā noteikto profesionālās izglītības iestāžu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pants. Profesionālās izglītības iestāžu statuss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profesionālās izglītības iestādē iegūstamajai izglītībai un profesionālajai kvalifikācijai ir šāda statusa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mākslu izglītības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sadaļā 1.2.3.SAM “Veicināt ilgtspējīgu izaugsmi, konkurētspēju un darba vietu radīšanu MVU, tostarp ar produktīvām investīcijām” (RSO 1.3.)  (106) rindkopā "Visaptverošs atbalsts uzņēmējdarbības attīstībai" pēdējo teikumu: "Atbalstāmās darbības ir novērtētas kā atbilstošas NBK principa nosacījumiem, jo nav konstatēta būtiska negatīva ietekme uz vidi atbalstāmo darbību specifikas dēļ." izdalīt kā atsevišķu - 107.rindkopu.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Visaptverošs atbalsts uzņēmējdarbības attīstībai – atbalsts FI veidā saimnieciskās darbības veicēju izveidei, investīcijām dzīvotspējīgu projektu īstenošanai un apgrozāmajiem līdzekļiem ar mērķi veicināt šo uzņēmumu tehnoloģiskās kapacitātes pilnveidošanu attīstību un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Atbalstāmās darbības ir novērtētas kā atbilstošas NBK principa nosacījumiem, jo nav konstatēta būtiska negatīva ietekme uz vidi atbalstāmo darbību specifikas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Savienības kohēzijas politikas programma 2021.-2027.gadam un tās pielikumi ir precizēti atbilstoši saņemtajiem Eiropas Komisijas komentāriem, Latvijas pašvaldību savienība neizsaka iebildumus.  Vienlaikus izsakām cerību, ka pašvaldību iespējas īstenot vietējai sabiedrībai nepieciešamos projektus būs pieejamas pēc iespējas ātrāk, kā arī tiks rasti risinājumi to projektu īstenošanā, kas neklasificēsies ES finansējuma saņemšanai, bet ir ļoti nozīmīgi katrā pašvaldībā, t.sk. paredzot atbalstu pašvaldību projektiem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attiecībā uz priekšlikuma daļu, kas skar Eiropas Savienības fondu (turpmāk – ES fondi) investīciju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Eiropas Komisija vēl nav apstiprinājusi Programmu, informējam, ka ES fondu atbildīgajām iestādēm jau šobrīd ir iespējams uzsākt Ministru kabineta (turpmāk – MK) noteikumu par specifisko atbalsta mērķu (turpmāk – SAM) īstenošanu un projektu iesniegumu vērtēšanas kritēriju izstrādi un saskaņošanu. MK noteikumu par SAM īstenošanu saskaņošana veicama Vienotajā tiesību aktu projektu izstrādes un saskaņošanas portālā (turpmāk – TAP), paredzot pārejas nosacījumus attiecībā uz brīdi, kad tiek apstiprināta Programma. Tāpat izskatīšanai ES fondu 2014.–2020.gada apakškomitejās (līdz brīdim, kamēr oficiāli tiek izveidota ES fondu 2021.–2027.gada uzraudzības komiteja un apakškomitejas) virzāmi projektu iesniegumu vērtēšanas kritēriji, nodrošinot nepieciešamās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atbildīgās iestādes jau ir uzsākušas intensīvu darbu pie SAM ieviešanas nosacījumu izstrādes. Detalizēta informāciju par SAM ieviešanas laika grafiku ietverta Finanšu ministrijas (turpmāk – FM) virzītā informatīvā ziņojuma par ES fondu un ārvalstu finanšu palīdzības aktualitātēm līdz 2022. gada 1. septembrim (pusgada ziņojums) (izskatīts MK 18.10.2022. sēdē prot. Nr.53) 3.pielikumā. Minētajā SAM ieviešanas laika grafikā ietverta indikatīvā informācija par MK noteikumu par SAM īstenošanu saskaņošanas uzsākšanu TAP, kā arī plānotajiem projektu iesniegumu atlašu uzsākšanas datumiem.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Atveseļošanas instrumenta (Next Generation EU) piešķīruma izmantošanu noteiktajos termiņos (līgumiem par projektu īstenošanu jābūt noslēgtiem līdz 2023.gada beigām un finansējums izlietojams līdz 2026.gadam), ievērojot Programmas 9.pielikumā norādīto atlases uzsākšanas plānoto laika grafiku, visi ar Taisnīgas pārkārtošanās teritoriālā plāna pasākumu (Programmas 6.1.1.SAM “Dot reģioniem un cilvēkiem iespēju risināt sociālās, ekonomiskās un vides sekas, ko rada pāreja uz klimatneitrālitāti”) īstenošanu saistītie normatīvo aktu projekti apstiprināšanai MK tiks virzīti steidzamības kārtā, lai pēc iespējas ātrāk uzsāktu projektu iesniegumu atlases.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Vides aizsardzības un reģionālās attīstības ministrija (turpmāk – VARAM) meklēs atbalsta iespējas no valsts budžeta to prioritāro pašvaldību projektu īstenošanai, kas nekvalificēsies atbalstam ES fondu 2021.–2027.gada plānošanas perioda ietvaros, vienlaikus ņemot vērā valsts budžeta iespējas nākotnē. Šajā kontekstā VARAM ir izstrādājusi priekšlikumus prioritārajiem pasākumiem 2023.–2025.gadam, t.sk. pašvaldību aizdevumu programmas ar definētiem virzieniem turpināšanai (100 milj. </w:t>
            </w:r>
            <w:r w:rsidR="00000000" w:rsidRPr="00000000" w:rsidDel="00000000">
              <w:rPr>
                <w:i w:val="1"/>
                <w:rtl w:val="0"/>
              </w:rPr>
              <w:t xml:space="preserve">euro</w:t>
            </w:r>
            <w:r w:rsidR="00000000" w:rsidRPr="00000000" w:rsidDel="00000000">
              <w:rPr>
                <w:rtl w:val="0"/>
              </w:rPr>
              <w:t xml:space="preserve"> apmērā) un pašvaldību aizdevumu programmai pašvaldību ēku energoefektivitātes pasākumiem (20 milj. </w:t>
            </w:r>
            <w:r w:rsidR="00000000" w:rsidRPr="00000000" w:rsidDel="00000000">
              <w:rPr>
                <w:i w:val="1"/>
                <w:rtl w:val="0"/>
              </w:rPr>
              <w:t xml:space="preserve">euro</w:t>
            </w:r>
            <w:r w:rsidR="00000000" w:rsidRPr="00000000" w:rsidDel="00000000">
              <w:rPr>
                <w:rtl w:val="0"/>
              </w:rPr>
              <w:t xml:space="preserve"> apmērā). VARAM ir izstrādājusi arī priekšlikumu prioritārajam pasākumam 2023.–2025. gadam – pašvaldību investīciju programmas turpināšanai (2023.gadā – 64 065 389 </w:t>
            </w:r>
            <w:r w:rsidR="00000000" w:rsidRPr="00000000" w:rsidDel="00000000">
              <w:rPr>
                <w:i w:val="1"/>
                <w:rtl w:val="0"/>
              </w:rPr>
              <w:t xml:space="preserve">euro</w:t>
            </w:r>
            <w:r w:rsidR="00000000" w:rsidRPr="00000000" w:rsidDel="00000000">
              <w:rPr>
                <w:rtl w:val="0"/>
              </w:rPr>
              <w:t xml:space="preserve">, turpmāk katru gadu – 64 060 500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visi jautājumi, kas saistīti ar valsts budžetu, t.sk.  par atbalstu  pašvaldībām investīciju projektiem, kas nav ES līdzfinansētie projekti, ir skatāmi tikai gadskārtējā valsts budžeta izstrādes procesā, t.sk. FM un Latvijas Pašvaldību Savienības ikgadējās sarunās.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1.oktobrī tika apstiprināts informatīvais ziņojums “Par valsts pamatbudžeta un valsts speciālā budžeta bāzi 2023., 2024. un 2025. gadam”. Vienlaikus vēršam uzmanību, ka tikai pēc jaunās valdības izveidošanas tiks turpināts darbs pie 2023.gada budžeta veidošanas, lemjot par 2023.gadā un vidējā termiņā prioritāri veicamajiem darbiem, t.sk. par atbalstu pašvaldību projektiem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2022.gadā ir būtiski paplašinātas aizņemšanas iespējas pašvaldībām investīciju projektiem, kas nav ES līdzfinansētie investīciju projekti, un ir svarīgi katras pašvaldības attīstītībai.  Piemēram, paplašinātas iespējas saņemt aizņēmumu  pašvaldības prioritāriem investīciju projektiem, COVID seku mazināšanas investīciju projektiem,  kas ietver 15 aizņemšanās mērķus (jomas).  Tāpat 2022.gadā ir vērojams būtisks iedzīvotāju ienākuma nodokļa (turpmāk – IIN) ieņēmumu pieaugums, kas nodrošina pašvaldībām būtiskus papildu finanšu resursus, ko pašvaldības var izmantot arī Atveseļošanas fonda projektos neiekļauto izmaksu finansēšanai.   Pašvaldībām IIN ieņēmumu plāna pārpilde 2022.gada 9 mēnešos ir nodrošinājusi papildu finanšu resursus 201,6 milj. </w:t>
            </w:r>
            <w:r w:rsidR="00000000" w:rsidRPr="00000000" w:rsidDel="00000000">
              <w:rPr>
                <w:i w:val="1"/>
                <w:rtl w:val="0"/>
              </w:rPr>
              <w:t xml:space="preserve">euro</w:t>
            </w:r>
            <w:r w:rsidR="00000000" w:rsidRPr="00000000" w:rsidDel="00000000">
              <w:rPr>
                <w:rtl w:val="0"/>
              </w:rPr>
              <w:t xml:space="preserve"> apmērā. Par finanšu stabilitāti pašvaldībās liecina pieaugošie pašvaldību atlikumi, kas šī gada astoņos mēnešos, salīdzinājumā ar atlikumiem uz gada sākuma, ir pieauguši vairāk kā par 210 milj. </w:t>
            </w:r>
            <w:r w:rsidR="00000000" w:rsidRPr="00000000" w:rsidDel="00000000">
              <w:rPr>
                <w:i w:val="1"/>
                <w:rtl w:val="0"/>
              </w:rPr>
              <w:t xml:space="preserve">euro </w:t>
            </w:r>
            <w:r w:rsidR="00000000" w:rsidRPr="00000000" w:rsidDel="00000000">
              <w:rPr>
                <w:rtl w:val="0"/>
              </w:rPr>
              <w:t xml:space="preserve"> un kopumā pārsniedz 714 milj. </w:t>
            </w:r>
            <w:r w:rsidR="00000000" w:rsidRPr="00000000" w:rsidDel="00000000">
              <w:rPr>
                <w:i w:val="1"/>
                <w:rtl w:val="0"/>
              </w:rPr>
              <w:t xml:space="preserve">euro</w:t>
            </w:r>
            <w:r w:rsidR="00000000" w:rsidRPr="00000000" w:rsidDel="00000000">
              <w:rPr>
                <w:rtl w:val="0"/>
              </w:rPr>
              <w:t xml:space="preserve">.   Līdz ar to šos resursus pašvaldības var arī  izmantot pašvaldībām nozīmīgu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22-TA-2763</w:t>
    </w:r>
    <w:r>
      <w:br/>
    </w:r>
    <w:r w:rsidR="00000000" w:rsidRPr="00000000" w:rsidDel="00000000">
      <w:rPr>
        <w:rtl w:val="0"/>
      </w:rPr>
      <w:t xml:space="preserve">01.11.2022. 12.15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22-TA-2763</w:t>
    </w:r>
    <w:r>
      <w:br/>
    </w:r>
    <w:r w:rsidR="00000000" w:rsidRPr="00000000" w:rsidDel="00000000">
      <w:rPr>
        <w:rtl w:val="0"/>
      </w:rPr>
      <w:t xml:space="preserve">01.11.2022. 12.15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Izziņa_22-TA-2763.docx</dc:title>
</cp:coreProperties>
</file>

<file path=docProps/custom.xml><?xml version="1.0" encoding="utf-8"?>
<Properties xmlns="http://schemas.openxmlformats.org/officeDocument/2006/custom-properties" xmlns:vt="http://schemas.openxmlformats.org/officeDocument/2006/docPropsVTypes"/>
</file>