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23-TA-1822: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2021.–2027.gadam 2.2.3. specifiskā atbalsta mērķa “Uzlabot dabas aizsardzību un bioloģisko daudzveidību, “zaļo” infrastruktūru, it īpaši pilsētvidē, un samazināt piesārņojumu” 2.2.3.7. pasākuma “Gaisa piesārņojošo vielu emisiju samazināšana pašvaldību siltumapgādē”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 plānošanas perioda vadības likuma 19. panta 13.punktu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 kas nosaka, ka projekta iesniegumam jāpievieno izmaksu ieguvumu analīze, ņemot vērā noteikumu projekta 42.7.1.apakšpunktā noteikto prasību, anotācijā minēto informāciju, kā arī 2.2.3.7.pasākuma “Gaisa piesārņojošo vielu emisiju samazināšana pašvaldību siltumapgādē” projektu iesniegumu vērtēšanas kritēriju kopā iekļauto kritēriju, kas paredz vērtēt, vai projekta izmaksu lietderīgums ir pamatots ar projekta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Ministru kabineta 2023. gada 13. jūlija sēdes protokollēmumā (prot. Nr. 36 85. § 3. punkts) noteikto – proti,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un ieguvumu analīze pēc būtības ir nepieciešama, lai noteiktu, vai plānotajā projektā gaidāmie ieguvumi (finanšu vai sociālekonomiskie) ir lielāki par projekta izmaksām visā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25.punkts izteikts jaunā redakcijā.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 plānošanas perioda vadības likuma 19. panta 13.punktu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mērķteritorija ir Latvijas Republikas valstspilsētu un novadu pilsētu teritorijas.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centralizētās siltumapgādes pakalpojums tiek nodrošināts arī  vietās, kas atbilst Administratīvo teritoriju un apdzīvoto vietu likuma 2.panta nosacījumiem, bet nav uzskaitītas šī paša likuma pielikumā kā novadu pilsētas. Attiecīgi Noteikumu projekta punkta redakcija izslēdz iespēju piedalīties programmā apdzīvotas vietas CSA pakalpojuma sniedzējam, pat ja iedzīvotāju blīvums atbilst noteikumu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izteikt punktu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mērķteritorija ir Latvijas Republikas valstspilsētu, novadu pilsētu un apdzīvotu vietu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investīciju galvenais mērķis ir samazināt gaisa piesārņojumu un visizteiktākās gaisa kvalitātes problēmas ir tieši pilsētās. Skaidrojam, ka atbilstoši Gaisa piesārņojuma samazināšanas rīcības plānam 2020.-2030. gadam gaisa kvalitātes uzlabošanas pasākumi galvenokārt paredzēti Rīgas, Liepājas un Rēzeknes valstspilsētās, kur konstatēti normatīvo vērtību pārsniegumi. Atbalsta pasākuma ietvaros jau šobrīd ir paredzēts plašāks mērķteritorijas tvērums, ļaujot saņemt atbalstu visās Latvijas valstspilsētās un novadu pilsētās, turklāt primāri atbalsts sniedzams vidējas jaudas sadedzināšanas iekārtām, kurām normatīvajos aktos noteiktās prasības stājas spēkā 2025. gada 1.janvārī (lielākas iekārtas par 5 MW), kur šādas jaudas iekārtas ārpus pilsētām nav tipiski izveidotas.  Vēl plašāka mērķteritorijas tvēruma paplašināšana ierobežota finansējuma dēļ nav racionāla un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enerģētikas politikas izstrāde, tai skaitā specifiski atbalsta pasākumi enerģētikas jomas uzņēmumiem ir Klimata un enerģētikas ministrijas atbildības jomas ietvaros, tādējādi aicinām sekot līdzi Klimata un enerģētikas ministrijas izstrādātajiem atbalsta pasākumiem, kā arī sekot līdzi Eiropas Savienības kohēzijas politikas programmas 2021.–2027.gadam 2.1.1.specifiskā atbalsta mērķa  “Energoefektivitātes veicināšana un siltumnīcefekta gāzu emisiju samazināšana” ietvertajiem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mērķteritorija ir Latvijas Republikas valstspilsētu un novadu pilsētu teritorijas.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2027. gada 31. decembrim nodrošināts nacionālais rādītājs putekļu daļiņu emisiju ietaupījumam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rādītājam nav noteikta sasniedzamā vērtība un anotācijā norādīts, ka informāciju par sasniegtajām vērtībām ir paredzēts ziņot pēc projekta īstenošanas, lūdzam šo rādītāju svītrot no 5.punkta, bet paredzēt MK noteikumos kā finansējuma saņēmēja uzkrājamo informāciju, kuru iesniedz pēc projekta īstenošanas.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sadarbības iestāde neveiks nacionālo rādītāju pārbaudi, tikai nodrošinās informācijas uzkrāšanu par to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plānojot nozares politiku un nākotnes atbalsta pasākumus šādu datu uzkrāšana ir būtiska, turklāt projektu iesniegumu vērtēšanas kritērijos šī nacionālā rādītāja vērtība var būt par pamatu projektu prioritizācijas noteikšanai, līdz ar to sadarbības iestādei būs nepieciešams vērtēt šos datus (Projektu iesniegumu vērtēšanas kritēriji apstiprināti Eiropas Savienības fondu 2021.–2027.gada plānošanas perioda Uzraudzības komitejas 26.09.2023. Lēmumu Nr. L-2023/21-27/6).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2027. gada 31. decembrim nodrošināts nacionālais rādītājs putekļu daļiņu emisiju ietaupījumam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ir rakstīts, ka </w:t>
            </w:r>
            <w:r w:rsidR="00000000" w:rsidRPr="00000000" w:rsidDel="00000000">
              <w:rPr>
                <w:i w:val="1"/>
                <w:rtl w:val="0"/>
              </w:rPr>
              <w:t xml:space="preserve">“ar terminu “iedzīvotājs” attiecībā uz noteikumu projekta 5.punktu noteikumu projektā tiek saprasts aprēķinātais iedzīvotāju skaits 2km rādiusā ap sadedzināšanas iekārtu, reizinot teritorijas laukumu ar attiecīgās apdzīvotās vietas vidējo iedzīvotāju blīvumu (iedz./kvadrātkilometru, atbilstoši CSP uz projekta iesniegšanas dienas pēdējiem publicētajiem datiem [7] vai valstspilsētas vai novadu pilsētas konkrētas apkaimes/mikrorajona aktuālajiem blīvuma datiem, ja tas precīzāk ataino investīciju īstenošanas rezultātā ietekmēto iedzīvotāju skaitu (datiem jāietver apdzīvojuma blīvumu vismaz 2 km rādiusā ap sadedzināšanas iekārtu. Šādā gadījumā datiem ir jābūt publiski pieejamiem, ikgadējiem, pierādāmiem un reprezentatīviem attiecīgajai projekta īstenošanas vietai).”.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rakstīto, lūdzam atbilstoši papildināt Noteikumu projekta 6.punktu, izsakot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5.1. apakšpunktā minēto rezultāta rādītāja vērtību nosaka atbilstošās apdzīvotās vietas reģistrēto iedzīvotāju blīvumu (iedzīvotāju skaits/kvadrātkilometrs) reizinot ar 6,28 kvadrātkilometriem vai valstspilsētas vai novadu pilsētas konkrētas apkaimes/mikrorajona aktuālajiem blīvuma datiem, ja tas precīzāk ataino investīciju īstenošanas rezultātā ietekmēto iedzīvotāju skaitu (datiem jāietver apdzīvojuma blīvumu vismaz 2 km rādiusā ap sadedzināšanas iekārtu. Šādā gadījumā datiem ir jābūt publiski pieejamiem, ikgadējiem, pierādāmiem un reprezentatīviem attiecīgajai projekta īstenošanas vietai).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atbilstoši Centrālās statistikas pārvaldes uz projekta iesniegšanas dienas pēdējiem publicētajiem datiem par valstspilsētas vai novadu pilsētas reģistrēto iedzīvotāju blīvumu (iedzīvotāju skaits/kvadrātkilometrs) reizinot to ar 6,28 kvadrātkilometriem, vai, ja tas var precīzāk atainot investīciju īstenošanas rezultātā ietekmēto iedzīvotāju skaitu, tad atbilstoši konkrētās valstspilsētas vai novadu pilsētas deklarēto iedzīvotāju skaitam 2 kilometru rādiusā ap sadedzināšanas iekārtu, par ko sadarbības iestāde pārliecinās, izmantojot Pilsonības un migrāciju lietu pārvaldes datus.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1.3. sadaļā “Pašreizējā situācija, problēmas un risinājumi” norādīts: “Ar terminu “iedzīvotājs” attiecībā uz noteikumu projekta 5.punktu noteikumu projektā tiek saprasts aprēķinātais iedzīvotāju skaits 2km rādiusā ap sadedzināšanas iekārtu, reizinot teritorijas laukumu ar attiecīgās apdzīvotās vietas vidējo iedzīvotāju blīvumu (iedz./kvadrātkilometru, atbilstoši CSP uz projekta iesniegšanas dienas pēdējiem publicētajiem datiem [7] </w:t>
            </w:r>
            <w:r w:rsidR="00000000" w:rsidRPr="00000000" w:rsidDel="00000000">
              <w:rPr>
                <w:u w:val="single"/>
                <w:rtl w:val="0"/>
              </w:rPr>
              <w:t xml:space="preserve">vai valstspilsētas vai novadu pilsētas konkrētas apkaimes/mikrorajona aktuālajiem blīvuma datiem, ja tas precīzāk ataino investīciju īstenošanas rezultātā ietekmēto iedzīvotāju skaitu (datiem jāietver apdzīvojuma blīvumu vismaz 2 km radiusā ap sadedzināšanas iekārtu. Šādā gadījumā datiem ir jābūt publiski pieejamiem, ikgadējiem, pierādāmiem un reprezentatīviem attiecīgajai projekta īstenošanas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papildināt Noteikumu projekta 6.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u w:val="single"/>
                <w:rtl w:val="0"/>
              </w:rPr>
              <w:t xml:space="preserve">5.1. 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w:t>
            </w:r>
            <w:r w:rsidR="00000000" w:rsidRPr="00000000" w:rsidDel="00000000">
              <w:rPr>
                <w:u w:val="single"/>
                <w:rtl w:val="0"/>
              </w:rPr>
              <w:t xml:space="preserve">vai valstspilsētas vai novadu pilsētas konkrētas apkaimes/mikrorajona aktuālajiem blīvuma datiem, ja tas precīzāk ataino investīciju īstenošanas rezultātā ietekmēto iedzīvotāju skaitu (datiem jāietver apdzīvojuma blīvumu vismaz 2 km radiusā ap sadedzināšanas iekārtu. Šādā gadījumā datiem ir jābūt publiski pieejamiem, ikgadējiem, pierādāmiem un reprezentatīviem attiecīgajai projekta īstenošanas vietai). </w:t>
            </w:r>
            <w:r w:rsidR="00000000" w:rsidRPr="00000000" w:rsidDel="00000000">
              <w:rPr>
                <w:rtl w:val="0"/>
              </w:rPr>
              <w:t xml:space="preserve">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atbilstoši Centrālās statistikas pārvaldes uz projekta iesniegšanas dienas pēdējiem publicētajiem datiem par valstspilsētas vai novadu pilsētas reģistrēto iedzīvotāju blīvumu (iedzīvotāju skaits/kvadrātkilometrs) reizinot to ar 6,28 kvadrātkilometriem, vai, ja tas var precīzāk atainot investīciju īstenošanas rezultātā ietekmēto iedzīvotāju skaitu, tad atbilstoši konkrētās valstspilsētas vai novadu pilsētas deklarēto iedzīvotāju skaitam 2 kilometru rādiusā ap sadedzināšanas iekārtu, par ko sadarbības iestāde pārliecinās, izmantojot Pilsonības un migrāciju lietu pārvaldes datus.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atbilstošās apdzīvotās vietas reģistrēto iedzīvotāju blīvumu (iedzīvotāju skaits/kvadrātkilometrs) reizinot ar 6,28 kvadrātkilometriem.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anotācijas 1.3. sadaļā “Pašreizējā situācija, problēmas un risinājumi” norādīts: “Ar terminu “iedzīvotājs” attiecībā uz noteikumu projekta 5.punktu noteikumu projektā tiek saprasts aprēķinātais iedzīvotāju skaits 2km rādiusā ap sadedzināšanas iekārtu, reizinot teritorijas laukumu ar attiecīgās apdzīvotās vietas vidējo iedzīvotāju blīvumu (iedz./kvadrātkilometru, atbilstoši CSP uz projekta iesniegšanas dienas pēdējiem publicētajiem datiem [7] vai valstspilsētas vai novadu pilsētas konkrētas apkaimes/mikrorajona aktuālajiem blīvuma datiem, ja tas precīzāk ataino investīciju īstenošanas rezultātā ietekmēto iedzīvotāju skaitu (datiem jāietver apdzīvojuma blīvumu vismaz 2 km radiusā ap sadedzināšanas iekārtu. Šādā gadījumā datiem ir jābūt publiski pieejamiem, ikgadējiem, pierādāmiem un reprezentatīviem attiecīgajai projekta īstenošanas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5.1. apakšpunktā minēto rezultāta rādītāja vērtību nosaka atbilstošās apdzīvotās vietas reģistrēto iedzīvotāju blīvumu (iedzīvotāju skaits/kvadrātkilometrs) reizinot ar 6,28 kvadrātkilometriem vai valstspilsētas vai novadu pilsētas konkrētas apkaimes/mikrorajona aktuālajiem blīvuma datiem, ja tas precīzāk ataino investīciju īstenošanas rezultātā ietekmēto iedzīvotāju skaitu (datiem jāietver apdzīvojuma blīvumu vismaz 2 km radiusā ap sadedzināšanas iekārtu. Šādā gadījumā datiem ir jābūt publiski pieejamiem, ikgadējiem, pierādāmiem un reprezentatīviem attiecīgajai projekta īstenošanas vietai).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minēto rezultāta rādītāja vērtību nosaka atbilstoši Centrālās statistikas pārvaldes uz projekta iesniegšanas dienas pēdējiem publicētajiem datiem par valstspilsētas vai novadu pilsētas reģistrēto iedzīvotāju blīvumu (iedzīvotāju skaits/kvadrātkilometrs) reizinot to ar 6,28 kvadrātkilometriem, vai, ja tas var precīzāk atainot investīciju īstenošanas rezultātā ietekmēto iedzīvotāju skaitu, tad atbilstoši konkrētās valstspilsētas vai novadu pilsētas deklarēto iedzīvotāju skaitam 2 kilometru rādiusā ap sadedzināšanas iekārtu, par ko sadarbības iestāde pārliecinās, izmantojot Pilsonības un migrāciju lietu pārvaldes datus. Vērtību uzskata par sasniegtu līdz pēcuzraudzības perioda pirmā gada 31.decembrim, aprēķinos izmantojot tā brīža pēdējos pieejamos datus un demogrāfisko rādītāju izmaiņu ietekmi uz vērtības izmaiņām. Projekta iesniedzēja iesniegto projektu ietvaros rezultāta rādītāja vērtība valstspilsētā un novada pilsētā nedrīkst pārsniegt konkrētās valstspilsētas vai novada pilsētas iedzīvotāju skaitu.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atlases ietvaros pieejamais Eiropas Reģionālās attīstības fonda finansējums netiek izlietots, atlikušo Eiropas Reģionālās attīstības fonda finansējumu, sadarbības iestādei vienojoties ar atbildīgo iestādi par atlases nosacījumiem, novirza nākamo pasākuma atlases kārtu projektu finansēšanai.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jo nav skaidrs, kas domāts ar terminu "nav izlietots" - finansējums, kas palicis neizmantots atlases rezultātā vai arī tāds finansējums, kas atbrīvojies projektu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 pieļaujama viena vai vairākas papildu projektu iesniegumu atlases.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norma izteikta iespējami universāli, lai atkarībā no iestājušās situācijas būtu iespēja izsludināt papildu atlasi gan gadījumā, kad palicis neizmantots finansējums atlases rezultātā, gan gadījumā, kad finansējums ir atbrīvojies projektu īstenošanas rezultātā. Tāpat norādām, ka ir iespējamas vairākas atlases, ja tāda nepieciešamība radīsies.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atlases ietvaros pieejamais Eiropas Reģionālās attīstības fonda finansējums netiek izmantots, atlikušo Eiropas Reģionālās attīstības fonda finansējumu, sadarbības iestādei vienojoties ar atbildīgo iestādi par atlases nosacījumiem, novirza nākamo pasākuma atlašu organizēšanai.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kas pēc projekta iesnieguma apstiprināšanas kļūst par finansējuma saņēmēju, ir sabiedrisko pakalpojumu sniedzējs centralizētās siltumapgādes nozarē – kapitālsabiedrība, kurai ar pašvaldību noslēgts pakalpojumu līgums par siltumenerģijas apgādes pakalpojumu, kas ietver arī siltuma ražošanu,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VARAM svītrot šo un nākamo punktu, jo tikai nedaudziem CSA uzņēmumiem Latvijā ir noslēgti līgumi ar attiecīgajām pašvaldībām un šie līgumi NAV pakalpojumu līgums par siltumenerģijas apgādi, bet gan pilnvarojuma/ deleģējuma līgums. Tāpat ir uzņēmumi, kur šādi līgumi nav un nevar tikt noslēgti, jo deleģējums par siltumenerģijas apgādi ir iekļauts uzņēmuma dibināšanas līgumā, kā arī šādu līgumu noslēgšana ar pašvaldību nav iespējama, jo vienotā tīklā siltumenerģiju piegādā vairāki ražotāji, balstoties uz līgumu ar CSA operatoru, kurš iegādājas siltumenerģiju atbilstoši ekonomiskā pakāpeniskuma principam. Nav iespējams, ka ar pašvaldību būtu noslēgti vairāki līgumi, jo, atbilstoši Pašvaldību likuma nosacījumiem, pašvaldības autonomā funkcija ir organizēt, nevis nodrošināt siltumapgādes funkciju.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ieskatā, saglabājot šo punktu, tiek veikta potenciālo programmas dalībnieku šķirošana vēl pirms pieteikumu pieņemšanas izsludināšanas,  liedzot iespēju uzlabot gaisa kvalitāti administratīvajās teritorijās, kur siltumapgādi nodrošina privātas kapitālsabiedrības un/ vai CSA uzņēmumi, ar kuriem nav noslēgti pilnvarojuma līgumi. Tāpat norādām, ka šāda uzņēmu šķirošana var būt ievērojams šķērslis programmas mērķu sasniegšanai un atvēlētā finansējuma apgūšanai pilnā apmērā, un ir pretrunā ar Anotāciju, kur norādīts, ka “</w:t>
            </w:r>
            <w:r w:rsidR="00000000" w:rsidRPr="00000000" w:rsidDel="00000000">
              <w:rPr>
                <w:i w:val="1"/>
                <w:rtl w:val="0"/>
              </w:rPr>
              <w:t xml:space="preserve">Investīcijas centralizētajai siltumapgādei ir būtiski efektīvākas, jo var nodrošināt putekļu emisiju samazināšanu avotā, kur to emisiju ir lielāka</w:t>
            </w:r>
            <w:r w:rsidR="00000000" w:rsidRPr="00000000" w:rsidDel="00000000">
              <w:rPr>
                <w:rtl w:val="0"/>
              </w:rPr>
              <w:t xml:space="preserve">[..]” un “[..]</w:t>
            </w:r>
            <w:r w:rsidR="00000000" w:rsidRPr="00000000" w:rsidDel="00000000">
              <w:rPr>
                <w:i w:val="1"/>
                <w:rtl w:val="0"/>
              </w:rPr>
              <w:t xml:space="preserve">investīcijas putekļu emisiju novēršanai nodrošinās augstāku ietekmi uz putekļu emisiju samazināšanu.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ir komercdarbības atbalsta pasākums, kura īstenošana iespējama tikai ievērojot valsts atbalsta regulējumu. Komercdarbības atbalstu siltumapgādes jomā VARAM, ņemot vērā atbildības jomu demarkāciju ar citām nozares ministrijām, var sniegt siltumapgādes sabiedrisko pakalpojumu sniedzējiem kā atlīdzības (kompensācijas) maksājumus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Nr. 2012/21/ES). Lai varētu piešķirt atlīdzības maksājumus siltumapgādes sabiedrisko pakalpojumu sniedzējam ir jābūt noslēgtam publiskajam pakalpojumu līgumam ar pašvaldību un tajā ir jābūt iekļautiem arī nosacījumiem, kādus paredz lēmums Nr. 2012/21/ES.   Atbalsta pasākuma ietvaros ir plānots izstrādāt vadlīnijas publisko pakalpojumu līguma noslēgšanai.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kas pēc projekta iesnieguma apstiprināšanas kļūst par finansējuma saņēmēju, ir sabiedrisko pakalpojumu sniedzējs centralizētās siltumapgādes nozarē – kapitālsabiedrība, kurai ar pašvaldību noslēgts pakalpojumu līgums par siltumenerģijas apgādes pakalpojumu, kas ietver arī siltuma ražošanu,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Līgumā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apakšpunktos uzskaitītās prasības atbilst pilnvarojuma līgumā iekļaujamajam regulējumam, nevis pakalpojuma līgumā iekļaujamām normām. LSUA ieskatā, saglabājot nemainītu 14.punktu, 15. punkta redakcija ir jākoriģē, tajā iestrādātās prasības aizstājot ar noacījumu, ka līgumam ir jāatbilst Ministru kabineta 2008.gada 21.oktobra noteikumu Nr. 876 “Siltumenerģijas piegādes un lietošanas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Līgumā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(līguma) darbības perioda beigās.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lūdz precizēt punktā minētā līguma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iesniedz sadarbības iestādē vispārējas tautsaimnieciskas nozīmes pakalpojuma pilnvarojuma uzlicēja apliecinājumu par atlīdzības (kompensācijas) maksājumu kontroli un pārskatīšanu, kā arī minēto maksājumu pārmaksas novēršanu un atgūšanu, ievērojot Eiropas Savienības līmenī noteikto pārbaužu regularitāti, bet ne retāk kā reizi trijos gados un pilnvarojuma akta (līguma) darbības perioda beigās.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lūdz precizēt punktā minētā līguma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8.punktā.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Komercdarbības atbalsta saņēmējs un vispārējas tautsaimnieciskas nozīmes pakalpojuma pilnvarojuma uzlicējs nodrošina, ka pilnvarojuma periodā un vismaz 10 gadus pēc pilnvarojuma perioda beigām tiek saglabāta un nodrošināta pieejamība projekta izmaksu pamatojošiem dokumentiem, visai ar projektu saistītajai dokumentācijai un visai nepieciešamajai informācijai, lai noteiktu, vai piešķirtais atbalsts ir atbilstošs komercdarbības atbalsta piešķiršanas nosacījumiem vispārējas tautsaimniecības nozīmes pakalpojumu sniegšanai. Sadarbības iestāde ar komercdarbības atbalsta piešķiršanu saistīto informāciju glabā un nodrošina tās pieejamību 10 gadus, skaitot no pēdējās komercdarbības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atbalsta saņēmējs un vispārējas tautsaimnieciskas nozīmes pakalpojuma pilnvarojuma uzlicējs nodrošina, ka pilnvarojuma periodā un vismaz 10 gadus pēc pilnvarojuma perioda beigām tiek saglabāta un nodrošināta pieejamība visai nepieciešamajai informācijai, lai noteiktu, vai piešķirtais atbalsts ir saderīgs ar Eiropas Komisijas lēmumu Nr.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tajā skaitā tā 18. punktā ietverta atsauce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(turpmāk - Lēmums). Vēršam uzmanību, ka saskaņā ar Līguma par Eiropas Savienības darbību 288. pantu lēmumi, kuros norādīti konkrēti adresāti, ir saistoši tikai šiem adresātiem. Ja lēmumu adresāts ir dalībvalstis un ir nepieciešams to normas padarīt saistošas privātpersonām, tad lēmumi ir jāpārņem valsts tiesību sistēmā tāpat kā direktīvas.[1]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2. pants noteic, ka šo lēmumu piemēro valsts atbalstam attiecībā uz kompensāciju par sabiedrisko pakalpojumu sniegšanu, kas piešķirta uzņēmumiem, kuriem uzticēts sniegt pakalpojumus ar vispārēju tautsaimniecisku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13. pants noteic, ka šis lēmums ir adresēts dalībvalstīm. Attiecīgi šajā gadījumā nepieciešams izvērtēt, vai Lēmums satur tādas normas, kas attiecināmas arī uz privātpersonām. Ja Lēmums šādas normas satur, tad lūdzam tās pārņemt noteikumu projektā un attiecīgi precizēt noteikumu projekta 18. punktu, svītrojot atsauci uz Lēmumu. Ja Lēmums nesatur normas, kas jāattiecina uz privātpersonām, un Lēmumu var tieši izpildīt valsts iestādes, tad arī šādā gadījumā noteikumu projekta 18. punktā atsauce uz Lēmumu svītrojama, jo atbilstoši Ministru kabineta 2009. gada 3. februāra noteikumu Nr. 108 "Normatīvo aktu projektu sagatavošanas noteikumi" 170.-172. punktam normatīvā akta tekstā atsauces raksta tikai uz Eiropas Savienības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iepriekš minētajam precizēt visas noteikumu projekta normas, kurās norādītas atsauces uz minēto lēmumu.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 arī Eiropas Savienības tiesību ieviešanas rokasgrāmatas 2.8. apakšnodaļu „Lēmumu ieviešana”, 48. lp., pieejama: https://www.tm.gov.lv/lv/es-tiesibu-ieviesana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jauno 16. punktu, precizēto 34.2. apakšpunktu. Svītrots 33.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Komercdarbības atbalsta saņēmējs un vispārējas tautsaimnieciskas nozīmes pakalpojuma pilnvarojuma uzlicējs nodrošina, ka pilnvarojuma periodā un vismaz 10 gadus pēc pilnvarojuma perioda beigām tiek saglabāta un nodrošināta pieejamība projekta izmaksu pamatojošiem dokumentiem, visai ar projektu saistītajai dokumentācijai un visai nepieciešamajai informācijai, lai noteiktu, vai piešķirtais atbalsts ir atbilstošs komercdarbības atbalsta piešķiršanas nosacījumiem vispārējas tautsaimniecības nozīmes pakalpojumu sniegšanai. Sadarbības iestāde ar komercdarbības atbalsta piešķiršanu saistīto informāciju glabā un nodrošina tās pieejamību 10 gadus, skaitot no pēdējās komercdarbības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vienu sadedzināšanas iekārtu iesniedz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gadījumi, kad vairākas sadedzināšanas iekārtas var tikt aprīkotas ar vienu putekļu (cieto daļiņu) emisijas attīrīšanas iekārtu vai kad siltumavotā ir uzstādīts viens dūmenis uz vairākām sadedzināšanas iekārtām. Papildus norādām, ka Valsts Vides dienests izsniedz atļaujas A, B un C kategorijas piesārņojošo darbību veikšanai siltumavotam, ne atsevišķi katrai sadedzināšanas iekārtai.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ar nosacījumu – projekta iesniedzējs par vienu sadedzināšanas iekārtu iesniedz vienu projekta iesniegumu – neierobežot projektu iesniedzēju loku, izsakot Noteikumu projekta 20. punktu vienā no piedāvātām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vienā siltumavotā (katlumājā) esošām sadedzināšanas iekārtām iesniedz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vienu putekļu (cieto daļiņu) emisijas attīrīšanas iekārtu iesniedz vienu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lai nodrošinātu savstarpēju projektu salīdzināmību un, lai nodrošinātu, ka atklāta konkursa projektu iesniegumu atlasē tiktu atlasīti paši efektīvākie projekti, noteikumu projekts paredz, ka par katru vidējas jaudas sadedzināšanas iekārtu 2021. gada 7. janvāra Ministru kabineta noteikumu Nr. 17 “Noteikumi par gaisa piesārņojuma ierobežošanu no sadedzināšanas iekārtām” noteikumu izpratnē iesniedz atsevišķu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sadedzināšanas iekārta atbilstoši minēto noteikumu 2.19. apakšpunkta prasībām ir tehniska ierīce, kurā oksidē kurināmo, lai iegūtu siltumenerģiju tālākai izmantošanai. Tā var sastāvēt no atsevišķām sadedzināšanas iekārtas daļām – tehniskajām ierīcēm jeb katliem, kuri savas izplūdes gāzes izvada caur vienu kopīgu dūmeni. Savukārt minēto noteikumu 34.punkts nosaka, ka divu vai vairāku atsevišķu vidējas jaudas sadedzināšanas iekārtas daļu apvienojumu uzskata par vienu vidējas jaudas sadedzināšanas iekārtu un iekārtas kopējās nominālās ievadītās siltuma jaudas aprēķināšanai minēto iekārtas daļu nominālās ievadītās siltuma jaudas saskaita,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divu vai vairāku atsevišķu vidējas jaudas sadedzināšanas iekārtas daļu izplūdes gāzes aizvada caur vienu kopīgu dūmeni;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atbilstoši Valsts vides dienesta vērtējumam divu vai vairāku atsevišķu vidējas jaudas sadedzināšanas iekārtas daļu izplūdes gāzes tehnisko un ekonomisko faktoru dēļ var aizvadīt caur vienu kopīgu dūmeni.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22.punkts (iepriekš 21.punkts) nosaka, ka viens projekta iesniedzējs pasākuma ietvaros ir tiesīgs iesniegt neierobežotu projekta iesniegumu skaitu, līdz ar to uzskatām, ka noteikumu projekta nosacījumi neierobežo projektu iesniedzēju loku, jo pieļauj divu vai vairāku atsevišķu vidējas jaudas sadedzināšanas iekārtas daļu apvienojumam uzstādīt vienu putekļu (cieto daļiņu) emisijas attīrīšanas iekārtu, vienlaikus neliedz uzstādīt iekārtas arī katrai sadedzināšanas iekārtas daļai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par vienu sadedzināšanas iekārtu iesniedz vienu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vienu sadedzināšanas iekārtu iesniedz vienu projekta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gadījumi, kad vairākas sadedzināšanas iekārtas var tikt aprīkotas ar vienu putekļu (cieto daļiņu) emisijas attīrīšanas iekārtu vai kad siltumavotā ir uzstādīts viens dūmenis uz vairākām sadedzināšanas iekārtām. Papildus norādām, ka Valsts Vides dienests izsniedz atļaujas A, B un C kategorijas piesārņojošo darbību veikšanai siltumavotam, ne atsevišķi katrai sadedzināšanas iekārtai.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ar nosacījumu – projekta iesniedzējs par vienu sadedzināšanas iekārtu iesniedz vienu projekta iesniegumu – neierobežot projektu iesniedzēju loku, izsakot Noteikumu projekta 20. punktu vienā no piedāvātām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vienā siltumavotā (katlumājā) esošām sadedzināšanas iekārtām iesniedz vienu projekta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par vienu putekļu (cieto daļiņu) emisijas attīrīšanas iekārtu iesniedz vienu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komentāru izziņas 13.punktā.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par vienu sadedzināšanas iekārtu iesniedz vienu projekta iesniegumu.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pēdējos trīs pilnajos kalendārajos gados pirms projekta iesnieguma iesniegšanas, nav pārsniegti pieļaujamie gaisu piesārņojošo vielu emisiju robežlielumi;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uztur publiskās saskaņošanas laikā pausto iebildumu, t.i. kategoriski iebilst pret šī punkta saglabāšanu MK noteikumu projektā, jo tas ir ne tikai pretrunā ar Noteikumu projekta mērķi “</w:t>
            </w:r>
            <w:r w:rsidR="00000000" w:rsidRPr="00000000" w:rsidDel="00000000">
              <w:rPr>
                <w:i w:val="1"/>
                <w:rtl w:val="0"/>
              </w:rPr>
              <w:t xml:space="preserve">samazināt gaisa piesārņojuma radīto negatīvo ietekmi uz vidi un cilvēku veselību</w:t>
            </w:r>
            <w:r w:rsidR="00000000" w:rsidRPr="00000000" w:rsidDel="00000000">
              <w:rPr>
                <w:rtl w:val="0"/>
              </w:rPr>
              <w:t xml:space="preserve">”, bet arī liedz piedalīties projektu konkursā uzņēmumiem, kam tas ir visvairāk vajadzīgs – tiem, kas visvairāk piesārņo!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22.3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publiskā finansējuma ieguldījums pasākuma 2.2.3.7. ietvaros vērsts uz sabiedrisko siltumapgādes pakalpojumu ātrāku piemērošanos un pāreju uz jaunajām putekļu emisiju prasībām, nevis esošajām normatīvo aktu prasībām neatbilstošu emisijas avotu sakārtošanu. Esošās sadedzināšanas iekārtas, kas neizpilda spēkā esošās emisiju prasības (Ministru kabineta 2021. gada 7. janvāra noteikumu Nr. 17 5. pielikumā noteiktās prasības) nevar tikt sakārtotas, izmantojot publiskā finansējuma investīcijas, lai nodrošinātu vienlīdzīgu attieksmi pret visiem projektu iesniedzējiem un principa “Piesārņotājs maksā” ievērošanu. Papildus norādām, ka minētā principa ievērošana iekļauta Eiropas Savienības kohēzijas politikas programma 2021.–2027.gadam 198. rindkopas i) apakšppunktā, uz kā pamata izstrādāts noteikumu projektā ietvertais programmas 2.2.3.7. pasākums, kā arī attiecībā uz principa “Piesārņotājs maksā” ievērošanu specifiski norādījusi Eiropas komisija programmas saskaņošanas procesā. Princips “piesārņotājs maksā” horizontāli integrēts Eiropas Savienības vides tiesību aktos un Līguma par Eiropas Savienības darbību 191. panta 2. punktā. Vairāk par principu “piesārņotājs maksā” informāciju var iegūt: https://www.eca.europa.eu/Lists/ECADocuments/SR21_12/SR_polluter_pays_principle_LV.pdf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pēdējos trīs pilnajos kalendārajos gados pirms projekta iesnieguma iesniegšanas, nav pārsniegti pieļaujamie gaisu piesārņojošo vielu emisiju robežlielumi;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zeme, uz kuras atrodas siltumenerģijas pārvades un sadales sistēma, var nebūt projekta iesniedzēja īpašumā, valdījumā vai turējumā.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23.2. apakšpunkta lietderību, ņemot vērā, ka noteikumu projektā nav iekļautas atbalstāmas darbības attiecībā uz siltumenerģijas pārvades un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projekta ietvaros radītie 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atļaujas saņēmušu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26.1.1. apakšpunktā nepieciešams ietvert norādi uz konkrētu normatīvo aktu (likumu) vai normatīvo aktu jomu, kuros šie jautājumi regulēti.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vispārnoteikts atkritumu radītāja pienākums, kas fiksēts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likumā (AAL):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AAL  18.panta 1.daļa liek pašvaldībai izvēlēties atkritumu apsaimniekotāju savai administratīvai teritorijai un atbilstoši šī paša panta 7.daļai -   slēgt ar to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AAL 16.panta 1.daļa paredz atkritumu radītāja, kas šajā gadījumā ir finansējuma saņēmējs, pienākumu: Sadzīves atkritumu sākotnējais radītājs vai valdītājs piedalās pašvaldības organizētajā sadzīves atkritumu apsaimniekošanā, tai skaitā atkritumu dalītajā savākšanā, ievērojot normatīvos aktus par atkritumu apsaimniekošanu (arī pašvaldības izdotos saistošos noteikumus) un noslēdzot līgumu par sadzīves atkritumu savākšanu un pārvadāšanu ar atkritumu apsaimniekotāju, kurš ir noslēdzis attiecīgu līgumu ar pašvaldību atbilstoši šā likuma 18.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26.1.1.apakšpunkts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projekta ietvaros radītie elektronisko iekārtu atkritumi un citi atkritumi tiks apsaimniekoti atbilstoši normatīvo aktu atkritumu apsaimniekošanas jomā prasībām: tiks nodrošināta to savākšana, atkalizmantošana, sagatavošana pārstrādei un reģenerācijai, pārstrāde vai reģenerācija sadarbībā ar attiecīgu piesārņojošās darbības atļaujas saņēmušu komersantu;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darbības atbalstāmas, ja centralizētā siltumapgādes sistēma atbilst efektīvai centralizētajai siltumapgādes sistēmai atbilstoši Eiropas Parlamenta un Padomes Direktīvas 2012/27/ES par energoefektivitāti, ar ko groza Direktīvas 2009/125/EK un 2010/30/ES un atceļ Direktīvas 2004/8/EK un 2006/32/EK 2.panta 41.punktā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48.3.3. apakšpunktā ietverto atsauci uz direktīvu aizstāt ar atsauci uz nacionālo normatīvo tiesību aktu, kurā konkrētā direktīva pārņemta. Vēršam uzmanību, ka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Parlamenta un Padomes Direktīvas (ES) 2018/2001 (2018. gada 11. decembris) par no atjaunojamajiem energoresursiem iegūtas enerģijas izmantošanas veicināšanu 2.panta 20.punkta prasības (ietver Eiropas Parlamenta un Padomes Direktīvas 2012/27/ES par energoefektivitāti, ar ko groza Direktīvas 2009/125/EK un 2010/30/ES un atceļ Direktīvas 2004/8/EK un 2006/32/EK 2.panta 41.punktā norādīto definīcijas pilno skaidrojumu) plānots pārņemt ar Grozījumiem Enerģētikas likuma (21-TA-1563) 14.pantu (Papildināt likumu ar 49.1 pantu), tomēr likumprojekts šobrīd vēl nav pieņemts, tādējādi šobrīd noteikumu projektā norādīta tieša atsauce uz Direktīvas prasībām. Informējam, ka līdzko likumprojekts būs pieņemts un attiecīgās prasības pārņemtas ar nacionālo normatīvo tiesību aktu, noteikumu projekta saskaņošanas gaitā precizēsim punkta redakciju uz konkrētu Enerģētikas likuma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1.3.sadaļas [2]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darbības atbalstāmas, ja centralizētā siltumapgādes sistēma atbilst efektīvai centralizētajai siltumapgādes sistēmai atbilstoši Eiropas Parlamenta un Padomes Direktīvas 2012/27/ES par energoefektivitāti, ar ko groza Direktīvas 2009/125/EK un 2010/30/ES un atceļ Direktīvas 2004/8/EK un 2006/32/EK 2.panta 41.punktā minētajam.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 punktā ietverts skaidrojums, ka atsauce uz direktīvu projekta 29. punktā projekta saskaņošanas gaitā tiks svītrota, kad tiks pieņemts izziņā minētie grozījumi Enerģētikas likumā (21-TA-1563) un attiecīgi būs iespējams atsaukties uz nacionālā normatīvā akta normu, kurā pārņemta konkrētā direktīvas prasība. Reizē izprotot sniegto skaidrojumu, atkārtoti, kamēr atsauce nav svītrota un norma nav atbilstoši precizēta, atgādinām to, ka atsaukties uz direktīvām un to normām nacionālajos normatīvajos aktos nav pieļaujams. Atbilstoši Līguma par Eiropas Savienības darbību 288. panta trešajai daļai direktīvas dalībvalstīm uzliek saistības attiecībā uz sasniedzamo rezultātu, bet ļauj dalībvalstīm izvēlēties to īstenošanas formas un metodes. Proti, direktīvas atšķirībā no regulām nav tieši piemērojamas un tās kļūst saistošas personām tikai no brīža, kad tās ir pārņemtas Latvijas nacionālajos tiesību aktos. Attiecīgi lūdzam nodrošināt projekta atbilstību iepriekš minētajam un noteikumu projekta 29. punktā ietverto atsauci uz direktīvu aizstāt ar atsauci uz nacionālo normatīvo tiesību aktu un tā vienību, kurā konkrētā direktīvas prasība pārņemta, vai kā citādi atbilstoši precizēt projektu (salīdzinājumam sk. Ministru kabineta noteikumu projekta "Eiropas Savienības kohēzijas politikas programmas 2021.–2027. gadam 2.2.3. specifiskā atbalsta mērķa "Uzlabot dabas aizsardzību un bioloģisko daudzveidību, “zaļo” infrastruktūru, it īpaši pilsētvidē, un samazināt piesārņojumu" 2.2.3.5. pasākuma "Gaisa piesārņojuma samazināšanas pasākumi pašvaldībās" pirmās un otrās projektu iesniegumu atlases kārtas īstenošanas noteikumi" (23-TA-1895) izziņas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dzēšot noteikumu projekta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publiskos ieguldījumus var veikt tikai centralizētajā siltumapgādes sistēmā, kas atbilst efektīvai centralizētajai siltumapgādes sistēmai atbilstoši Eiropas Parlamenta un Padomes Direktīvas 2012/27/ES 2.panta 41.punktā minētajam. Minētās prasības plānots pārņemt ar Likumprojektu “Grozījumi Enerģētikas likumā”, nodrošinot investīciju atbilstību Eiropas Parlamenta un Padomes Regulas (ES) 2021/1058 (2021. gada 24. jūnijs) par Eiropas Reģionālās attīstības fondu un Kohēzijas fondu 7.panta punkta h) apakšpunkta prasībām. Atbilstoši Klimata un enerģētikas ministrijas sniegtajai informācijai, pamatojoties uz Atjaunojamo energoresursu direktīvas 24. panta 6. punktu, 24. panta 10. punkta c apakšpunktu, Klimata un enerģētikas ministrijas aprēķiniem un paziņojumam Eiropas Komisijai, ka Latvija nepiemēro Atjaunojamo energoresursu direktīvas 24. panta 2. – 9. punkta prasības, Latvijas centralizētās siltumapgādes efektivitāte nacionālā līmenī ir atbilstoša Energoefektivitātes direktīvas 2. panta 41. punkta prasībām.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Projektēšanas, autoruzraudzības un būvuzraudzības (tai skaitā inženiertehniskās uzraudzības) izmaksas ir attiecināmas, ja tās kopā nepārsniedz 7 % no šo noteikumu </w:t>
            </w:r>
            <w:r w:rsidR="00000000" w:rsidRPr="00000000" w:rsidDel="00000000">
              <w:rPr>
                <w:rtl w:val="0"/>
              </w:rPr>
              <w:t xml:space="preserve">29.1.</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tiesību normai jābūt skaidrai, lai tās lietotājs un piemērotājs gūtu nepārprotamu priekšstatu par saviem pienākumiem un tiesībām. Līdz ar to atbilstoši noteikumu Nr. 108 3.7. apakšnodaļai noteikumu projekta 29.3. apakšpunktā nepieciešams ietvert norādi uz konkrētu normatīvo aktu (likumu) vai normatīvo aktu jomu, kuros šie jautājumi regulēti.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30.3.apakšpunkts (iepriekš 29.3.apakšpunkts)  atbilstoši noteikumu Nr. 108 3.7. apakšnodaļai.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būvniecības vai energoefektivitātes jomā. Projektēšanas, autoruzraudzības un būvuzraudzības (tai skaitā inženiertehniskās uzraudzības) izmaksas ir attiecināmas, ja tās kopā nepārsniedz 10 % no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Projektēšanas, autoruzraudzības un būvuzraudzības (tai skaitā inženiertehniskās uzraudzības) izmaksas ir attiecināmas, ja tās kopā nepārsniedz 7 % no šo noteikumu </w:t>
            </w:r>
            <w:r w:rsidR="00000000" w:rsidRPr="00000000" w:rsidDel="00000000">
              <w:rPr>
                <w:rtl w:val="0"/>
              </w:rPr>
              <w:t xml:space="preserve">29.1.</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vadlīnijas attiecināmo izmaksu noteikšanai Eiropas Savienības kohēzijas politikas programmas 2021.-2027.gada plānošanas periodā nosaka, ka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ja tas ir noteikts Ministru kabineta noteikumos par specifiskā atbalsta mērķa īstenošanu (t.sk. veicot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noteikumu projekta 29.3.apakšpunktā noteikto ierobežojumu, nosakot, ka ierobežojums ir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30.3.apakšpunkts (iepriekš 29.3.apakšpunkts).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būvniecības vai energoefektivitātes jomā. Projektēšanas, autoruzraudzības un būvuzraudzības (tai skaitā inženiertehniskās uzraudzības) izmaksas ir attiecināmas, ja tās kopā nepārsniedz 10 % no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ar projekta darbībām tieši saistīto publicitātes pasākumu izmaksas, kas veiktas saskaņā ar normatīvajiem aktiem par kārtību, kādā Eiropas Savienības struktūrfondu un Kohēzijas fonda ieviešanā 2021.–2027. gada plānošanas periodā nodrošināma komunikācijas un vizuālās identitātes prasību ievērošana. Minētās izmaksas nepārsniedz 1 %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2021. - 2027.gada plānošanas periodā izveidojošos praksi un horizontālajos normatīvajos aktos lietoto jēdzienu "komunikācijas un vizuālās identitātes prasību nodrošināšanas nosacījumi", aicinām izvērtēt un pēc nepieciešamības precizēt noteikumu projekta 29.4. un 43.1.apakšpunktu.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svītrot noteikumu projekta 29.4.apakšpunktā vārdus un skaitļus "kas veiktas saskaņā ar normatīvajiem aktiem par kārtību, kādā Eiropas Savienības struktūrfondu un Kohēzijas fonda ieviešanā 2021.–2027. gada plānošanas periodā nodrošināma komunikācijas un vizuālās identitātes prasību ievērošana", ņemot vērā, ka minētie normatīvie akti nosaka komunikācijas un vizuālās identitātes prasības, bet ne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30.4.  (iepriekš 29.4.apakšpunkts) un 43.1.apakšpunkts.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ar projekta darbībām tieši saistīto publicitātes (komunikācijas un vizuālās identitātes) pasākumu izmaksas, kur publicitātes pasākumu izmaksas nepārsniedz 1 %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šo noteikumu spēkā stāšanās dienas,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turpina uzturēt publiskās apspriešanas laikā pausto iebildumu, ka Noteikumu projektu 2.2.3.7.pasākumam bija plānots izsludināt 2023. gada 1.ceturksnī, kā arī CSA uzņēmumiem bija zināmas emisiju prasības, kas stāsies spēkā ar 2025. gada 1.janvāri, daudzi CSA uzņēmumi jau šobrīd strādā pie projekta ieviešanas (piegādātāju atlase, projektēšana u.c.). Ja apstiprinātajā MK redakcijā tiks definēts, ka attiecināt var tikai tās izmaksas, kas radušās no MK noteikumu spēkā stāšanās dienas (kas arī šobrīd nav definēts skaidri, bet ne ātrāk kā 2023.gada nogale) un gadījumos, ja līgumi ar piegādātājiem tiek slēgti apvienoti (projektē + būvē), tad atbalstam nevarēs pretendēt. LSUA jau iepriekšējā saskaņošanas kārtā norādīja, ka iekārtu piegādes termiņi pārsniedz 6 mēnešus, attiecīgi, ja CSA uzņēmums nevēlas pārkāpt emisiju prasības no 2025.gada 1.janvāra, uzņēmumi nevar atļauties gaidīt MK noteikumu spēkā stāšanos, lai pabeigtu projektu līdz 2024. gada nogalei.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publiskā apspriešana tika uzsākta 2023.gada 21.jūlijā un var uzskatīt, ka sabiedrība un sabiedrisko pakalpojumu sniedzēji ar šo brīdi ir informēti par programmu un tās nosacījumiem, aicinām papildināt 30.punkta redakciju, nosakot, ka projektu izmaksas ir attiecināmas sākot ar 2023.gada 1.augustu.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šo noteikumu spēkā stāšanās dienas, izņemot projekta pamatojošās dokumentācijas sagatavošanas izmaksas, kas ir attiecināmas, ja tās veiktas pēc 2021. gada 1. janvāra, un šo noteikumu 29.punktā uzskaitītās izmaksas, ja tās radušās pēc 2023.gada 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31.punkts (iepriekš 30.punkts)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2023. gada 1. augusta, izņemot projekta pamatojošās dokumentācijas sagatavošanas izmaksas, kas ir attiecināmas, ja tās veiktas pēc 2021. gada 14.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šo noteikumu spēkā stāšanās dienas,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projekta pamatojošās dokumentācijas sagatavošanas izmaksas, iespējams, ir nesamērīgi attiecināt no 2021. gada 1. janvāra. Līdz ar to lūdzam skaidrot un pamatot noteikumu projekta 30. punktā noteikto attiecināmo izmaksu sākuma termiņu 2021. gada 1. 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31.punkts (iepriekš 30.punkts) un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Tā kā 2021. gada 7. janvāra Ministru kabineta noteikumi Nr. 17 “Noteikumi par gaisa piesārņojuma ierobežošanu no sadedzināšanas iekārtām” stājās spēkā 2021.gada 14.janvārī (noteiktas prasības gaisa piesārņojošo vielu emisijām), potenciālajiem projekta iesniedzējiem bija iespēja plānot projekta pamatojošās dokumentācijas sagatavošanas darbības jau no 2021.gada 14.janvāra, tādējādi uzskatām, ka ir noteikts samērīgs termiņš šo izmaksu attiecināšanai.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izmaksu attiecināmības termiņš noteikts, konsultējoties ar Latvijas siltumuzņēmumu asociāciju.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2023. gada 1. augusta, izņemot projekta pamatojošās dokumentācijas sagatavošanas izmaksas, kas ir attiecināmas, ja tās veiktas pēc 2021. gada 14.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atbilst šo noteikumu </w:t>
            </w:r>
            <w:r w:rsidR="00000000" w:rsidRPr="00000000" w:rsidDel="00000000">
              <w:rPr>
                <w:rtl w:val="0"/>
              </w:rPr>
              <w:t xml:space="preserve">29. </w:t>
            </w:r>
            <w:r w:rsidR="00000000" w:rsidRPr="00000000" w:rsidDel="00000000">
              <w:rPr>
                <w:rtl w:val="0"/>
              </w:rPr>
              <w:t xml:space="preserve">punktam</w:t>
            </w:r>
            <w:r w:rsidR="00000000" w:rsidRPr="00000000" w:rsidDel="00000000">
              <w:rPr>
                <w:rtl w:val="0"/>
              </w:rPr>
              <w:t xml:space="preserve"> un iekļauj finansējuma saņēmēja aktīvos kā amortizējamos ilgtermiņa ieguldījumus, tie paliek attiecīgajā reģionā un tos nenodod lietošanā trešajām personām vismaz piecus gadus pēc noslēguma maksājuma veikšanas;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prasības samērību un paredzēt, ka kā aktīvi finansējuma saņēmēja bilancē obligāti būtu iekļaujami tikai ilgtermiņa ieguldījumi, nevis jebkādas izmaksas, kuras paredzētas 29.punktā (t.sk. publicitātes pasākumu izmaksas, pakalpojumu līgumu izmaksas (būvuzraudzība, autoruzraudzība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32.1.apakšpunkts (iepriekš 31.1.apakšpunkts).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atbilst šo noteikumu </w:t>
            </w:r>
            <w:r w:rsidR="00000000" w:rsidRPr="00000000" w:rsidDel="00000000">
              <w:rPr>
                <w:rtl w:val="0"/>
              </w:rPr>
              <w:t xml:space="preserve">29. </w:t>
            </w:r>
            <w:r w:rsidR="00000000" w:rsidRPr="00000000" w:rsidDel="00000000">
              <w:rPr>
                <w:rtl w:val="0"/>
              </w:rPr>
              <w:t xml:space="preserve">punktam</w:t>
            </w:r>
            <w:r w:rsidR="00000000" w:rsidRPr="00000000" w:rsidDel="00000000">
              <w:rPr>
                <w:rtl w:val="0"/>
              </w:rPr>
              <w:t xml:space="preserve"> un iekļauj finansējuma saņēmēja aktīvos kā amortizējamos ilgtermiņa ieguldījumus, izņemot šo noteikumu </w:t>
            </w:r>
            <w:r w:rsidR="00000000" w:rsidRPr="00000000" w:rsidDel="00000000">
              <w:rPr>
                <w:rtl w:val="0"/>
              </w:rPr>
              <w:t xml:space="preserve">29.4.</w:t>
            </w:r>
            <w:r w:rsidR="00000000" w:rsidRPr="00000000" w:rsidDel="00000000">
              <w:rPr>
                <w:rtl w:val="0"/>
              </w:rPr>
              <w:t xml:space="preserve"> un </w:t>
            </w:r>
            <w:r w:rsidR="00000000" w:rsidRPr="00000000" w:rsidDel="00000000">
              <w:rPr>
                <w:rtl w:val="0"/>
              </w:rPr>
              <w:t xml:space="preserve">29.5. </w:t>
            </w:r>
            <w:r w:rsidR="00000000" w:rsidRPr="00000000" w:rsidDel="00000000">
              <w:rPr>
                <w:rtl w:val="0"/>
              </w:rPr>
              <w:t xml:space="preserve">apakšpunktā</w:t>
            </w:r>
            <w:r w:rsidR="00000000" w:rsidRPr="00000000" w:rsidDel="00000000">
              <w:rPr>
                <w:rtl w:val="0"/>
              </w:rPr>
              <w:t xml:space="preserve"> paredzētās attiecināmās izmaksas, tie paliek attiecīgajā reģionā un tos nenodod lietošanā trešajām personām vismaz piecus gadus pēc noslēguma maksājuma veikšanas;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ka projektā plānotās darbības netiek finansētas no citiem valsts, pašvaldības un ārvalstu finanšu atbalsta instrumentiem, vai citiem publiskajiem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37. punkts ir pretrunā noteikumu projekta 35. punktam. Attiecīgi lūdzam precizēt noteikumu projektu, novēršot pretrunas regulējumā.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dubultā finansējuma neiestāšanos, kā arī to, ka projektā plānotās darbības netiek finansētas no citiem valsts, pašvaldības un ārvalstu finanšu atbalsta instrumentiem, vai citiem publiskajiem līdzekļiem, izņemot, ja attiecināms,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paredzēto komercdarbības atbalsta kumulāciju.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ka projektā plānotās darbības netiek finansētas no citiem valsts, pašvaldības un ārvalstu finanšu atbalsta instrumentiem, vai citiem publiskajiem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pretrunu, kas veidojas starp noteikumu projekta 34.2.apakšpunktu, kurā tiek atļauta kumulācija ar citu komercdarbības atbalstu, kas sniegts saskaņā ar Komisijas lēmumu Nr. 2012/21/ES​​, citas atbalsta programmas vai individuālā atbalsta projekta ietvaros par vienām un tām pašām attiecināmajām izmaksām un noteikumu projekta 37.punktu, kurš nosaka, ka projektā plānotās darbības netiek finansētas no citiem valsts, pašvaldības un ārvalstu finanšu atbalsta instrumentiem, vai citiem publiskajiem līdzekļiem. Lūdzam precizēt noteikumu projektu, nodrošinot šo punktu savstarpēju saderību.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dubultā finansējuma neiestāšanos, kā arī to, ka projektā plānotās darbības netiek finansētas no citiem valsts, pašvaldības un ārvalstu finanšu atbalsta instrumentiem, vai citiem publiskajiem līdzekļiem, izņemot, ja attiecināms,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paredzēto komercdarbības atbalsta kumulāciju.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nodrošina horizontālo principu "Nenodarīt būtisku kaitējumu", "Klimatdrošināšana", un "Vienlīdzība, iekļaušana, nediskriminācija un pamattiesību ievērošana" ievērošanu, datu uzkrāšanu un ievadi Kohēzijas politikas fondu vienotās informācijas sistēmā projekta īstenošanas un pēcuzraudzības laikā, tai skaitā piecus gadus pēc noslēguma maksājuma veikšanas katru gadu līdz 31. janvārim sadarbības iestādei tiek iesniegts pārskats par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nacionālo rādītāja sasniegto putekļu daļiņu emisiju ietaupījumu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uzkrāšanas un apstrādes minimizēšanas principu, ka arī faktu, ka pasākumam nav ietekme uz horizontālo principu "Vienlīdzība, iekļaušana, nediskriminācija un pamattiesību ievērošana", lūdzam noteikumu projektā svītrot pienākumu finansējuma saņēmējam uzkrāt datus par horizontālā principa "Vienlīdzība, iekļaušana, nediskriminācija un pamattiesību ievērošana"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horizontālo principu "Nenodarīt būtisku kaitējumu" un "Klimatdrošināšana" ievērošanu, datu uzkrāšanu un ievadi Kohēzijas politikas fondu vienotās informācijas sistēmā projekta īstenošanas un pēcuzraudzības laikā, tai skaitā piecus gadus pēc noslēguma maksājuma veikšanas katru gadu līdz 31. janvārim sadarbības iestādei tiek iesniegts pārskats par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nacionālo rādītāja sasniegto putekļu daļiņu emisiju ietaupījumu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iesniegumu vērtēšanas kritēriju komplekts, kas apstiprināts ar Eiropas Savienības fondu 2021.–2027.gada plānošanas perioda Uzraudzības komitejas 26.09.2023. Lēmumu Nr. L-2023/21-27/6, paredz 3.6. kvalitātes kritēriju - horizontālā principa “Vienlīdzība, iekļaušana, nediskriminācija un pamattiesību ievērošana” ievērošanas kritērijs, kas veicina vienlīdzību, iekļaušanu, nediskrimināciju un pamattiesību ievērošanu, ja projektā paredzētas vispārīgas horizontālā principa darbības. Tādējādi skaidrojam, ka minētās horizonālā principa vispārīgās darbības ir paredzēts uzkrāt.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42.2. un 42.3.apakšpunkts un anotācijas 8.2.sadaļa.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nodrošina horizontālo principu "Nenodarīt būtisku kaitējumu", "Klimatdrošināšana", un "Vienlīdzība, iekļaušana, nediskriminācija un pamattiesību ievērošana" ievērošanu, datu uzkrāšanu un ievadi Kohēzijas politikas fondu vienotās informācijas sistēmā projekta īstenošanas un pēcuzraudzības laikā, tai skaitā piecus gadus pēc noslēguma maksājuma veikšanas katru gadu līdz 31. janvārim sadarbības iestādei tiek iesniegts pārskats par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nacionālo rādītāja sasniegto putekļu daļiņu emisiju ietaupījumu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atsevišķi izdalot finansējuma saņēmēja pienākumu attiecībā uz horizontālo principu ievērošanu un datu uzkrāšanu par horizontālā principa "Vienlīdzība, iekļaušana, nediskriminācija un pamattiesību ievērošana" rādītājiem, norādot konkrētus rādītājus un atsevišķā punktā finansējuma saņēmēja pienākumu uzkrāt un iesniegt informāciju par putekļu daļiņu emisiju ietaupījumu pēcuzraudzības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horizontālo principu rādītājiem nav paredzēta informācijas sniegšana pēcuzraudzības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ievēro principu “Vienlīdzība, iekļaušana, nediskriminācija un pamattiesību ievērošana” un uzkrāj datus par projekta ietekmi uz horizontālo principu rādītājiem, tai skaitā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w:t>
            </w:r>
            <w:r w:rsidR="00000000" w:rsidRPr="00000000" w:rsidDel="00000000">
              <w:rPr>
                <w:i w:val="1"/>
                <w:rtl w:val="0"/>
              </w:rPr>
              <w:t xml:space="preserve">lūdzam norādīt konkrētu rādītāju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w:t>
            </w:r>
            <w:r w:rsidR="00000000" w:rsidRPr="00000000" w:rsidDel="00000000">
              <w:rPr>
                <w:i w:val="1"/>
                <w:rtl w:val="0"/>
              </w:rPr>
              <w:t xml:space="preserve">lūdzam norādīt konkrētu rādītāju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 uzkrāj datus par projekta ietekmi uz horizontālo principu īstenošanu un ievēro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42.3.2.nenodarīt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pēc projekta īstenošanas, piecus gadus pēc noslēguma maksājuma veikšanas katru gadu līdz 31. janvārim sniedz sadarbības iestādei informāciju par putekļu daļiņu emisiju ietaupījumu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26.2.apakšpunkts, 42.2. un 42.3.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datu uzkrāšanas pienākums integrēts noteikumu projekta 5.2.apakšpunkta nacionālā rādītājam, nevis horizontālā principa rādītājam.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 skatīt skaidrojumu izziņas 27.punktā.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Finansējuma saņēmējs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45.punktu ar nosacījumu vai anotāciju ar skaidrojumu, ka finansējuma saņēmējs izstrādā nosacījumus, kā tas pārliecinās par interešu konflikta, krāpšanas un korupcijas risku neesamību, tostarp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kad interešu konflikts, krāpšana vai korupcija ir atklāta. Vienlaikus lūdzam papildināt, ka finansējuma saņēmējs paraksta apliecinājumus par interešu konflikta neesamību īstenojot projektā noteiktās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saņēmējs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Projekta  pēcuzraudzības termiņš ir vienāds ar projektā izveidotās infrastruktūras dzīves cikla periodu no projekta noslēguma maksājuma veikšanas dienas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48. punktu, jo sabiedrisko pakalpojumu infrastruktūrai nenosaka dzīves cikla ilgumu, tāpat vēršam uzmanību, ka pēcuzraudzības termiņam nav jāsakrīt ar  sabiedrisko pakalpojumu sniedzēja pilnvarojuma darbības termiņu. Aicinām precizēt pēcuzraudzībai noteikto termiņu, kas nepārsniedz 5 gadu periodu, kā to paredz Regulas Nr.2021/1060 65.panta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42.8. apakšpunkts un dzēsts 48.punkts.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49.punktu ņemot vērā, ka minētais izriet no Ministru kabineta 21.03.2023. noteikumiem Nr.135 “Eiropas Savienības fondu projektu pārbaužu veikšanas kārtība 2021.–2027. gada plānošanas periodā” un līgumā par projekta īstenošanu noteiktā, attiecīgi nav nepieciešams dublēt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49.punkts.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15. punktā, kurā noteiktas sadarbības līguma obligātās sastāvdaļas, nav minētas tiesības sadarbības iestādei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noteikumu projekta 49. punktu vai atbilstoši papildināt noteikumu projekta 15.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21.03.2023. noteikumiem Nr.135 “Eiropas Savienības fondu projektu pārbaužu veikšanas kārtība 2021.–2027. gada plānošanas periodā” noteiktajai pārbaužu kārtībai ir paredzētas tiesības un kārtība sadarbības iestādei veikt pārbaudes projekta īstenošanas vietā, attiecīgi nav nepieciešams dublēt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15.punktā minētais publisko pakalpojumu līgums ir līgums starp sabiedrisko pakalpojumu sniedzēju un pašvaldību, kurā nav jāiekļauj sadarbības iestādes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49.punkts.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lūdzam skatīt izziņas 31.punktu.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anotācijā norādīto atsauci uz izvērtējumu “Vienkāršoto izmaksu piemērošanas iespējas 2021.-2027. gada ES fondu plānošanas periodā”, vēršam uzmanību, ka tas satur izvērtētāju kā ekspertu viedokli, bet nav pietiekams pamatojums vienkāršoto izmaksu nepiemērošanai. Ņemot vērā minēto, lūdzam VARAM kā atbildīgo iestādi izvērtēt vienkāršoto izmaksu piemērošanas iespējas pasākumā, t.sk. sniegt argumentētu pamatojumu, kāpēc šajā pasākumā neizpildās Regulas Nr. 2021/1060 53.panta 2.punktā noteiktā prasība par vienkāršoto izmaksu obligātu piemērošanu projektos līdz 200 000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atbildīgās iestādes izvērtējums ir veikts un iekļauts anotācijas 1.3.sadaļā,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pasākumā netiek piemērotas vienkāršoto izmaksu iespējas, jo arī nelielos projektos to izmaksas var būtiski atšķirties no esošā sadedzināšanas iekārtas stāvokļa, pastāvošās putekļu emisiju tehnoloģijas, tās vecuma un efektivitātes un citiem aspektiem, tai skaitā plānotajiem tehnoloģiskajiem risinājumiem un to kombinācijām;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secinājumi ir atbilstoši Finanšu ministrijas iepirkuma Nr.FM 2021/25 “Izvērtējums “Vienkāršoto izmaksu piemērošanas iespējas 2021.-2027. gada ES fondu plānošanas periodā”” secinātajam, kur pasākuma 2.2.3.7. ietvaros netiek paredzēta augsta iespēja vienkāršoto izmaksu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pasākuma ietvaros tiek piešķirts valsts atbalsts un kopējā projekta summa var būt mazāka par 200 000 euro, atbilstoši Eiropas Parlamenta un Padomes 2021. gada 24. jūnija Regulas (ES)  Nr. 2021/1060 53. panta 2. punktam, tādējādi var netikt piemērotas vienkāršoto izmaksu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33. un 34.punktā minēto, lūdzam papildināt noteikumu projekta 1.punktu ar jaunu apakšpunktu, nosakot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1.6.apakšpunkts.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pasākuma projekta (turpmāk – projekts)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un 3.nodaļas nosaukumu ar vārdiem "un finansējuma saņēmējam" pēc vārda "iesniedzējam", ņemot vērā noteikumu projekta 18.punktā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(turpmāk – projekts) iesniedzējam un finansējuma saņēmējam;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apakšpunktu, ņemot vērā, ka Eiropas Savienības fondu 2021.—2027. gada plānošanas perioda vadības likuma 19. panta 13. punkts noteic, ka Ministru kabinets noteic cita starpā atbalstāmo darbību un izmaksu attiecināmības </w:t>
            </w:r>
            <w:r w:rsidR="00000000" w:rsidRPr="00000000" w:rsidDel="00000000">
              <w:rPr>
                <w:u w:val="single"/>
                <w:rtl w:val="0"/>
              </w:rPr>
              <w:t xml:space="preserve">nosacījumus</w:t>
            </w:r>
            <w:r w:rsidR="00000000" w:rsidRPr="00000000" w:rsidDel="00000000">
              <w:rPr>
                <w:rtl w:val="0"/>
              </w:rPr>
              <w:t xml:space="preserve">, nevis </w:t>
            </w:r>
            <w:r w:rsidR="00000000" w:rsidRPr="00000000" w:rsidDel="00000000">
              <w:rPr>
                <w:u w:val="single"/>
                <w:rtl w:val="0"/>
              </w:rPr>
              <w:t xml:space="preserve">nosacījumus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un izmaksu attiecināmības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un iesniedz projekta iesniegumu elektroniski, izmantojot Kohēzijas politikas fondu vadības informācijas sistēmu, saskaņā ar pasākuma projektu iesniegumu atlases nolikuma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21.punktā vārdu "elektroniski", lai nerastos interpretācijas iespējas. Vēršam uzmanību, ka atbilstoši Kohēzijas politikas fondu vadības informācijas sistēmas funkcionalitātei, sistēmā ir iestrādāti projekta iesnieguma datu lauku, kuros tiek norādīta atbilstoša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sagatavo un iesniedz projekta iesniegumu elektroniski, izmantojot Kohēzijas politikas fondu vadības informācijas sistēmu, saskaņā ar pasākuma projektu iesniegumu atlases nolikuma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projekta ietvaros radītie elektronisko iekārtu atkritumi un citi atkritumi tiks apsaimniekoti atbilstoši Atkritumu apsaimniekošanas likuma un normatīvo aktu atkritumu apsaimniekošanas jomā prasībām: tiks nodrošināta to savākšana, atkalizmantošana, sagatavošana pārstrādei un reģenerācijai, pārstrāde vai reģenerācija sadarbībā ar attiecīgu piesārņojošās darbības atļaujas saņēmušu komersantu;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Atkritumu apsaimniekošanas likums arī ir normatīvais akts atkritumu apsaimniekošanas jomā (proti, Atkritumu apsaimniekošanas likums ir viens no normatīvajiem aktiem atkritumu apsaimniekošanas jomā), aicinām svītrot frāzi "Atkritumu apsaimniekošanas likuma un" kā lieku vai arī pirms vārdiem "normatīvo aktu" ievietot vārdu "citu".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26.1.1.apakšpunkts.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26.1.1. projekta ietvaros radītie elektronisko iekārtu atkritumi un citi atkritumi tiks apsaimniekoti atbilstoši normatīvo aktu atkritumu apsaimniekošanas jomā prasībām: tiks nodrošināta to savākšana, atkalizmantošana, sagatavošana pārstrādei un reģenerācijai, pārstrāde vai reģenerācija sadarbībā ar attiecīgu piesārņojošās darbības atļaujas saņēmušu komersantu;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 pievienotās vērtības nodokļa izmaksas, ja tās nav atgūstamas nodokļu politiku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noteikumu projekta 27.3.apakšpunktā noteikto nosacījumu uz noteikumu projekta 29. punktu un izteikt to kā  attiecināmās izmaksas,  papildinot arī ar atsauci uz Regulu.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Pievienotās vērtības nodokļa maksājumi, kas tiešā veidā saistīti ar projektu, ir uzskatāmi par attiecināmajām izmaksām saskaņā ar regulas Nr. 2021/1060 64. panta 1. punkta "c" apakšpunktu, ja tās nav atgūstamas nodokļu politiku reglamentējošos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27.3.apakšpunkts un papildināts ar 30.7.apakšpunktu.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Projektēšanas, autoruzraudzības un būvuzraudzības (tai skaitā inženiertehniskās uzraudzības) izmaksas ir attiecināmas, ja tās kopā nepārsniedz 7 % no šo noteikumu </w:t>
            </w:r>
            <w:r w:rsidR="00000000" w:rsidRPr="00000000" w:rsidDel="00000000">
              <w:rPr>
                <w:rtl w:val="0"/>
              </w:rPr>
              <w:t xml:space="preserve">29.1.</w:t>
            </w:r>
            <w:r w:rsidR="00000000" w:rsidRPr="00000000" w:rsidDel="00000000">
              <w:rPr>
                <w:rtl w:val="0"/>
              </w:rPr>
              <w:t xml:space="preserve"> un </w:t>
            </w:r>
            <w:r w:rsidR="00000000" w:rsidRPr="00000000" w:rsidDel="00000000">
              <w:rPr>
                <w:rtl w:val="0"/>
              </w:rPr>
              <w:t xml:space="preserve">29.2. </w:t>
            </w:r>
            <w:r w:rsidR="00000000" w:rsidRPr="00000000" w:rsidDel="00000000">
              <w:rPr>
                <w:rtl w:val="0"/>
              </w:rPr>
              <w:t xml:space="preserve">apakšpunktā</w:t>
            </w:r>
            <w:r w:rsidR="00000000" w:rsidRPr="00000000" w:rsidDel="00000000">
              <w:rPr>
                <w:rtl w:val="0"/>
              </w:rPr>
              <w:t xml:space="preserve"> minētajām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autoruzraudzības un būvuzraudzības izmaksas norādīt atsevišķā punktā, ņemot vērā, ka tās ir saistītas jau ar projekta īstenošanas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būvdarbu izmaksu tāmē tiek norādītas gan autoruzraudzības un būvuzraudzības izmaksu pozīcijas, kā arī, lai 30.3. apakšpunktā minētais izmaksu apjoma procentuālais ierobežojums nebūtu jāizsaka jaunā noteikumu projekta normā, uzskatām, ka izmaksu izdalīšana atsevišķās normās nav piemērota un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putekļu (daļiņu) emisiju attīrīšanai nepieciešamo tehnoloģisko risinājumu būvprojekta (tai skaitā ar būvniecības ieceri un ar būvprojektu minimālā sastāvā saistīto sagatavošanas darbu) sagatavošanas izmaksas, kā arī būvprojekta ekspertīzes izmaksas, autoruzraudzības un būvuzraudzības (tai skaitā inženiertehniskās uzraudzības) izmaksas, ja ekspertīzes vai uzraudzības veikšanu nosaka normatīvie akti būvniecības vai energoefektivitātes jomā. Projektēšanas, autoruzraudzības un būvuzraudzības (tai skaitā inženiertehniskās uzraudzības) izmaksas ir attiecināmas, ja tās kopā nepārsniedz 10 % no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šo noteikumu spēkā stāšanās dienas, izņemot projekta pamatojošās dokumentācijas sagatavošanas izmaksas, kas ir attiecināmas, ja tās veiktas pēc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kas nosaka finanšu plūsmas pirms projekta apstiprināšanas nodrošināšanas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31.punkts (iepriekš 30.punkts)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izmaksas ir attiecināmas no 2023. gada 1. augusta, izņemot projekta pamatojošās dokumentācijas sagatavošanas izmaksas, kas ir attiecināmas, ja tās veiktas pēc 2021. gada 14.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Atbalsts pasākuma ietvaros tiek sniegts saskaņā ar Eiropas Komisijas lēmumu Nr. 2012/21/ES.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33.punktā vārdu "Atbalsts" ar vārdu "Komercdarbības atbalsts", lai nerastos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jauns 16.punkts, svītrots 33.punkts. Lūdzam skatīt arī izziņas 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dubultā finansējuma neiestāšanos, kā arī to, ka projektā plānotās darbības netiek finansētas no citiem valsts, pašvaldības un ārvalstu finanšu atbalsta instrumentiem, vai citiem publiskajiem līdzekļiem, izņemot, ja attiecināms,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paredzēto komercdarbības atbalsta kumulāciju.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34.2. apakšpunktā, nevis 35. punktā paredzēta komercdarbības atbalsta kumulācija, aicinām precizēt projekta 37. punktā ietverto iekšējo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 punkts (iepriekš 37.punkts).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dubultā finansējuma neiestāšanos, kā arī to, ka projektā plānotās darbības netiek finansētas no citiem valsts, pašvaldības un ārvalstu finanšu atbalsta instrumentiem, vai citiem publiskajiem līdzekļiem, izņemot, ja attiecināms,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paredzēto komercdarbības atbalsta kumulāciju.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nodrošina, ka projektā plānotās darbības netiek finansētas no citiem valsts, pašvaldības un ārvalstu finanšu atbalsta instrumentiem, vai citiem publiskajiem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37.punktu, ka finansējuma saņēmējs nodrošina arī dubultā finansējuma neiestāšanos.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37.punkts.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dubultā finansējuma neiestāšanos, kā arī to, ka projektā plānotās darbības netiek finansētas no citiem valsts, pašvaldības un ārvalstu finanšu atbalsta instrumentiem, vai citiem publiskajiem līdzekļiem, izņemot, ja attiecināms,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paredzēto komercdarbības atbalsta kumulāciju.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pēc noslēguma maksājuma dienas 10 gadu laikā tiek pārkāpti komercdarbības atbalsta piešķiršanas nosacījumi vispārējas tautsaimnieciskas nozīmes pakalpojumu sniegšanai, sadarbības iestāde finansējuma saņēmējam uzliek par pienākumu atmaksāt sadarbības iestādei projekta ietvaros saņemto nelikumīgo komercdarbības atbalstu. Atmaksu veic kopā ar procentiem no līdzekļiem, kas ir brīvi no komercdarbības atbalsta, saskaņā ar Komercdarbības atbalsta kontroles likuma IV vai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pienākums atmaksāt sadarbības iestādei projekta ietvaros saņemto nelikumīgo komercdarbības atbalstu iestājas no atbalsta piešķiršanas brīža, kā arī nelikumīga komercdarbības atbalsta atgūšanas termiņi ir noteikti Komercdarbības atbalsta kontroles likuma IV vai V nodaļā, lūdzam svītrot noteikumu 38.punktā vārdus "pēc noslēguma maksājuma dienas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noteikumus papildināt ar normu, ka sadarbības iestāde informāciju glabā un nodrošina tās pieejamību 10 gadus, skaitot no pēdējās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anotācijā norādīto informāciju par projekta pēcuzraudzības perioda ilgumu, svītrojot teikuma daļu "vienlaikus sadarbības iestādei ir pienākums uzraudzīt komercdarbības atbalsta prasību ievērošanu 10 gadus pēc noslēguma maksājuma dienas", ņemot vērā, ka šādu prasību neparedz KOMISIJAS LĒMUMS (2011. gada 20. decembris) un EIROPAS PARLAMENTA UN PADOMES REGULA (ES) 2021/1060 (2021. gada 24. jūnijs). Atbilstoši noteikuma projekta 19. punktā noteiktajam, komercdarbības atbalsta saņēmējs un vispārējas tautsaimnieciskas nozīmes pakalpojuma pilnvarojuma uzlicējs nodrošina, ka pilnvarojuma periodā un vismaz 10 gadus pēc pilnvarojuma perioda beigām tiek saglabāta un nodrošināta pieejamība visai ar projektu saistītajai dokumentācijai.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37.punkts (iepriekš 38.punkts)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Ja tiek pārkāpti komercdarbības atbalsta piešķiršanas nosacījumi vispārējas tautsaimnieciskas nozīmes pakalpojumu sniegšanai, sadarbības iestāde finansējuma saņēmējam uzliek par pienākumu atmaksāt sadarbības iestādei projekta ietvaros saņemto nelikumīgo komercdarbības atbalstu. Atmaksu veic kopā ar procentiem no līdzekļiem, kas ir brīvi no komercdarbības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Sadarbības iestāde, pamatojoties uz finansējuma saņēmēja rakstisku avansa pieprasījumu, atbilstoši normatīvajam aktam par valsts budžeta līdzekļu plānošanu Eiropas Savienības struktūrfondu un Kohēzijas fonda projektu īstenošanai un maksājumu veikšanu 2021.–2027. gada plānošanas periodā, nodrošina finansējuma saņēmējam avansa maksājumu, nepārsniedzot 30 procentus no projektam piešķirtā Eiropas Reģionālās attīstības fonda finansējuma. Avansu var izmaksāt vairākos maksājumos.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39.punktā vārdus "Eiropas Savienības struktūrfondu un Kohēzijas fonda" ar vārdiem "Eiropas Savienības fondu", ņemot vērā 2021.-2027.gada plānošanas perioda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Sadarbības iestāde, pamatojoties uz finansējuma saņēmēja rakstisku avansa pieprasījumu, atbilstoši normatīvajam aktam par valsts budžeta līdzekļu plānošanu Eiropas Savienības fondu projektu īstenošanai un maksājumu veikšanu 2021.–2027. gada plānošanas periodā, nodrošina finansējuma saņēmējam avansa maksājumu, nepārsniedzot 30 procentus no projektam piešķirtā Eiropas Reģionālās attīstības fonda finansējuma. Avansu var izmaksāt vairākos maksājumos.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Avansa maksājuma izlietošanas laiks finansējuma saņēmējam nepārsniedz deviņus mēnešus.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samērību noteiktajam termiņam (9 mēneši), ņemot vērā, ka avansa izmaksa var tikt veikta vairākos maksājumos atbilstoši faktiskajai līdzekļu nepieciešamībai. Piedāvājam termiņu saīsināt, nosakot to ne garāku kā 6 mēneši.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piedāvātie precizējumi pasliktinātu nosacījumus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Avansa maksājuma izlietošanas laiks finansējuma saņēmējam nepārsniedz deviņus mēnešus.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ievēro principu “Vienlīdzība, iekļaušana, nediskriminācija un pamattiesību ievērošana” un uzkrāj datus par projekta ietekmi uz horizontālā principa vispārīgajām darbībām (attiecināms, ja projekta ietvaros identificētas horizontālā principa vispārīgās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rast iespēju nodrošināt atbilstību  horizontālā principa "Vienlīdzība, iekļaušana, nediskriminācija un pamattiesību ievērošana" (turpmāk - HP) vadlīnijām [1]. Saskaņā ar minētajām vadlīnijām 2.2.3.7. pasākumam nav ietekmes uz HP (skat. vadlīniju 1.pielikumu), attiecīgi  projektā  ir jāparedz vismaz viena vispārīgā HP darbība (skat.vadlīniju 5. tabulu 44.lpp), ja tas ir iespējams, un </w:t>
            </w:r>
            <w:r w:rsidR="00000000" w:rsidRPr="00000000" w:rsidDel="00000000">
              <w:rPr>
                <w:u w:val="single"/>
                <w:rtl w:val="0"/>
              </w:rPr>
              <w:t xml:space="preserve">nav jānosaka HP rādītājs </w:t>
            </w:r>
            <w:r w:rsidR="00000000" w:rsidRPr="00000000" w:rsidDel="00000000">
              <w:rPr>
                <w:rtl w:val="0"/>
              </w:rPr>
              <w:t xml:space="preserve">(skat. vadlīniju 7.sadaļu 35.lpp.).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ievēro horizontālo principu “Vienlīdzība, iekļaušana, nediskriminācija un pamattiesību ievērošana” </w:t>
            </w:r>
            <w:r w:rsidR="00000000" w:rsidRPr="00000000" w:rsidDel="00000000">
              <w:rPr>
                <w:u w:val="single"/>
                <w:rtl w:val="0"/>
              </w:rPr>
              <w:t xml:space="preserve">un īsteno vismaz vienu vispārīgo horizontālā principa darbību</w:t>
            </w:r>
            <w:r w:rsidR="00000000" w:rsidRPr="00000000" w:rsidDel="00000000">
              <w:rPr>
                <w:rtl w:val="0"/>
              </w:rPr>
              <w:t xml:space="preserve"> (attiecināms, ja projekta ietvaros identificētas horizontālā principa vispārīgās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41.2.apakšpunkts (iepriekš 42.2.apakšpunkts).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ievēro principu “Vienlīdzība, iekļaušana, nediskriminācija un pamattiesību ievērošana” un īsteno vismaz vienu vispārīgo horizontālā principa darbību (attiecināms, ja projekta ietvaros identificētas horizontālā principa vispārīgās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nodrošina horizontālo principu "Nenodarīt būtisku kaitējumu", "Klimatdrošināšana", un "Vienlīdzība, iekļaušana, nediskriminācija un pamattiesību ievērošana" ievērošanu, datu uzkrāšanu un ievadi Kohēzijas politikas fondu vienotās informācijas sistēmā projekta īstenošanas un pēcuzraudzības laikā, tai skaitā piecus gadus pēc noslēguma maksājuma veikšanas katru gadu līdz 31. janvārim sadarbības iestādei tiek iesniegts pārskats par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nacionālo rādītāja sasniegto putekļu daļiņu emisiju ietaupījumu iepriekšējā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pienākuma finansējuma saņēmējam uzkrāt datus par horizontālā principa "Vienlīdzība, iekļaušana, nediskriminācija un pamattiesību ievērošana" (turpmāk - HP) rādītājiem nepieciešamību. Paskaidrojam, ka saskaņā ar HP vadlīnijās [1] noteikto, pasākumiem, kuriem nav ietekmes uz HP, rādītāji nav jānosaka, kā arī nav jāparedz specifiskas HP darbības. Līdz ar to finansējuma saņēmējam var rasties grūtības definēt HP rādītājus, ja projektos netiks paredzētas specifiskas HP darbības, kurām ir iespējams piemērot rādītājus.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izziņas 27.punktā sniegto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42.7.2. nodrošinot sasniegto rezultātu uzturēšanu līdz pilnvarojuma līguma beigām, bet ne mazāk par izveidotās infrastruktūras dzīves cikla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sabiedrisko pakalpojumu infrastruktūrai nenosaka dzīves ilgumu, lūdzam precizēt noteikumu projekta 42.7.2. apakšpunktā periodu, uz kuru attiecināma projekta rezultātu ilgtspējas nodrošināšana, svītrojot vārdus “, bet ne mazāk par izveidotās infrastruktūras dzīves cikla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42.7.2. nodrošinot sasniegto rezultātu uzturēšanu līdz pilnvarojuma līguma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42.8. apakšpunkts (iepriekš 42.7.apakšpunkts), 19.punkts, 38 punkts un dzēsts 48.punkts. 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1.3.apakšnodaļas sadaļā "Risinājuma apraksts" norādīt pilno Atjaunojamo energoresursu direktīvas un Energoefektivitātes direktīvas nosaukumu un pieņemšanas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anotācijā - rindkopas "Noteikumu projekts paredz šādu investīciju atbalsta pieprasīšanas, izvērtēšanas un saņemšanas secību" trešajā punktā norādīts "atbalstītā projekta finansējuma saņēmējs īsteno visu projektu par privātajiem līdzekļiem noteikumu projektā noteiktajā termiņā (24 mēnešu laikā, bet ne ilgāk kā līdz 2027. gada 31. decembrim) un pēc </w:t>
            </w:r>
            <w:r w:rsidR="00000000" w:rsidRPr="00000000" w:rsidDel="00000000">
              <w:rPr>
                <w:b w:val="1"/>
                <w:rtl w:val="0"/>
              </w:rPr>
              <w:t xml:space="preserve">projekta aktivitāšu īstenošanas iesniedz pasākuma atbalsta maksājuma pieprasījumu sadarbības iestādē līdz ar projekta īstenošanu apliecinošiem dokumentiem</w:t>
            </w:r>
            <w:r w:rsidR="00000000" w:rsidRPr="00000000" w:rsidDel="00000000">
              <w:rPr>
                <w:rtl w:val="0"/>
              </w:rPr>
              <w:t xml:space="preserve">",  vienlaikus ceturtajā punktā norādīts, ka finansējuma saņēmējam ir pieejams avansa maksājums līdz 30% no projektam piešķirtā ERAF finansējuma.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norādīto, ka projekta izmaksās nevar tikt iekļautas un atbalstītas izmaksas, kas saistītas ar "4) būvēm, kas pirms projekta iesnieguma iesniegšanas ir pieņemtas ekspluatācijā [..]", t.i., vai norādītais ir attiecināms uz ēku un būvju nojaukšanu, kas kā attiecināmas izmaksas ir noteiktas MK noteikumu 29.2.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Būvniecības likuma 1. panta trešajam punktam "būve — būvdarbu rezultātā radusies ar zemi vai gultni saistīta ķermeniska lieta (ēka vai inženierbūve), kurai ir nosakāms būves lietošanas veids", līdz ar to, vai minētais neierobežo ieguldījumus katlu mājā iekārtu uzstādīšanai.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rindkopu "Ņemot vērā, ka putekļu emisijas samazinošo iekārtu uzstādīšanas un iegādes izmaksas tiks noteiktas būvprojektēšanas laikā, noteikumu projekts paredz, ka plānojot projekta kopējās izmaksas ir pieļaujama finanšu rezerves plānošana līdz 10% apmēram, vienlaikus projekta izmaksas ir attiecināmas no šo noteikumu spēkā stāšanās dienas" papildināt atbilstoši MK noteikumu 30. punktam "izņemot projekta pamatojošās dokumentācijas sagatavošanas izmaksas, kas ir attiecināmas, ja tās veiktas pēc 2021. gada 1. 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 punkts (iepriekš 30.punkts)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anotācijas 1.3. punkta "Pašreizējā situācija, problēmas un risinājumi" iedzīvotāju blīvuma aprēķina aprakstu aicinām papildināt atbilstoši MK noteikumu 6. punktā noteiktajam, t.sk. norādot, kā iegūts koeficients 6,28 kvadrātkilometri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6.punkts un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sabiedrisko pakalpojumu infrastruktūrai nenosaka dzīves cikla ilgumu, lūdzam dzēst lieko informāciju no anotācijas "</w:t>
            </w:r>
            <w:r w:rsidR="00000000" w:rsidRPr="00000000" w:rsidDel="00000000">
              <w:rPr>
                <w:i w:val="1"/>
                <w:rtl w:val="0"/>
              </w:rPr>
              <w:t xml:space="preserve">noteikumu aspektā pieņemts, ka infrastruktūras dzīves cikls ir vismaz 10 gadi"</w:t>
            </w:r>
            <w:r w:rsidR="00000000" w:rsidRPr="00000000" w:rsidDel="00000000">
              <w:rPr>
                <w:rtl w:val="0"/>
              </w:rPr>
              <w:t xml:space="preserve">. Aicinām noteikt, ka finansējuma saņēmējam ir pienākums nodrošināt infrastruktūras ilgtspēju vismaz 5 gadu pēc noslēguma maksājuma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42.8. apakšpunkts (iepriekš 42.7.apakšpunkts), 19.punkts, 38 punkts un dzēsts 48.punkts. 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par: "10) jebkādas būvdarbu, tai skaitā teritorijas labiekārtošanas izmaksas sadedzināšanas iekārtā un ar to saistītajā infrastruktūrā (siltumapgādes ražošanas avotā), kas tiešā veidā nav saistītas ar atbalstāmo darbību ierīkošanu, izbūvi un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formulējumu, kādas tieši izmaksas nevar tikt iekļautas/atbalstītas. Esošā redakcija nekorekti norāda uz būvdarbu izmaksām "sadedzināšanas iekārtā".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2)Aicinām anotācijā papildināt ar piemēriem, kādas saistītās izmaksas nevar tikt attiecinātas. Piemēram, katlu māju projektos būvdarbi visbiežāk iekļauj arī pievadceļu un apgriešanās laukumu izbūvi pie objekta.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noteikts, ka projekta izmaksās nevar tikt iekļautas un atbalstītas izmaksas, kas saistītas ar "4) būvēm, kas pirms projekta iesnieguma iesniegšanas ir pieņemtas ekspluatācijā, vai precēm, par kurām pirms projekta iesnieguma iesniegšanas ir parakstīti preču nodošanas un pieņemšanas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izmaksu attiecināmība sākas pēc SAM MKN apstiprināšanas, lūdzam izvērtēt, kā tiks novērsts risks, ka FS darbības būs veicis noteiktajā attiecināmības periodā, bet pirms PIV iesniegšanas, līdz ar to izmaksas nevarēt tikt attiecinātas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31.punkts (iepriekš 30.punkts) un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attiecināmas būs tikai tās izmaksas, kuras finansējuma saņēmējs varēs pierādīt kā veiktas izmaksu attiecināmības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papildu skatīt izziņas 22. un 23.punktu.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finansējuma saņēmēju, ņemot vērā, ka ar noteikumu projektu tiek uzlikti pienākumi finansējuma saņēmējiem, kas jānodrošina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3.sdaļas 6.punktā norādītā ERAF finansējuma 2026.gadam izdevumu procentuālo apmēru, jo, saskaņā ar aprēķinu, tam būtu jābūt 40%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gadu norādīt 2023.gadu un atbilstoši precizēt arī pārējos gadus, vienlaicīgi norādot atbilstoši konkrētajam gadam plānoto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saskaņošanai un noteikumu projekta apstiprināšanai, atlases izsludināšanai, projektu iesniegšanai un projektu vērtēšanai potenciālo laika nogriezni, no kā izrietoši 2023.gadā nav paredzēta finansiālā ietekme, uzskatām, ka nav nepieciešams norādīt anotācijas 3.sadaļā 2023.gadu.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30.7. apakšpunktā ietverto atsauci uz Eiropas Parlamenta un Padomes 2021. gada 24. jūnija Regulas (ES) Nr. 2021/1060 64.panta 1.punkta c) apakšpunktu, lūdzam papildināt anotācijas 5.4. sadaļas 1. tabulu ar informāciju par regulas normas ieviešanu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23-TA-1822</w:t>
    </w:r>
    <w:r>
      <w:br/>
    </w:r>
    <w:r w:rsidR="00000000" w:rsidRPr="00000000" w:rsidDel="00000000">
      <w:rPr>
        <w:rtl w:val="0"/>
      </w:rPr>
      <w:t xml:space="preserve">07.01.2024. 10.52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23-TA-1822</w:t>
    </w:r>
    <w:r>
      <w:br/>
    </w:r>
    <w:r w:rsidR="00000000" w:rsidRPr="00000000" w:rsidDel="00000000">
      <w:rPr>
        <w:rtl w:val="0"/>
      </w:rPr>
      <w:t xml:space="preserve">07.01.2024. 10.52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Izziņa_23-TA-1822.docx</dc:title>
</cp:coreProperties>
</file>

<file path=docProps/custom.xml><?xml version="1.0" encoding="utf-8"?>
<Properties xmlns="http://schemas.openxmlformats.org/officeDocument/2006/custom-properties" xmlns:vt="http://schemas.openxmlformats.org/officeDocument/2006/docPropsVTypes"/>
</file>