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D3CE8" w14:textId="77777777" w:rsidR="00786DAF" w:rsidRDefault="00786DAF" w:rsidP="002C22B9">
      <w:pPr>
        <w:jc w:val="center"/>
        <w:rPr>
          <w:sz w:val="20"/>
        </w:rPr>
      </w:pPr>
      <w:bookmarkStart w:id="0" w:name="_GoBack"/>
      <w:bookmarkEnd w:id="0"/>
    </w:p>
    <w:p w14:paraId="0866439C" w14:textId="77777777" w:rsidR="002C22B9" w:rsidRDefault="002C22B9" w:rsidP="002C22B9">
      <w:pPr>
        <w:jc w:val="center"/>
        <w:rPr>
          <w:sz w:val="20"/>
        </w:rPr>
      </w:pPr>
      <w:r w:rsidRPr="00914649">
        <w:rPr>
          <w:sz w:val="20"/>
        </w:rPr>
        <w:t>Rīgā</w:t>
      </w:r>
    </w:p>
    <w:p w14:paraId="563C7B6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A7DC5E1" w14:textId="77777777" w:rsidTr="009F77B9">
        <w:tc>
          <w:tcPr>
            <w:tcW w:w="450" w:type="dxa"/>
            <w:tcBorders>
              <w:top w:val="nil"/>
              <w:left w:val="nil"/>
              <w:bottom w:val="nil"/>
              <w:right w:val="nil"/>
            </w:tcBorders>
          </w:tcPr>
          <w:p w14:paraId="69572669"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4F697DFC" w14:textId="0FD29A6C"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66F4">
              <w:rPr>
                <w:szCs w:val="24"/>
              </w:rPr>
              <w:t>09.08.2021</w:t>
            </w:r>
            <w:r w:rsidRPr="00615936">
              <w:rPr>
                <w:szCs w:val="24"/>
              </w:rPr>
              <w:fldChar w:fldCharType="end"/>
            </w:r>
            <w:bookmarkEnd w:id="1"/>
          </w:p>
        </w:tc>
        <w:tc>
          <w:tcPr>
            <w:tcW w:w="708" w:type="dxa"/>
            <w:tcBorders>
              <w:top w:val="nil"/>
              <w:left w:val="nil"/>
              <w:bottom w:val="nil"/>
              <w:right w:val="nil"/>
            </w:tcBorders>
          </w:tcPr>
          <w:p w14:paraId="1D12FF58"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7CDAA1CA" w14:textId="50CF4B9B"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24F2">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E66F4">
              <w:rPr>
                <w:szCs w:val="24"/>
              </w:rPr>
              <w:t>4443</w:t>
            </w:r>
            <w:r w:rsidRPr="00615936">
              <w:rPr>
                <w:szCs w:val="24"/>
              </w:rPr>
              <w:fldChar w:fldCharType="end"/>
            </w:r>
            <w:bookmarkEnd w:id="3"/>
          </w:p>
        </w:tc>
      </w:tr>
      <w:tr w:rsidR="002C22B9" w:rsidRPr="00615936" w14:paraId="7B646CE7" w14:textId="77777777" w:rsidTr="009F77B9">
        <w:trPr>
          <w:trHeight w:val="188"/>
        </w:trPr>
        <w:tc>
          <w:tcPr>
            <w:tcW w:w="450" w:type="dxa"/>
            <w:tcBorders>
              <w:top w:val="nil"/>
              <w:left w:val="nil"/>
              <w:bottom w:val="nil"/>
              <w:right w:val="nil"/>
            </w:tcBorders>
          </w:tcPr>
          <w:p w14:paraId="761D408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B4225B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3AD6B7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F019956" w14:textId="77777777" w:rsidR="002C22B9" w:rsidRPr="00615936" w:rsidRDefault="002C22B9" w:rsidP="002C22B9">
            <w:pPr>
              <w:tabs>
                <w:tab w:val="left" w:pos="360"/>
                <w:tab w:val="left" w:pos="3960"/>
              </w:tabs>
              <w:rPr>
                <w:sz w:val="20"/>
              </w:rPr>
            </w:pPr>
          </w:p>
        </w:tc>
      </w:tr>
      <w:tr w:rsidR="002C22B9" w:rsidRPr="00615936" w14:paraId="2DB81686" w14:textId="77777777" w:rsidTr="009F77B9">
        <w:tc>
          <w:tcPr>
            <w:tcW w:w="450" w:type="dxa"/>
            <w:tcBorders>
              <w:top w:val="nil"/>
              <w:left w:val="nil"/>
              <w:bottom w:val="nil"/>
              <w:right w:val="nil"/>
            </w:tcBorders>
          </w:tcPr>
          <w:p w14:paraId="56B2D313"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2558752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24F2">
              <w:rPr>
                <w:szCs w:val="24"/>
              </w:rPr>
              <w:t>22.07.2021</w:t>
            </w:r>
            <w:r w:rsidRPr="00615936">
              <w:rPr>
                <w:szCs w:val="24"/>
              </w:rPr>
              <w:fldChar w:fldCharType="end"/>
            </w:r>
            <w:bookmarkEnd w:id="4"/>
          </w:p>
        </w:tc>
        <w:tc>
          <w:tcPr>
            <w:tcW w:w="708" w:type="dxa"/>
            <w:tcBorders>
              <w:top w:val="nil"/>
              <w:left w:val="nil"/>
              <w:bottom w:val="nil"/>
              <w:right w:val="nil"/>
            </w:tcBorders>
          </w:tcPr>
          <w:p w14:paraId="4D93B05D"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35E1AD0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F24F2">
              <w:rPr>
                <w:szCs w:val="24"/>
              </w:rPr>
              <w:t>VSS-696, 27  11§</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D1BC2" w:rsidRPr="007F530B" w14:paraId="0E2C2D0E" w14:textId="77777777" w:rsidTr="00C13255">
        <w:trPr>
          <w:jc w:val="right"/>
        </w:trPr>
        <w:tc>
          <w:tcPr>
            <w:tcW w:w="4644" w:type="dxa"/>
          </w:tcPr>
          <w:p w14:paraId="0A5F326C" w14:textId="77777777" w:rsidR="004D1BC2" w:rsidRPr="007F530B" w:rsidRDefault="004D1BC2" w:rsidP="00C13255">
            <w:pPr>
              <w:jc w:val="right"/>
              <w:rPr>
                <w:b/>
                <w:bCs/>
                <w:szCs w:val="24"/>
                <w:lang w:eastAsia="lv-LV"/>
              </w:rPr>
            </w:pPr>
            <w:bookmarkStart w:id="6" w:name="org_nos"/>
          </w:p>
          <w:p w14:paraId="011E127C" w14:textId="77777777" w:rsidR="004D1BC2" w:rsidRPr="007F530B" w:rsidRDefault="004D1BC2" w:rsidP="00C13255">
            <w:pPr>
              <w:jc w:val="right"/>
              <w:rPr>
                <w:b/>
                <w:bCs/>
                <w:szCs w:val="24"/>
                <w:lang w:eastAsia="lv-LV"/>
              </w:rPr>
            </w:pPr>
            <w:r w:rsidRPr="007F530B">
              <w:rPr>
                <w:b/>
                <w:bCs/>
                <w:szCs w:val="24"/>
                <w:lang w:eastAsia="lv-LV"/>
              </w:rPr>
              <w:t>Izglītības un zinātnes ministrijai</w:t>
            </w:r>
          </w:p>
          <w:p w14:paraId="79B7E0D2" w14:textId="77777777" w:rsidR="004D1BC2" w:rsidRPr="007F530B" w:rsidRDefault="004D1BC2" w:rsidP="00C13255">
            <w:pPr>
              <w:jc w:val="right"/>
              <w:rPr>
                <w:iCs/>
                <w:szCs w:val="24"/>
                <w:lang w:eastAsia="lv-LV"/>
              </w:rPr>
            </w:pPr>
          </w:p>
          <w:p w14:paraId="1E38DBAC" w14:textId="77777777" w:rsidR="004D1BC2" w:rsidRPr="007F530B" w:rsidRDefault="004D1BC2" w:rsidP="00C13255">
            <w:pPr>
              <w:jc w:val="right"/>
              <w:rPr>
                <w:b/>
                <w:bCs/>
                <w:szCs w:val="24"/>
                <w:lang w:eastAsia="lv-LV"/>
              </w:rPr>
            </w:pPr>
            <w:r w:rsidRPr="007F530B">
              <w:rPr>
                <w:iCs/>
                <w:szCs w:val="24"/>
                <w:lang w:eastAsia="lv-LV"/>
              </w:rPr>
              <w:t>Informācijai:</w:t>
            </w:r>
          </w:p>
          <w:p w14:paraId="06500584" w14:textId="77777777" w:rsidR="004D1BC2" w:rsidRPr="007F530B" w:rsidRDefault="004D1BC2" w:rsidP="00C13255">
            <w:pPr>
              <w:jc w:val="right"/>
              <w:rPr>
                <w:b/>
                <w:bCs/>
                <w:szCs w:val="24"/>
                <w:lang w:eastAsia="lv-LV"/>
              </w:rPr>
            </w:pPr>
            <w:r w:rsidRPr="007F530B">
              <w:rPr>
                <w:b/>
                <w:bCs/>
                <w:szCs w:val="24"/>
                <w:lang w:eastAsia="lv-LV"/>
              </w:rPr>
              <w:t xml:space="preserve">Centrālajai finanšu un </w:t>
            </w:r>
          </w:p>
          <w:p w14:paraId="46F05CFD" w14:textId="77777777" w:rsidR="004D1BC2" w:rsidRPr="007F530B" w:rsidRDefault="004D1BC2" w:rsidP="00C13255">
            <w:pPr>
              <w:jc w:val="right"/>
              <w:rPr>
                <w:b/>
                <w:bCs/>
                <w:szCs w:val="24"/>
                <w:lang w:eastAsia="lv-LV"/>
              </w:rPr>
            </w:pPr>
            <w:r w:rsidRPr="007F530B">
              <w:rPr>
                <w:b/>
                <w:bCs/>
                <w:szCs w:val="24"/>
                <w:lang w:eastAsia="lv-LV"/>
              </w:rPr>
              <w:t>līgumu aģentūrai</w:t>
            </w:r>
          </w:p>
        </w:tc>
      </w:tr>
      <w:bookmarkEnd w:id="6"/>
    </w:tbl>
    <w:p w14:paraId="4FC92F14" w14:textId="77777777" w:rsidR="004D1BC2" w:rsidRPr="007F530B" w:rsidRDefault="004D1BC2" w:rsidP="004D1BC2">
      <w:pPr>
        <w:rPr>
          <w:spacing w:val="4"/>
          <w:szCs w:val="24"/>
        </w:rPr>
      </w:pPr>
    </w:p>
    <w:tbl>
      <w:tblPr>
        <w:tblStyle w:val="TableGrid"/>
        <w:tblW w:w="0" w:type="auto"/>
        <w:tblLook w:val="04A0" w:firstRow="1" w:lastRow="0" w:firstColumn="1" w:lastColumn="0" w:noHBand="0" w:noVBand="1"/>
      </w:tblPr>
      <w:tblGrid>
        <w:gridCol w:w="4932"/>
      </w:tblGrid>
      <w:tr w:rsidR="004D1BC2" w:rsidRPr="007F530B" w14:paraId="06DCE30E" w14:textId="77777777" w:rsidTr="00C13255">
        <w:trPr>
          <w:trHeight w:val="1971"/>
        </w:trPr>
        <w:tc>
          <w:tcPr>
            <w:tcW w:w="4932" w:type="dxa"/>
            <w:tcBorders>
              <w:top w:val="nil"/>
              <w:left w:val="nil"/>
              <w:bottom w:val="nil"/>
              <w:right w:val="nil"/>
            </w:tcBorders>
          </w:tcPr>
          <w:p w14:paraId="741FE68F" w14:textId="77777777" w:rsidR="004D1BC2" w:rsidRPr="007F530B" w:rsidRDefault="004D1BC2" w:rsidP="00C13255">
            <w:pPr>
              <w:rPr>
                <w:i/>
                <w:iCs/>
                <w:szCs w:val="24"/>
                <w:lang w:eastAsia="lv-LV"/>
              </w:rPr>
            </w:pPr>
            <w:r w:rsidRPr="007F530B">
              <w:rPr>
                <w:i/>
                <w:iCs/>
                <w:szCs w:val="24"/>
                <w:lang w:eastAsia="lv-LV"/>
              </w:rPr>
              <w:t xml:space="preserve">Atzinums par Ministru kabineta noteikumu projektu </w:t>
            </w:r>
            <w:bookmarkStart w:id="7" w:name="_Hlk78978064"/>
            <w:r w:rsidRPr="00ED5B4B">
              <w:rPr>
                <w:i/>
                <w:iCs/>
                <w:szCs w:val="24"/>
                <w:lang w:eastAsia="lv-LV"/>
              </w:rPr>
              <w:t xml:space="preserve">“Darbības programmas </w:t>
            </w:r>
            <w:r>
              <w:rPr>
                <w:i/>
                <w:iCs/>
                <w:szCs w:val="24"/>
                <w:lang w:eastAsia="lv-LV"/>
              </w:rPr>
              <w:t>“</w:t>
            </w:r>
            <w:r w:rsidRPr="00ED5B4B">
              <w:rPr>
                <w:i/>
                <w:iCs/>
                <w:szCs w:val="24"/>
                <w:lang w:eastAsia="lv-LV"/>
              </w:rPr>
              <w:t>Izaugsme un nodarbinātība</w:t>
            </w:r>
            <w:r>
              <w:rPr>
                <w:i/>
                <w:iCs/>
                <w:szCs w:val="24"/>
                <w:lang w:eastAsia="lv-LV"/>
              </w:rPr>
              <w:t>”</w:t>
            </w:r>
            <w:r w:rsidRPr="00ED5B4B">
              <w:rPr>
                <w:i/>
                <w:iCs/>
                <w:szCs w:val="24"/>
                <w:lang w:eastAsia="lv-LV"/>
              </w:rPr>
              <w:t xml:space="preserve"> </w:t>
            </w:r>
            <w:bookmarkStart w:id="8" w:name="_Hlk79065731"/>
            <w:r w:rsidRPr="00ED5B4B">
              <w:rPr>
                <w:i/>
                <w:iCs/>
                <w:szCs w:val="24"/>
                <w:lang w:eastAsia="lv-LV"/>
              </w:rPr>
              <w:t xml:space="preserve">14.1.1.specifiskā atbalsta mērķa </w:t>
            </w:r>
            <w:r>
              <w:rPr>
                <w:i/>
                <w:iCs/>
                <w:szCs w:val="24"/>
                <w:lang w:eastAsia="lv-LV"/>
              </w:rPr>
              <w:t>“</w:t>
            </w:r>
            <w:r w:rsidRPr="00ED5B4B">
              <w:rPr>
                <w:i/>
                <w:iCs/>
                <w:szCs w:val="24"/>
                <w:lang w:eastAsia="lv-LV"/>
              </w:rPr>
              <w:t>Atveseļošanas pasākumi izglītības nozarē (ESF)</w:t>
            </w:r>
            <w:r>
              <w:rPr>
                <w:i/>
                <w:iCs/>
                <w:szCs w:val="24"/>
                <w:lang w:eastAsia="lv-LV"/>
              </w:rPr>
              <w:t>”</w:t>
            </w:r>
            <w:r w:rsidRPr="00ED5B4B">
              <w:rPr>
                <w:i/>
                <w:iCs/>
                <w:szCs w:val="24"/>
                <w:lang w:eastAsia="lv-LV"/>
              </w:rPr>
              <w:t xml:space="preserve"> 14.1.1.1.pasākuma </w:t>
            </w:r>
            <w:r>
              <w:rPr>
                <w:i/>
                <w:iCs/>
                <w:szCs w:val="24"/>
                <w:lang w:eastAsia="lv-LV"/>
              </w:rPr>
              <w:t>“</w:t>
            </w:r>
            <w:r w:rsidRPr="00ED5B4B">
              <w:rPr>
                <w:i/>
                <w:iCs/>
                <w:szCs w:val="24"/>
                <w:lang w:eastAsia="lv-LV"/>
              </w:rPr>
              <w:t>Digitalizācijas iniciatīvas studiju kvalitātes pilnveidei</w:t>
            </w:r>
            <w:r>
              <w:rPr>
                <w:i/>
                <w:iCs/>
                <w:szCs w:val="24"/>
                <w:lang w:eastAsia="lv-LV"/>
              </w:rPr>
              <w:t>”</w:t>
            </w:r>
            <w:r w:rsidRPr="00ED5B4B">
              <w:rPr>
                <w:i/>
                <w:iCs/>
                <w:szCs w:val="24"/>
                <w:lang w:eastAsia="lv-LV"/>
              </w:rPr>
              <w:t xml:space="preserve"> </w:t>
            </w:r>
            <w:bookmarkEnd w:id="8"/>
            <w:r w:rsidRPr="00ED5B4B">
              <w:rPr>
                <w:i/>
                <w:iCs/>
                <w:szCs w:val="24"/>
                <w:lang w:eastAsia="lv-LV"/>
              </w:rPr>
              <w:t>īstenošanas noteikumi</w:t>
            </w:r>
            <w:r>
              <w:rPr>
                <w:i/>
                <w:iCs/>
                <w:szCs w:val="24"/>
                <w:lang w:eastAsia="lv-LV"/>
              </w:rPr>
              <w:t xml:space="preserve">” </w:t>
            </w:r>
            <w:bookmarkEnd w:id="7"/>
            <w:r w:rsidRPr="007F530B">
              <w:rPr>
                <w:i/>
                <w:iCs/>
                <w:szCs w:val="24"/>
                <w:lang w:eastAsia="lv-LV"/>
              </w:rPr>
              <w:t>un tā anotāciju</w:t>
            </w:r>
          </w:p>
        </w:tc>
      </w:tr>
    </w:tbl>
    <w:p w14:paraId="62FF412A" w14:textId="77777777" w:rsidR="004D1BC2" w:rsidRPr="007F530B" w:rsidRDefault="004D1BC2" w:rsidP="004D1BC2">
      <w:pPr>
        <w:rPr>
          <w:szCs w:val="24"/>
        </w:rPr>
      </w:pPr>
    </w:p>
    <w:p w14:paraId="7573C11F" w14:textId="77777777" w:rsidR="004D1BC2" w:rsidRPr="004D1BC2" w:rsidRDefault="004D1BC2" w:rsidP="004D1BC2">
      <w:pPr>
        <w:ind w:firstLine="567"/>
        <w:rPr>
          <w:color w:val="000000"/>
          <w:szCs w:val="24"/>
        </w:rPr>
      </w:pPr>
      <w:r w:rsidRPr="004D1BC2">
        <w:rPr>
          <w:color w:val="000000"/>
          <w:szCs w:val="24"/>
        </w:rPr>
        <w:t>Finanšu ministrija (turpmāk – FM) sadarbībā ar Centrālo finanšu un līgumu aģentūru (turpmāk – CFLA) atbilstoši kompetencei ir izskatījusi Izglītības un zinātnes ministrijas (turpmāk – IZM) sagatavoto Ministru kabineta (turpmāk – MK) noteikumu projektu “Darbības programmas “Izaugsme un nodarbinātība” 14.1.1.specifiskā atbalsta mērķa “Atveseļošanas pasākumi izglītības nozarē (ESF)” 14.1.1.1.pasākuma “Digitalizācijas iniciatīvas studiju kvalitātes pilnveidei” īstenošanas noteikumi”  (turpmāk – noteikumu projekts) un tā sākotnējās ietekmes novērtējuma ziņojumu (turpmāk – anotācija) un atbalsta to tālāku virzību, vienlaikus izsakot šādus iebildumus un priekšlikumus.</w:t>
      </w:r>
    </w:p>
    <w:p w14:paraId="74C4AC6F" w14:textId="77777777" w:rsidR="004D1BC2" w:rsidRPr="004D1BC2" w:rsidRDefault="004D1BC2" w:rsidP="004D1BC2">
      <w:pPr>
        <w:ind w:firstLine="567"/>
        <w:rPr>
          <w:color w:val="000000"/>
          <w:szCs w:val="24"/>
        </w:rPr>
      </w:pPr>
      <w:r w:rsidRPr="004D1BC2">
        <w:rPr>
          <w:color w:val="000000"/>
          <w:szCs w:val="24"/>
        </w:rPr>
        <w:t>Iebildumi:</w:t>
      </w:r>
    </w:p>
    <w:p w14:paraId="38180700" w14:textId="09A60FDF" w:rsidR="004D1BC2" w:rsidRPr="004D1BC2" w:rsidRDefault="004D1BC2" w:rsidP="004D1BC2">
      <w:pPr>
        <w:pStyle w:val="ListParagraph"/>
        <w:numPr>
          <w:ilvl w:val="0"/>
          <w:numId w:val="3"/>
        </w:numPr>
        <w:rPr>
          <w:szCs w:val="24"/>
        </w:rPr>
      </w:pPr>
      <w:r w:rsidRPr="004D1BC2">
        <w:rPr>
          <w:szCs w:val="24"/>
        </w:rPr>
        <w:t xml:space="preserve">Lūdzam nodrošināt termina “digitālie tehnoloģiskie risinājumi” konsekventu lietošanu noteikumu projekta tekstā un anotācijā. </w:t>
      </w:r>
    </w:p>
    <w:p w14:paraId="0CD15B67" w14:textId="42BB880C" w:rsidR="004D1BC2" w:rsidRPr="004D1BC2" w:rsidRDefault="004D1BC2" w:rsidP="004D1BC2">
      <w:pPr>
        <w:pStyle w:val="ListParagraph"/>
        <w:numPr>
          <w:ilvl w:val="0"/>
          <w:numId w:val="3"/>
        </w:numPr>
        <w:rPr>
          <w:szCs w:val="24"/>
        </w:rPr>
      </w:pPr>
      <w:r w:rsidRPr="004D1BC2">
        <w:rPr>
          <w:szCs w:val="24"/>
        </w:rPr>
        <w:t>Ņemot vērā, ka pasākumā ir plānots izstrādāt digitālus tehnoloģiskos risinājumus, lūdzam noteikumu projektā paredzēt nosacījumu, ka tie tiks paredzēti tikai valsts izglītības sistēmas ietvaros. Ja pasākuma ietvaros izstrādāto digitālo tehnoloģisko risinājumu ir plānots izmantot arī papildinošas saimnieciskās darbības veikšanai, piemēram, tālākizglītības vai mūžizglītības kursu īstenošanai, vēršam uzmanību, ka noteikumu projektā jau šobrīd ir jāiekļauj atbilstoši komercdarbības atbalsta regulējuma nosacījumi, piemēram,  projektos, kur atbalsts tiek pamatā sniegts nesaimnieciskai darbībai, būtu iespējams piemērot Komisijas paziņojuma 207.punktā paredzēto pieeju, savukārt gadījumā, ja atbalsts pamatā ir paredzēts saimnieciskas darbības veikšanai, bet projektam neizpildās Komercdarbības atbalsta kontroles likuma 5.pantā minētā ceturtā komercdarbības atbalstu raksturojošā pazīme, tad Komisijas paziņojuma 207.punktā minēto pieeju piemērot nevar un ir jārod cits risinājums.  </w:t>
      </w:r>
    </w:p>
    <w:p w14:paraId="56AC2E12" w14:textId="6C1DF2CB" w:rsidR="004D1BC2" w:rsidRPr="004D1BC2" w:rsidRDefault="004D1BC2" w:rsidP="004D1BC2">
      <w:pPr>
        <w:pStyle w:val="ListParagraph"/>
        <w:numPr>
          <w:ilvl w:val="0"/>
          <w:numId w:val="3"/>
        </w:numPr>
        <w:rPr>
          <w:szCs w:val="24"/>
        </w:rPr>
      </w:pPr>
      <w:r w:rsidRPr="004D1BC2">
        <w:rPr>
          <w:szCs w:val="24"/>
        </w:rPr>
        <w:lastRenderedPageBreak/>
        <w:t xml:space="preserve">Ņemot vērā to, ka izglītības jomā var būt arī tādas augstskolas, kas īsteno saimniecisko darbību, un ka tādā gadījumā atbalsta piešķiršana augstskolu personāla izmaksu segšanai būtu uzskatāma par ekonomiskās priekšrocības sniegšanu arī noteikumu projekta ietvaros, lūdzam precizēt anotācijā ietverto informāciju (7. un 8.lp), skaidri atspoguļojot to, ka, lai nodrošinātu noteikumu projekta 23.punktā noteikto, tiks vērtēts augstskolu nesaimnieciskais raksturs (ieņēmumi nepārsniedz 50 % no izdevumiem) vai Komercdarbības atbalsta kontroles likuma 5.pantā noteiktā 4. komercdarbības atbalstu raksturojoša pazīme. Vienlaikus ievērojot noteikumu projekta 2.2.apakšpunktā iekļauto terminu “darbība, kurai nav saimnieciska rakstura, – augstskolas darbība, kura neietilpst Līguma par Eiropas Savienības darbību (Eiropas Savienības Oficiālais Vēstnesis, 2010.gada 30.marts, Nr.C 83/47) 107.panta 1.punktā noteiktajā darbības jomā”, vēršam uzmanību, ka atbilstoši Komisijas paziņojuma par Līguma par Eiropas Savienības darbību 107.panta 1.punktā minēto valsts atbalsta jēdzienu (C/2016/2946) (turpmāk – Komisijas paziņojums)  29.punktā noteiktajam un Eiropas Komisijas sniegtajiem skaidrojumiem valsts izglītības sistēmas ietvaros sniegti pakalpojumi nav uzskatāmi par saimniecisku darbību, ja ieņēmumi no šīs darbības nepārsniedz 50% no darbības izdevumiem. Lūdzam atbilstoši precizēt noteikumu projekta 2.2.apakšpunktu. Vēršam uzmanību, ka noteikumu projekta 2.2.apakšpunktā minēta atsauce uz Līguma par Eiropas Savienības darbību 107.panta 1.punktā noteikto darbības jomu ir plašs definējums, tāpēc lūdzam precizēt noteikumu projektu un/vai anotāciju tā, lai noteikumu piemērotājiem būtu skaidrs, kādiem kritērijiem ir jāizpildās un kā to pārbaudīt. </w:t>
      </w:r>
    </w:p>
    <w:p w14:paraId="26705676" w14:textId="53F8417E" w:rsidR="004D1BC2" w:rsidRPr="004D1BC2" w:rsidRDefault="004D1BC2" w:rsidP="004D1BC2">
      <w:pPr>
        <w:pStyle w:val="ListParagraph"/>
        <w:numPr>
          <w:ilvl w:val="0"/>
          <w:numId w:val="3"/>
        </w:numPr>
        <w:rPr>
          <w:szCs w:val="24"/>
        </w:rPr>
      </w:pPr>
      <w:r w:rsidRPr="004D1BC2">
        <w:rPr>
          <w:szCs w:val="24"/>
        </w:rPr>
        <w:t xml:space="preserve">Atbilstoši noteikumu projektā paredzētajam, 14.1.1.specifiskā atbalsta mērķa “Atveseļošanas pasākumi izglītības nozarē (ESF)” (turpmāk – 14.1.1.SAM)  14.1.1.1.pasākuma “Digitalizācijas iniciatīvas studiju kvalitātes pilnveidei” (turpmāk – 14.1.1.1.pasākums) ietvaros plānoto Eiropas Sociāla fonda (turpmāk – ESF) un valsts budžeta līdzfinansējumu plānots piešķirt augstskolām neatkarīgi no to juridiskā statusa. Tā kā augstskolas var būt gan valsts dibinātas, gan privātpersonu dibinātas, tad uzskatām, ka nav pamatojuma valsts budžeta līdzfinansējuma plānošanai privātpersonu dibinātām augstskolām. Līdz ar to aicinām precizēt noteikumu projektā un anotācijā norādīto 14.1.1.1.pasākuma mērķa grupas definīciju, vai arī precizēt noteikumu projekta 6. un 7.punktu, samazinot valsts budžeta līdzfinansējuma apmēru un attiecīgi palielinot privātā līdzfinansējuma apmēru. Papildus norādām, ka MK 2018.gada noteikumi Nr.421 “Kārtība, kādā veic gadskārtējā valsts budžeta likumā noteiktās apropriācijas izmaiņas” neparedz iespēju piešķirt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privātpersonu dibinātām un noteiktā kārtībā Latvijas Republikā reģistrētām un akreditētām augstskolām. Līdz ar to privātajām augstskolām dažādu projektu īstenošanai nepieciešamais līdzfinansējuma apmērs ir jānodrošina sava budžeta ietvaros, izvērtējot savas finansiālās iespējas. </w:t>
      </w:r>
    </w:p>
    <w:p w14:paraId="3EB1B240" w14:textId="77777777" w:rsidR="004D1BC2" w:rsidRPr="004D1BC2" w:rsidRDefault="004D1BC2" w:rsidP="004D1BC2">
      <w:pPr>
        <w:pStyle w:val="ListParagraph"/>
        <w:numPr>
          <w:ilvl w:val="0"/>
          <w:numId w:val="3"/>
        </w:numPr>
        <w:rPr>
          <w:szCs w:val="24"/>
        </w:rPr>
      </w:pPr>
      <w:r w:rsidRPr="004D1BC2">
        <w:rPr>
          <w:szCs w:val="24"/>
        </w:rPr>
        <w:t>Lūdzam precizēt noteikumu projekta 5.punktu, lai nodrošinātu korektu un izsekojamu informāciju par sasniedzamajiem rādītājiem atbilstoši REACT-EU 2021.gada un 2022.gada piešķīrumiem, piemēram, šādā redakcijā:</w:t>
      </w:r>
    </w:p>
    <w:p w14:paraId="421022BB" w14:textId="77777777" w:rsidR="004D1BC2" w:rsidRPr="004D1BC2" w:rsidRDefault="004D1BC2" w:rsidP="004D1BC2">
      <w:pPr>
        <w:pStyle w:val="ListParagraph"/>
        <w:rPr>
          <w:szCs w:val="24"/>
          <w:lang w:eastAsia="lv-LV"/>
        </w:rPr>
      </w:pPr>
      <w:r w:rsidRPr="004D1BC2">
        <w:rPr>
          <w:szCs w:val="24"/>
        </w:rPr>
        <w:t>“5. Specifiskā atbalsta ietvaros ir sasniedzami šādi uzraudzības rādītāji:</w:t>
      </w:r>
    </w:p>
    <w:p w14:paraId="001145D7" w14:textId="77777777" w:rsidR="004D1BC2" w:rsidRPr="004D1BC2" w:rsidRDefault="004D1BC2" w:rsidP="004D1BC2">
      <w:pPr>
        <w:pStyle w:val="ListParagraph"/>
        <w:rPr>
          <w:szCs w:val="24"/>
        </w:rPr>
      </w:pPr>
      <w:r w:rsidRPr="004D1BC2">
        <w:rPr>
          <w:szCs w:val="24"/>
        </w:rPr>
        <w:t>5.1.iznākuma rādītājs – augstskolu skaits, kuras saņēmušas Eiropas Sociālā fonda atbalstu digitalizācijas iniciatīvu ieviešanai, kas veicina mūsdienīgu, inovatīvos tehnoloģiskos risinājumos balstītu studiju procesu, – 7, tai skaitā:</w:t>
      </w:r>
    </w:p>
    <w:p w14:paraId="31B0FDC8" w14:textId="77777777" w:rsidR="004D1BC2" w:rsidRPr="004D1BC2" w:rsidRDefault="004D1BC2" w:rsidP="004D1BC2">
      <w:pPr>
        <w:pStyle w:val="ListParagraph"/>
        <w:rPr>
          <w:szCs w:val="24"/>
        </w:rPr>
      </w:pPr>
      <w:r w:rsidRPr="004D1BC2">
        <w:rPr>
          <w:szCs w:val="24"/>
        </w:rPr>
        <w:t xml:space="preserve">5.1.1. </w:t>
      </w:r>
      <w:bookmarkStart w:id="9" w:name="_Hlk76541785"/>
      <w:bookmarkStart w:id="10" w:name="_Hlk76477822"/>
      <w:r w:rsidRPr="004D1BC2">
        <w:rPr>
          <w:szCs w:val="24"/>
        </w:rPr>
        <w:t>par finansējumu, kas norādīts šo noteikumu 6.1.apakšpunktā</w:t>
      </w:r>
      <w:bookmarkEnd w:id="9"/>
      <w:r w:rsidRPr="004D1BC2">
        <w:rPr>
          <w:szCs w:val="24"/>
        </w:rPr>
        <w:t xml:space="preserve">, </w:t>
      </w:r>
      <w:bookmarkStart w:id="11" w:name="_Hlk79143540"/>
      <w:bookmarkEnd w:id="10"/>
      <w:r w:rsidRPr="004D1BC2">
        <w:rPr>
          <w:szCs w:val="24"/>
        </w:rPr>
        <w:t>augstskolu skaits, kuras saņēmušas Eiropas Sociālā fonda atbalstu digitalizācijas iniciatīvu ieviešanai, kas veicina mūsdienīgu, inovatīvos tehnoloģiskos risinājumos balstītu studiju procesu - 7;</w:t>
      </w:r>
      <w:bookmarkEnd w:id="11"/>
    </w:p>
    <w:p w14:paraId="6E04AFBB" w14:textId="77777777" w:rsidR="004D1BC2" w:rsidRPr="004D1BC2" w:rsidRDefault="004D1BC2" w:rsidP="004D1BC2">
      <w:pPr>
        <w:pStyle w:val="ListParagraph"/>
        <w:rPr>
          <w:szCs w:val="24"/>
        </w:rPr>
      </w:pPr>
      <w:bookmarkStart w:id="12" w:name="_Hlk76541800"/>
      <w:r w:rsidRPr="004D1BC2">
        <w:rPr>
          <w:szCs w:val="24"/>
        </w:rPr>
        <w:t>5.1.2.par finansējumu, kas norādīts šo noteikumu 6.2.apakšpunktā</w:t>
      </w:r>
      <w:bookmarkEnd w:id="12"/>
      <w:r w:rsidRPr="004D1BC2">
        <w:rPr>
          <w:szCs w:val="24"/>
        </w:rPr>
        <w:t>, augstskolu skaits, kuras saņēmušas Eiropas Sociālā fonda atbalstu digitalizācijas iniciatīvu ieviešanai, kas veicina mūsdienīgu, inovatīvos tehnoloģiskos risinājumos balstītu studiju procesu - 7;</w:t>
      </w:r>
    </w:p>
    <w:p w14:paraId="44D68AC0" w14:textId="77777777" w:rsidR="004D1BC2" w:rsidRPr="004D1BC2" w:rsidRDefault="004D1BC2" w:rsidP="004D1BC2">
      <w:pPr>
        <w:pStyle w:val="ListParagraph"/>
        <w:rPr>
          <w:szCs w:val="24"/>
        </w:rPr>
      </w:pPr>
      <w:r w:rsidRPr="004D1BC2">
        <w:rPr>
          <w:szCs w:val="24"/>
        </w:rPr>
        <w:lastRenderedPageBreak/>
        <w:t>5.2.rezultāta rādītājs – augstskolu skaits, kuras ieviesušas digitalizācijas iniciatīvas, kas veicina mūsdienīgu, inovatīvos tehnoloģiskos risinājumos balstītu studiju procesu, – 7, tai skaitā:</w:t>
      </w:r>
    </w:p>
    <w:p w14:paraId="7595BE4A" w14:textId="77777777" w:rsidR="004D1BC2" w:rsidRPr="004D1BC2" w:rsidRDefault="004D1BC2" w:rsidP="004D1BC2">
      <w:pPr>
        <w:pStyle w:val="ListParagraph"/>
        <w:rPr>
          <w:szCs w:val="24"/>
        </w:rPr>
      </w:pPr>
      <w:r w:rsidRPr="004D1BC2">
        <w:rPr>
          <w:szCs w:val="24"/>
        </w:rPr>
        <w:t>5.2.1.par finansējumu, kas norādīts šo noteikumu 6.1.apakšpunktā, augstskolu skaits, kuras ieviesušas digitalizācijas iniciatīvas, kas veicina mūsdienīgu, inovatīvos tehnoloģiskos risinājumos balstītu studiju procesu, – 7;</w:t>
      </w:r>
    </w:p>
    <w:p w14:paraId="0CB21539" w14:textId="77777777" w:rsidR="004D1BC2" w:rsidRPr="004D1BC2" w:rsidRDefault="004D1BC2" w:rsidP="004D1BC2">
      <w:pPr>
        <w:pStyle w:val="ListParagraph"/>
        <w:rPr>
          <w:szCs w:val="24"/>
        </w:rPr>
      </w:pPr>
      <w:r w:rsidRPr="004D1BC2">
        <w:rPr>
          <w:szCs w:val="24"/>
        </w:rPr>
        <w:t xml:space="preserve">5.2.2.par finansējumu, kas norādīts šo noteikumu 6.2.apakšpunktā, augstskolu skaits, kuras ieviesušas digitalizācijas iniciatīvas, kas veicina mūsdienīgu, inovatīvos tehnoloģiskos risinājumos balstītu studiju procesu, – 7.”. </w:t>
      </w:r>
    </w:p>
    <w:p w14:paraId="26E4D465" w14:textId="75F56067" w:rsidR="004D1BC2" w:rsidRPr="004D1BC2" w:rsidRDefault="004D1BC2" w:rsidP="004D1BC2">
      <w:pPr>
        <w:pStyle w:val="ListParagraph"/>
        <w:rPr>
          <w:szCs w:val="24"/>
        </w:rPr>
      </w:pPr>
      <w:r w:rsidRPr="004D1BC2">
        <w:rPr>
          <w:szCs w:val="24"/>
        </w:rPr>
        <w:t xml:space="preserve">Vienlaikus lūdzam papildināt anotāciju ar skaidrojumu, ka sadalījums pa gadiem nav skaitāms kumulatīvi, bet atbalsts abos gados tik nodrošināts tām pašām 7 augstskolām. </w:t>
      </w:r>
    </w:p>
    <w:p w14:paraId="33B4F25F" w14:textId="77777777" w:rsidR="004D1BC2" w:rsidRPr="004D1BC2" w:rsidRDefault="004D1BC2" w:rsidP="004D1BC2">
      <w:pPr>
        <w:pStyle w:val="ListParagraph"/>
        <w:numPr>
          <w:ilvl w:val="0"/>
          <w:numId w:val="3"/>
        </w:numPr>
        <w:rPr>
          <w:szCs w:val="24"/>
        </w:rPr>
      </w:pPr>
      <w:r w:rsidRPr="004D1BC2">
        <w:rPr>
          <w:szCs w:val="24"/>
        </w:rPr>
        <w:t>Lūdzam precizēt noteikumu projekta 6.punktu, lai nodrošinātu korektu un izsekojamu informāciju par finansējumu atbilstoši REACT-EU 2021.gada un 2022.gada piešķīrumiem, piemēram, šādā redakcijā:</w:t>
      </w:r>
    </w:p>
    <w:p w14:paraId="3FC2EB85" w14:textId="77777777" w:rsidR="004D1BC2" w:rsidRPr="004D1BC2" w:rsidRDefault="004D1BC2" w:rsidP="004D1BC2">
      <w:pPr>
        <w:pStyle w:val="ListParagraph"/>
        <w:rPr>
          <w:i/>
          <w:iCs/>
          <w:szCs w:val="24"/>
        </w:rPr>
      </w:pPr>
      <w:r w:rsidRPr="004D1BC2">
        <w:rPr>
          <w:szCs w:val="24"/>
        </w:rPr>
        <w:t xml:space="preserve">“ 6. Specifiskā atbalsta ietvaros pieejamais kopējais attiecināmais finansējums ir 7 860 001 </w:t>
      </w:r>
      <w:r w:rsidRPr="004D1BC2">
        <w:rPr>
          <w:i/>
          <w:iCs/>
          <w:szCs w:val="24"/>
        </w:rPr>
        <w:t>euro</w:t>
      </w:r>
      <w:r w:rsidRPr="004D1BC2">
        <w:rPr>
          <w:szCs w:val="24"/>
        </w:rPr>
        <w:t xml:space="preserve">, tai skaitā Eiropas Sociālā fonda finansējums – 6 681 000 </w:t>
      </w:r>
      <w:r w:rsidRPr="004D1BC2">
        <w:rPr>
          <w:i/>
          <w:iCs/>
          <w:szCs w:val="24"/>
        </w:rPr>
        <w:t>euro</w:t>
      </w:r>
      <w:r w:rsidRPr="004D1BC2">
        <w:rPr>
          <w:szCs w:val="24"/>
        </w:rPr>
        <w:t xml:space="preserve"> un valsts budžeta finansējums – 1 179 001 </w:t>
      </w:r>
      <w:r w:rsidRPr="004D1BC2">
        <w:rPr>
          <w:i/>
          <w:iCs/>
          <w:szCs w:val="24"/>
        </w:rPr>
        <w:t xml:space="preserve">euro, </w:t>
      </w:r>
      <w:r w:rsidRPr="004D1BC2">
        <w:rPr>
          <w:szCs w:val="24"/>
        </w:rPr>
        <w:t>tai skaitā:</w:t>
      </w:r>
      <w:r w:rsidRPr="004D1BC2">
        <w:rPr>
          <w:i/>
          <w:iCs/>
          <w:szCs w:val="24"/>
        </w:rPr>
        <w:t xml:space="preserve"> </w:t>
      </w:r>
    </w:p>
    <w:p w14:paraId="33D23252" w14:textId="77777777" w:rsidR="004D1BC2" w:rsidRPr="004D1BC2" w:rsidRDefault="004D1BC2" w:rsidP="004D1BC2">
      <w:pPr>
        <w:pStyle w:val="ListParagraph"/>
        <w:rPr>
          <w:i/>
          <w:iCs/>
          <w:szCs w:val="24"/>
        </w:rPr>
      </w:pPr>
      <w:r w:rsidRPr="004D1BC2">
        <w:rPr>
          <w:szCs w:val="24"/>
        </w:rPr>
        <w:t xml:space="preserve">6.1.Atbilstoši REACT-EU 2021.gada piešķīrumam, pieejamais kopējais attiecināmais finansējums ir 6 068 071 </w:t>
      </w:r>
      <w:r w:rsidRPr="004D1BC2">
        <w:rPr>
          <w:i/>
          <w:iCs/>
          <w:szCs w:val="24"/>
        </w:rPr>
        <w:t>euro</w:t>
      </w:r>
      <w:r w:rsidRPr="004D1BC2">
        <w:rPr>
          <w:szCs w:val="24"/>
        </w:rPr>
        <w:t xml:space="preserve">, tai skaitā Eiropas Sociālā fonda finansējums – 5 157 860 </w:t>
      </w:r>
      <w:r w:rsidRPr="004D1BC2">
        <w:rPr>
          <w:i/>
          <w:iCs/>
          <w:szCs w:val="24"/>
        </w:rPr>
        <w:t>euro</w:t>
      </w:r>
      <w:r w:rsidRPr="004D1BC2">
        <w:rPr>
          <w:szCs w:val="24"/>
        </w:rPr>
        <w:t xml:space="preserve"> un valsts budžeta līdzfinansējums – 910 211 </w:t>
      </w:r>
      <w:r w:rsidRPr="004D1BC2">
        <w:rPr>
          <w:i/>
          <w:iCs/>
          <w:szCs w:val="24"/>
        </w:rPr>
        <w:t>euro;</w:t>
      </w:r>
    </w:p>
    <w:p w14:paraId="21E147F0" w14:textId="61804341" w:rsidR="004D1BC2" w:rsidRPr="004D1BC2" w:rsidRDefault="004D1BC2" w:rsidP="004D1BC2">
      <w:pPr>
        <w:pStyle w:val="Default"/>
        <w:ind w:left="720"/>
        <w:jc w:val="both"/>
      </w:pPr>
      <w:r w:rsidRPr="004D1BC2">
        <w:t xml:space="preserve">6.2. Atbilstoši plānotajam REACT-EU 2022.gada piešķīrumam, kopējais attiecināmais finansējums ir 1 791 930 </w:t>
      </w:r>
      <w:r w:rsidRPr="004D1BC2">
        <w:rPr>
          <w:i/>
          <w:iCs/>
        </w:rPr>
        <w:t>euro</w:t>
      </w:r>
      <w:r w:rsidRPr="004D1BC2">
        <w:t xml:space="preserve">, tai skaitā Eiropas Sociālā fonda finansējums –  1 523 140 </w:t>
      </w:r>
      <w:r w:rsidRPr="004D1BC2">
        <w:rPr>
          <w:i/>
          <w:iCs/>
        </w:rPr>
        <w:t>euro</w:t>
      </w:r>
      <w:r w:rsidRPr="004D1BC2">
        <w:t xml:space="preserve"> un valsts budžeta finansējums –  268 790 </w:t>
      </w:r>
      <w:r w:rsidRPr="004D1BC2">
        <w:rPr>
          <w:i/>
          <w:iCs/>
        </w:rPr>
        <w:t>euro</w:t>
      </w:r>
      <w:r w:rsidRPr="004D1BC2">
        <w:t xml:space="preserve">.”.  </w:t>
      </w:r>
    </w:p>
    <w:p w14:paraId="5A9174FD" w14:textId="10A10DED" w:rsidR="004D1BC2" w:rsidRPr="004D1BC2" w:rsidRDefault="004D1BC2" w:rsidP="004D1BC2">
      <w:pPr>
        <w:pStyle w:val="ListParagraph"/>
        <w:numPr>
          <w:ilvl w:val="0"/>
          <w:numId w:val="3"/>
        </w:numPr>
        <w:rPr>
          <w:szCs w:val="24"/>
        </w:rPr>
      </w:pPr>
      <w:r w:rsidRPr="004D1BC2">
        <w:rPr>
          <w:szCs w:val="24"/>
        </w:rPr>
        <w:t xml:space="preserve">Lūdzam savstarpēji salāgot noteikumu projekta 6.1. un 6.2.apakšpunktos norādītos Eiropas Komisijas piešķīrumus sadalījumā pa gadiem ar anotācijas III sadaļas “Tiesību akta projekta ietekme uz valsts budžetu un pašvaldību budžetiem” norādīto sadalījumu pa gadiem. </w:t>
      </w:r>
    </w:p>
    <w:p w14:paraId="1941ED99" w14:textId="0D9FF380" w:rsidR="004D1BC2" w:rsidRPr="004D1BC2" w:rsidRDefault="004D1BC2" w:rsidP="004D1BC2">
      <w:pPr>
        <w:pStyle w:val="ListParagraph"/>
        <w:numPr>
          <w:ilvl w:val="0"/>
          <w:numId w:val="3"/>
        </w:numPr>
        <w:rPr>
          <w:szCs w:val="24"/>
        </w:rPr>
      </w:pPr>
      <w:r w:rsidRPr="004D1BC2">
        <w:rPr>
          <w:szCs w:val="24"/>
        </w:rPr>
        <w:t xml:space="preserve">Lūdzam izvērtēt noteikumu projekta 7.punkta un 23.punkta redakcijas. Vēršam uzmanību, ka noteikumu projekta 23.punkts dublē noteikumu projekta 7.punktā noteikto, t.i., ka pasākuma ietvaros tiek īstenoti projekti, kas nav saistīti ar saimniecisko darbību. Attiecīgi lūdzam precizēt noteikumu projekta 7.punkta redakciju vai svītrot noteikumu projekta 23.punktu. </w:t>
      </w:r>
    </w:p>
    <w:p w14:paraId="1144B856" w14:textId="4C4D2408" w:rsidR="004D1BC2" w:rsidRPr="004D1BC2" w:rsidRDefault="004D1BC2" w:rsidP="004D1BC2">
      <w:pPr>
        <w:pStyle w:val="ListParagraph"/>
        <w:numPr>
          <w:ilvl w:val="0"/>
          <w:numId w:val="3"/>
        </w:numPr>
        <w:rPr>
          <w:szCs w:val="24"/>
        </w:rPr>
      </w:pPr>
      <w:r w:rsidRPr="004D1BC2">
        <w:rPr>
          <w:szCs w:val="24"/>
        </w:rPr>
        <w:t xml:space="preserve">Lūdzam precizēt noteikumu projekta 11.punktu, ņemot vērā, ka projekta iesniedzējs pēc tam, kad ir noslēgta vienošanās vai līgums par projekta īstenošanu ar sadarbības iestādi un apstiprināts projekta iesniegums, ir finansējuma saņēmējs, kas saņem finansējumu no dažādiem finansējuma avotiem, ne tikai ESF finansējumu. Vēršam uzmanību, ka šobrīd noteikumu projektā netiek atrunāta kārtība, kādā tiek piešķirta valsts budžeta līdzfinansējuma daļa. Ņemot vērā minēto, lūdzam attiecīgi papildināt noteikumu projektu un anotācijā sniegto informāciju vai precizēt noteikumu projekta 11.punkta redakciju, svītrojot vārdu salikumu “Eiropas Sociālā fonda”. </w:t>
      </w:r>
    </w:p>
    <w:p w14:paraId="14608619" w14:textId="556174F8" w:rsidR="004D1BC2" w:rsidRPr="004D1BC2" w:rsidRDefault="004D1BC2" w:rsidP="004D1BC2">
      <w:pPr>
        <w:pStyle w:val="ListParagraph"/>
        <w:numPr>
          <w:ilvl w:val="0"/>
          <w:numId w:val="3"/>
        </w:numPr>
        <w:rPr>
          <w:szCs w:val="24"/>
        </w:rPr>
      </w:pPr>
      <w:r w:rsidRPr="004D1BC2">
        <w:rPr>
          <w:szCs w:val="24"/>
        </w:rPr>
        <w:t xml:space="preserve">Lai izvairītos no iespējamās interpretācijas, lūdzam precizēt noteikumu projekta 12.punkta redakciju, skaidri norādot obligāto partnerību un finansējuma saņēmēja brīvo izvēli attiecībā uz partneriem. Kā arī lūdzam skaidrot, vai partnerība ir vērtējama 8.2.3.specifiskā atbalsta mērķa “Nodrošināt labāku pārvaldību augstākās izglītības institūcijās” (turpmāk – 8.2.3.SAM) otrās projektu iesniegumu atlases kārtas ietvaros plānotās augstākās izglītības iestāžu konsolidācijas kontekstā.  Vienlaikus, ņemot vērā noteikumu projekta 12.punktā ietvertos nosacījumus, var gadīties, ka viena un tā pati augstskola 14.1.1.1.pasākuma ietvaros tiek iesaistīta vairākos projektos kā finansējuma saņēmējs un  kā sadarbības partneris. Lūdzam aprakstīt anotācijā šādā gadījumā plānoto ieviešanas shēmu un 14.1.1.1.pasākuma ietvaros īstenojamo projektu savstarpējo koordināciju/papildinātību, kā arī, kā plānots nodrošināt lietderīgu izmaksu izlietojumu attiecībā uz projekta vadības/īstenošanas izmaksām, piemēram, komandējumu, darba vietas nodrošinājuma u.c. gadījumā. </w:t>
      </w:r>
    </w:p>
    <w:p w14:paraId="5605322A" w14:textId="16D1368C" w:rsidR="004D1BC2" w:rsidRPr="004D1BC2" w:rsidRDefault="004D1BC2" w:rsidP="004D1BC2">
      <w:pPr>
        <w:pStyle w:val="ListParagraph"/>
        <w:numPr>
          <w:ilvl w:val="0"/>
          <w:numId w:val="3"/>
        </w:numPr>
        <w:rPr>
          <w:szCs w:val="24"/>
        </w:rPr>
      </w:pPr>
      <w:r w:rsidRPr="004D1BC2">
        <w:rPr>
          <w:szCs w:val="24"/>
        </w:rPr>
        <w:lastRenderedPageBreak/>
        <w:t xml:space="preserve">Lūdzam precizēt noteikumu projekta 13.punktu, izsakot to, piemēram, šādā “izsakot to, redakcijā: “13.Projekta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 </w:t>
      </w:r>
    </w:p>
    <w:p w14:paraId="2062613B" w14:textId="73265446" w:rsidR="004D1BC2" w:rsidRPr="004D1BC2" w:rsidRDefault="004D1BC2" w:rsidP="004D1BC2">
      <w:pPr>
        <w:pStyle w:val="ListParagraph"/>
        <w:numPr>
          <w:ilvl w:val="0"/>
          <w:numId w:val="3"/>
        </w:numPr>
        <w:rPr>
          <w:szCs w:val="24"/>
        </w:rPr>
      </w:pPr>
      <w:r w:rsidRPr="004D1BC2">
        <w:rPr>
          <w:szCs w:val="24"/>
        </w:rPr>
        <w:t xml:space="preserve">Lūdzam izvērtēt nepieciešamību precizēt noteikumu projekta 17.punktā norādītās atbalstāmās darbības vai papildināt anotāciju ar detalizētāku informāciju par plānotajām atbalstāmajām darbībām, to satvaru un mērķiem. Vēršam uzmanību, ka noteikumu projekta 17.1. un 17.2.apakšpunktā norādītās atbalstāmās darbības esošajā redakcijā pirmšķietami dublējas un nav viennozīmīgi saprotams to saturs. </w:t>
      </w:r>
    </w:p>
    <w:p w14:paraId="7938E474" w14:textId="207C0335" w:rsidR="004D1BC2" w:rsidRPr="004D1BC2" w:rsidRDefault="004D1BC2" w:rsidP="004D1BC2">
      <w:pPr>
        <w:pStyle w:val="ListParagraph"/>
        <w:numPr>
          <w:ilvl w:val="0"/>
          <w:numId w:val="3"/>
        </w:numPr>
        <w:rPr>
          <w:szCs w:val="24"/>
        </w:rPr>
      </w:pPr>
      <w:r w:rsidRPr="004D1BC2">
        <w:rPr>
          <w:szCs w:val="24"/>
        </w:rPr>
        <w:t xml:space="preserve">Lūdzam saskaņot noteikumu projekta 17.punktā norādītās atbalstāmās darbības ar noteikumu projekta 18.punktā norādītajām darbībām, lai būtu nepārprotami skaidrs, uz kurām no noteikumu projekta 17.punktā minētajām atbalstāmajām darbībām attiecas noteikumu projekta 18.punktā minētās darbības un atbilstoši papildināt noteikumu projekta anotāciju, skaidrojot noteikumu projekta 17. un 18.punktā minēto darbību savstarpējo saikni un noteikumu projekta 18.punktā minēto darbību nepieciešamību pasākuma mērķu sasniegšanai. </w:t>
      </w:r>
    </w:p>
    <w:p w14:paraId="16A1360C" w14:textId="5093D2CF" w:rsidR="004D1BC2" w:rsidRPr="004D1BC2" w:rsidRDefault="004D1BC2" w:rsidP="004D1BC2">
      <w:pPr>
        <w:pStyle w:val="ListParagraph"/>
        <w:numPr>
          <w:ilvl w:val="0"/>
          <w:numId w:val="3"/>
        </w:numPr>
        <w:rPr>
          <w:szCs w:val="24"/>
        </w:rPr>
      </w:pPr>
      <w:r w:rsidRPr="004D1BC2">
        <w:rPr>
          <w:szCs w:val="24"/>
        </w:rPr>
        <w:t>Lai novērstu pretrunas, kā arī ņemot vērā anotācijā skaidroto, lūdzam precizēt noteikumu projekta 17.2.apakšpunktā norādītās atbalstāmās darbības, lai finansējuma saņēmējam viennozīmīgi būtu skaidrs, ka visām darbībām jābūt vērstām uz koplietošanas risinājumu un vienoto platformu izveidi.</w:t>
      </w:r>
    </w:p>
    <w:p w14:paraId="41A3203C" w14:textId="520B1EC6" w:rsidR="004D1BC2" w:rsidRPr="004D1BC2" w:rsidRDefault="004D1BC2" w:rsidP="004D1BC2">
      <w:pPr>
        <w:pStyle w:val="ListParagraph"/>
        <w:numPr>
          <w:ilvl w:val="0"/>
          <w:numId w:val="3"/>
        </w:numPr>
        <w:rPr>
          <w:szCs w:val="24"/>
        </w:rPr>
      </w:pPr>
      <w:r w:rsidRPr="004D1BC2">
        <w:rPr>
          <w:szCs w:val="24"/>
        </w:rPr>
        <w:t xml:space="preserve">Lūdzam precizēt noteikumu projekta 20.punktu, izmaksu pozīcijām norādot atsauces un uz konkrētām noteikumu projekta 17.punktā norādītajām pasākuma ietvaros atbalstāmajām darbībām, lai nodrošinātu vienotu izpratni par izmaksu attiecināšanu projektu ietvaros. </w:t>
      </w:r>
    </w:p>
    <w:p w14:paraId="2A186847" w14:textId="0FA86807" w:rsidR="004D1BC2" w:rsidRPr="004D1BC2" w:rsidRDefault="004D1BC2" w:rsidP="004D1BC2">
      <w:pPr>
        <w:pStyle w:val="ListParagraph"/>
        <w:numPr>
          <w:ilvl w:val="0"/>
          <w:numId w:val="3"/>
        </w:numPr>
        <w:rPr>
          <w:szCs w:val="24"/>
        </w:rPr>
      </w:pPr>
      <w:r w:rsidRPr="004D1BC2">
        <w:rPr>
          <w:szCs w:val="24"/>
        </w:rPr>
        <w:t xml:space="preserve">Lai novērstu interpretācijas iespējas projekta īstenošanas laikā, lūdzam precizēt noteikumu projekta 20.5.apakšpunktu, nosakot, ka iekšzemes transporta izmaksas ir attiecināmas kopā ar iekšzemes komandējuma izmaksām vai skaidrot, kādas transporta izmaksas papildus tiek plānotas, nepieciešamības gadījumā papildinot atbalstāmās darbības. </w:t>
      </w:r>
    </w:p>
    <w:p w14:paraId="05653467" w14:textId="4AAB7CB4" w:rsidR="004D1BC2" w:rsidRPr="004D1BC2" w:rsidRDefault="004D1BC2" w:rsidP="004D1BC2">
      <w:pPr>
        <w:pStyle w:val="ListParagraph"/>
        <w:numPr>
          <w:ilvl w:val="0"/>
          <w:numId w:val="3"/>
        </w:numPr>
        <w:rPr>
          <w:szCs w:val="24"/>
        </w:rPr>
      </w:pPr>
      <w:r w:rsidRPr="004D1BC2">
        <w:rPr>
          <w:szCs w:val="24"/>
        </w:rPr>
        <w:t xml:space="preserve">Lūdzam precizēt noteikumu projekta 20.6.apakšpunktu vai papildināt anotāciju ar skaidrojumu par 20.6.apakšpunktā minētajām projekta ieviešanas dokumentācijas izstrādes izmaksām. Ja ar šādām izmaksām plānotas projekta iesnieguma sagatavošanas izmaksas, lūdzam šādas izmaksas svītrot; tehnisko specifikāciju sagatavotājiem lūdzam papildināt īstenošanas personāla vai pakalpojumu aprakstu. Gadījumā, ja plānotas infrastruktūras izmaksas, lūdzam vismaz anotācijā iekļaut rekomendētos izmaksu sliekšņus vai procentuālo sadalījumu starp infrastruktūras iegādes, digitālo tehnoloģisko risinājumu ieviešanas un personāla apmācību izmaksām. Vienlaikus lūdzam papildināt anotāciju ar skaidrojumu, kā vērtējama šajā pasākumā plānotās infrastruktūras iegāde ar 8.2.3.SAM otrās projektu iesniegumu kārtas ietvaros paredzēto augstākās izglītības iestāžu konsolidāciju. </w:t>
      </w:r>
    </w:p>
    <w:p w14:paraId="16980745" w14:textId="23209450" w:rsidR="004D1BC2" w:rsidRPr="004D1BC2" w:rsidRDefault="004D1BC2" w:rsidP="004D1BC2">
      <w:pPr>
        <w:pStyle w:val="ListParagraph"/>
        <w:numPr>
          <w:ilvl w:val="0"/>
          <w:numId w:val="3"/>
        </w:numPr>
        <w:rPr>
          <w:rFonts w:eastAsiaTheme="minorHAnsi"/>
          <w:szCs w:val="24"/>
        </w:rPr>
      </w:pPr>
      <w:r w:rsidRPr="004D1BC2">
        <w:rPr>
          <w:szCs w:val="24"/>
        </w:rPr>
        <w:t>Vēršam uzmanību, ka noteikumu projekta 20.7., 20.8. un 20.9.apakšpunktos minētās izmaksas nav viennozīmīgi interpretējamas (nav saprotams, vai tās ir īstenošanas personāla atlīdzības izmaksas vai pakalpojuma izmaksas, kas iepriekš noteikumu projekta tekstā jau ir definētas, vai citas izmaksas), lūdzam svītrot vai precizēt šos apakšpunktus, lai izvairītos no interpretācijas iespējām. Atbilstoši lūdzam pēc būtības papildināt atbalstāmo darbību redakcijas.</w:t>
      </w:r>
    </w:p>
    <w:p w14:paraId="615BB037" w14:textId="33E67D15" w:rsidR="004D1BC2" w:rsidRPr="004D1BC2" w:rsidRDefault="004D1BC2" w:rsidP="004D1BC2">
      <w:pPr>
        <w:pStyle w:val="ListParagraph"/>
        <w:numPr>
          <w:ilvl w:val="0"/>
          <w:numId w:val="3"/>
        </w:numPr>
        <w:rPr>
          <w:rFonts w:eastAsiaTheme="minorHAnsi"/>
          <w:szCs w:val="24"/>
        </w:rPr>
      </w:pPr>
      <w:r w:rsidRPr="004D1BC2">
        <w:rPr>
          <w:szCs w:val="24"/>
        </w:rPr>
        <w:t xml:space="preserve">Lūdzam skaidrot, kādā apjomā (procentuāli vai absolūtos skaitļos) 14.1.1.1.pasākuma ietvaros plānotas izmaksas noteikumu projekta 20.9.apakšpunktā minētās digitālo tehnoloģisko risinājumu ieviešanai nepieciešamās infrastruktūras iegādes un uzstādīšanas izmaksas, tai skaitā esošo datu centru datu masīvu papildināšanas un esošo datu masīvu veiktspējas palielināšanas izmaksas, iegādātās infrastruktūras uzstādīšanas un konfigurēšanas izmaksas, administratoru un lietotāju apmācību izmaksas, t.i., rosinām </w:t>
      </w:r>
      <w:r w:rsidRPr="004D1BC2">
        <w:rPr>
          <w:szCs w:val="24"/>
        </w:rPr>
        <w:lastRenderedPageBreak/>
        <w:t>pārliecināties, ka, ņemot vērā 14.1.1.1.pasākuma finansējuma avotu (Eiropas Sociālais fonds), informācijas tehnoloģiju infrastruktūras izmaksas neveido proporcionāli lielāko pasākuma izmaksu pozīciju.</w:t>
      </w:r>
    </w:p>
    <w:p w14:paraId="15841921" w14:textId="2C595510" w:rsidR="004D1BC2" w:rsidRPr="004D1BC2" w:rsidRDefault="004D1BC2" w:rsidP="004D1BC2">
      <w:pPr>
        <w:pStyle w:val="ListParagraph"/>
        <w:numPr>
          <w:ilvl w:val="0"/>
          <w:numId w:val="3"/>
        </w:numPr>
        <w:rPr>
          <w:szCs w:val="24"/>
        </w:rPr>
      </w:pPr>
      <w:r w:rsidRPr="004D1BC2">
        <w:rPr>
          <w:szCs w:val="24"/>
        </w:rPr>
        <w:t xml:space="preserve">Lūdzam noteikumu projekta 21.punktā svītrot vārdus “veiktajām funkcijām un”. </w:t>
      </w:r>
    </w:p>
    <w:p w14:paraId="07C4D717" w14:textId="7A2116C2" w:rsidR="004D1BC2" w:rsidRPr="004D1BC2" w:rsidRDefault="004D1BC2" w:rsidP="004D1BC2">
      <w:pPr>
        <w:pStyle w:val="ListParagraph"/>
        <w:numPr>
          <w:ilvl w:val="0"/>
          <w:numId w:val="3"/>
        </w:numPr>
        <w:rPr>
          <w:rStyle w:val="cf01"/>
          <w:rFonts w:ascii="Times New Roman" w:hAnsi="Times New Roman" w:cs="Times New Roman"/>
          <w:szCs w:val="24"/>
        </w:rPr>
      </w:pPr>
      <w:r w:rsidRPr="004D1BC2">
        <w:rPr>
          <w:rStyle w:val="cf01"/>
          <w:rFonts w:ascii="Times New Roman" w:hAnsi="Times New Roman" w:cs="Times New Roman"/>
          <w:szCs w:val="24"/>
        </w:rPr>
        <w:t xml:space="preserve">Lūdzam precizēt noteikumu projekta 21.1.apakšpunktu un izteikt to šāda redakcijā: “21.1. pilnu darba laiku vai nepilnu darba laiku ne mazāk kā 30 procentu apmērā no normālā darba laika, attiecīgi veicot projekta vadības un īstenošanas personāla darba laika uzskaiti par veiktajām funkcijām un nostrādāto laiku. Ja personāla iesaiste projektā ir nodrošināta saskaņā ar daļlaika attiecināmības principu, attiecināma ir ne mazāka kā 30 procentu noslodze.” </w:t>
      </w:r>
    </w:p>
    <w:p w14:paraId="257C4780" w14:textId="7AA2E047" w:rsidR="004D1BC2" w:rsidRPr="004D1BC2" w:rsidRDefault="004D1BC2" w:rsidP="004D1BC2">
      <w:pPr>
        <w:pStyle w:val="ListParagraph"/>
        <w:numPr>
          <w:ilvl w:val="0"/>
          <w:numId w:val="3"/>
        </w:numPr>
        <w:rPr>
          <w:rFonts w:eastAsiaTheme="minorHAnsi"/>
          <w:szCs w:val="24"/>
        </w:rPr>
      </w:pPr>
      <w:r w:rsidRPr="004D1BC2">
        <w:rPr>
          <w:szCs w:val="24"/>
        </w:rPr>
        <w:t xml:space="preserve">Attiecībā  uz noteikumu projekta 21.2.apakšpunktu, neatbalstām šāda regulējuma ietveršanu noteikumos. Skaidrojam, ka, ja darbinieku noslodze projektos ir mazāka kā 30% no normālā darba laika, aicinām izstrādāt vienas vienības stundas likmi vai izmantot Regulas Nr. 1303/2013 68.panta a) apakšpunktā minēto vienoto likmi līdz 20%. Atbilstoši Finanšu ministrijas vadlīniju Nr.2.1. “Vadlīnijas attiecināmo un neattiecināmo izmaksu noteikšanai 2014. – 2020.gada plānošanas periodā” 38.punktam darbinieka daļlaika izmaksas ir iekļaujamas projekta tiešajās attiecināmajās izmaksās, tai skaitā tehniskās palīdzības projektos, ja darbinieks noteiktā laika periodā (min. viens mēnesis) vismaz 30% no normālā darba laika pilda ar ES fondu jautājumiem saistītus amata pienākumus. Ja darbinieka amata pienākumu darba laiks darbam, kas saistīts ar ES fondiem, ir mazāks par 30%, tad darbinieka atlīdzības izmaksas var iekļaut projekta netiešajās attiecināmajās izmaksās atbilstoši šo vadlīniju 6.5.apakšpunktā noteiktajam. Tāpat lūdzam skaidrot vai papildināt anotāciju, skaidrojot kādēļ tik īsos projektos ar tik ambicioziem mērķiem būtu nepieciešama pastāvīga daļlaikā nodarbināta personāla iesaiste mazāka par 30% no normālā darba laika. Ņemot vērā ievērojamo administratīvo slogu finansējuma saņēmējam, sadarbības partnerim un sadarbības iestādei, lūdzam izvērtēt un precīzi definēt, kuru darbību ietvaros ir samērīgi un lietderīgi piesaistīt personālu daļlaikā mazāk kā 30 % no normālā darba laika. </w:t>
      </w:r>
    </w:p>
    <w:p w14:paraId="2BCFD18B" w14:textId="5582F65B" w:rsidR="004D1BC2" w:rsidRPr="004D1BC2" w:rsidRDefault="004D1BC2" w:rsidP="004D1BC2">
      <w:pPr>
        <w:pStyle w:val="ListParagraph"/>
        <w:numPr>
          <w:ilvl w:val="0"/>
          <w:numId w:val="3"/>
        </w:numPr>
        <w:rPr>
          <w:szCs w:val="24"/>
        </w:rPr>
      </w:pPr>
      <w:r w:rsidRPr="004D1BC2">
        <w:rPr>
          <w:szCs w:val="24"/>
        </w:rPr>
        <w:t xml:space="preserve">Lūdzam precizēt noteikumu projekta 26. un 27.punktā notikto izmaksu attiecināmības termiņu, ņemot vērā paredzamo konkurenci starp projektu iesniedzējiem, kopējo pasākumam pieejamo attiecināmo finansējumu (7 860 001 </w:t>
      </w:r>
      <w:r w:rsidRPr="004D1BC2">
        <w:rPr>
          <w:i/>
          <w:szCs w:val="24"/>
        </w:rPr>
        <w:t>euro</w:t>
      </w:r>
      <w:r w:rsidRPr="004D1BC2">
        <w:rPr>
          <w:szCs w:val="24"/>
        </w:rPr>
        <w:t xml:space="preserve">) un vienam projekta noteikto maksimālo finansējuma apmēru (2 000 000 </w:t>
      </w:r>
      <w:r w:rsidRPr="004D1BC2">
        <w:rPr>
          <w:i/>
          <w:szCs w:val="24"/>
        </w:rPr>
        <w:t>euro</w:t>
      </w:r>
      <w:r w:rsidRPr="004D1BC2">
        <w:rPr>
          <w:szCs w:val="24"/>
        </w:rPr>
        <w:t xml:space="preserve">). Lūdzam kā izmaksu attiecināmības termiņu noteikt līguma/vienošanās par projekta īstenošanu noslēgšanas brīdi vai ātrākais, piemēram, projekta iesnieguma iesniegšanas brīdi CFLA. Vienlaikus pēdējā gadījumā lūdzam identificēt precīzas darbības, kuru ātrāka uzsākšana ir iespējama, jēgpilna un atbalstāma, kā arī ar vismazāko attiecināmības risku. </w:t>
      </w:r>
    </w:p>
    <w:p w14:paraId="5EA68561" w14:textId="1C31F6EC" w:rsidR="004D1BC2" w:rsidRPr="004D1BC2" w:rsidRDefault="004D1BC2" w:rsidP="004D1BC2">
      <w:pPr>
        <w:pStyle w:val="ListParagraph"/>
        <w:numPr>
          <w:ilvl w:val="0"/>
          <w:numId w:val="3"/>
        </w:numPr>
        <w:rPr>
          <w:szCs w:val="24"/>
        </w:rPr>
      </w:pPr>
      <w:r w:rsidRPr="004D1BC2">
        <w:rPr>
          <w:szCs w:val="24"/>
        </w:rPr>
        <w:t xml:space="preserve">Lūdzam izvērtēt noteikumu projekta 30.punktā norādītās starptautiskās ekspertīzes nepieciešamību pēc būtības, ņemot vērā paredzamo projektu zemo gatavības pakāpi. Ja IZM vērtējumā ekspertīze sniegs būtisku ieguldījumu atlasē, lūdzam precizēt projektu iesniegumu vērtēšanas kritērijus un to piemērošanas metodiku, kā arī papildināt anotāciju, ekonomiski un saturiski pamatojot starptautiskas ekspertīzes nepieciešamību. Ja starptautiska ekspertīze ir pamatoti nepieciešama, projektu jēgpilnai ilgtspējas nodrošināšanai un atbildīgai ieviešanai (kontekstā ar projektu iesniegumu vērtēšanas kritēriju metodikā minēto lūdzam izskatīt iespēju paredzēt arī gala rezultātu starptautiskās ekspertīzes veikšanai, kurā tiktu vērtēta projekta iesniegumā aprakstīto plānu izpildes kvalitāte, neizpildes gadījumā paredzot finanšu korekcijas atbilstoši FM vadlīnijām Nr.2.7.“Vadlīnijas par finanšu korekciju piemērošanu, ziņošanu par Eiropas Savienības fondu ieviešanā konstatētajām neatbilstībām, neatbilstoši veikto izdevumu atgūšanu 2014.-2020.gada plānošanas periodā”. Papildus vēršam uzmanību, ka Eiropas Komisijas ekspertu datu bāzē pēc šādiem izvirzītajiem kritērijiem CFLA nevar garantēt ekspertu atlasi. </w:t>
      </w:r>
    </w:p>
    <w:p w14:paraId="3557C9CF" w14:textId="43DA8ADC" w:rsidR="004D1BC2" w:rsidRPr="004D1BC2" w:rsidRDefault="004D1BC2" w:rsidP="004D1BC2">
      <w:pPr>
        <w:pStyle w:val="ListParagraph"/>
        <w:numPr>
          <w:ilvl w:val="0"/>
          <w:numId w:val="3"/>
        </w:numPr>
        <w:rPr>
          <w:szCs w:val="24"/>
        </w:rPr>
      </w:pPr>
      <w:r w:rsidRPr="004D1BC2">
        <w:rPr>
          <w:szCs w:val="24"/>
        </w:rPr>
        <w:t xml:space="preserve">Lūdzam noteikumu projekta 33.punkta trešā un ceturtā teikuma sākumu papildināt ar vārdiem “Ievērojot drošas finanšu vadības principus”. </w:t>
      </w:r>
    </w:p>
    <w:p w14:paraId="03E5CF70" w14:textId="320DEC92" w:rsidR="004D1BC2" w:rsidRPr="004D1BC2" w:rsidRDefault="004D1BC2" w:rsidP="004D1BC2">
      <w:pPr>
        <w:pStyle w:val="ListParagraph"/>
        <w:numPr>
          <w:ilvl w:val="0"/>
          <w:numId w:val="3"/>
        </w:numPr>
        <w:rPr>
          <w:szCs w:val="24"/>
        </w:rPr>
      </w:pPr>
      <w:r w:rsidRPr="004D1BC2">
        <w:rPr>
          <w:szCs w:val="24"/>
        </w:rPr>
        <w:lastRenderedPageBreak/>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precizēt noteikumu projekta 36.punktu, norādot, ka iepirkums (konkrēta pakalpojuma vai preču iegāde) tiks veikts saskaņā ar normatīvajiem aktiem publisko iepirkumu jomā, īstenojot atklātu, pārredzamu, nediskriminējošu un konkurenci nodrošinošu konkursa procedūru. </w:t>
      </w:r>
    </w:p>
    <w:p w14:paraId="2253A8DF" w14:textId="42D5327A" w:rsidR="004D1BC2" w:rsidRPr="004D1BC2" w:rsidRDefault="004D1BC2" w:rsidP="004D1BC2">
      <w:pPr>
        <w:pStyle w:val="ListParagraph"/>
        <w:numPr>
          <w:ilvl w:val="0"/>
          <w:numId w:val="3"/>
        </w:numPr>
        <w:rPr>
          <w:szCs w:val="24"/>
        </w:rPr>
      </w:pPr>
      <w:r w:rsidRPr="004D1BC2">
        <w:rPr>
          <w:szCs w:val="24"/>
        </w:rPr>
        <w:t>Lūdzam papildināt anotāciju, detalizētāk skaidrojot analītiķu, konsultantu, digitalizācijas aģentu (mentoru), ekspertu, tai skaitā ārvalstu ekspertu, un speciālistu piesaistes nepieciešamību un to uzdevumus projekta īstenošanā, ņemot vērā, ka atbilstoši noteikumu projekta 20.1.2.apakšpunktam paredzētas minēto speciālistu atlīdzības izmaksas, kā arī atbilstoši noteikumu projekta 20.3., 20.4. un 20.5. apakšpunktam paredzētas iekšzemes komandējumu un darba braucienu izmaksas un ārvalstu komandējumu izmaksas minētajiem speciālistiem kā projekta īstenošanas personālam, kā arī pakalpojumu un piegādes izmaksas, tai skaitā konsultantu, ekspertu, tai skaitā ārvalstu ekspertu, un speciālistu izmaksas. Vienlaikus vēršam uzmanību, ka, ja komandējumu izdevumi saistīti ar ekspertu ierašanos no mītnes zemes uz projekta īstenošanas vietu, lūdzam izmaksu pozīciju svītrot, jo šādām izmaksām vajadzētu būt ietvertām pakalpojuma izmaksās.</w:t>
      </w:r>
    </w:p>
    <w:p w14:paraId="7E823ACA" w14:textId="77777777" w:rsidR="004D1BC2" w:rsidRPr="004D1BC2" w:rsidRDefault="004D1BC2" w:rsidP="004D1BC2">
      <w:pPr>
        <w:pStyle w:val="ListParagraph"/>
        <w:numPr>
          <w:ilvl w:val="0"/>
          <w:numId w:val="3"/>
        </w:numPr>
        <w:rPr>
          <w:szCs w:val="24"/>
        </w:rPr>
      </w:pPr>
      <w:r w:rsidRPr="004D1BC2">
        <w:rPr>
          <w:szCs w:val="24"/>
        </w:rPr>
        <w:t>Lūdzam papildināt anotāciju ar informāciju par plānoto datu apmaiņu ar ārējām sistēmām, minot piemērus šādām sistēmām, kā arī minot, kādām informācijas sistēmām tiks nodrošināta sadarbsēpja ar valsts informācijas sistēmu savietotāju.</w:t>
      </w:r>
    </w:p>
    <w:p w14:paraId="65165808" w14:textId="07FE42F2" w:rsidR="004D1BC2" w:rsidRPr="004D1BC2" w:rsidRDefault="004D1BC2" w:rsidP="004D1BC2">
      <w:pPr>
        <w:pStyle w:val="ListParagraph"/>
        <w:rPr>
          <w:szCs w:val="24"/>
        </w:rPr>
      </w:pPr>
      <w:r w:rsidRPr="004D1BC2">
        <w:rPr>
          <w:szCs w:val="24"/>
        </w:rPr>
        <w:t xml:space="preserve">Vēršam uzmanību, ka izmaksas, kas saistītas ar saskarnes izveidi datu apmaiņai ar ārējām sistēmām un informācijas sistēmas sadarbspējas nodrošināšanas izmaksas ar valsts informācijas sistēmu savietotāju, var būt attiecināmas gadījumā, ja sistēmas, ar kurām tiek veidota saskarne (savietošana) atrodas publiskas iestādes īpašumā (pirmkodi, tiesības uz attiecīgo intelektuālo īpašumu), vai arī saskarne (savietošana) tiek veikta ar visām attiecīgās jomas/ nozares sistēmām/ augstskolām, pretējā gadījumā atsevišķu konkrētu saskarņu izveides apmaksa var tikt uzskatīta par vienlīdzīgas konkurences kropļošanu. </w:t>
      </w:r>
    </w:p>
    <w:p w14:paraId="253C2677" w14:textId="405B0279" w:rsidR="004D1BC2" w:rsidRPr="004D1BC2" w:rsidRDefault="004D1BC2" w:rsidP="004D1BC2">
      <w:pPr>
        <w:pStyle w:val="ListParagraph"/>
        <w:numPr>
          <w:ilvl w:val="0"/>
          <w:numId w:val="3"/>
        </w:numPr>
        <w:rPr>
          <w:szCs w:val="24"/>
        </w:rPr>
      </w:pPr>
      <w:r w:rsidRPr="004D1BC2">
        <w:rPr>
          <w:szCs w:val="24"/>
        </w:rPr>
        <w:t xml:space="preserve">Lūdzam papildināt anotāciju ar informāciju par to, kā tiks nodrošināta pasākuma ievaros veikto ieguldījumu ilgtspēja, ņemot vērā, ka 14.1.1.1.pasākumā plānotās darbības paredz dažādu tehnoloģisko risinājumu izstrādi. </w:t>
      </w:r>
    </w:p>
    <w:p w14:paraId="0F9C6ADD" w14:textId="77777777" w:rsidR="004D1BC2" w:rsidRPr="004D1BC2" w:rsidRDefault="004D1BC2" w:rsidP="004D1BC2">
      <w:pPr>
        <w:pStyle w:val="ListParagraph"/>
        <w:numPr>
          <w:ilvl w:val="0"/>
          <w:numId w:val="3"/>
        </w:numPr>
        <w:rPr>
          <w:szCs w:val="24"/>
        </w:rPr>
      </w:pPr>
      <w:r w:rsidRPr="004D1BC2">
        <w:rPr>
          <w:szCs w:val="24"/>
        </w:rPr>
        <w:t>Lūdzam anotācijā skaidri identificēt sinerģiju un demarkāciju ar 8.2.3.SAM, jo īpaši skaidrojot sinerģiju un demarkāciju šajā pasākumā plānotajām atbalstāmajām darbībām ar:</w:t>
      </w:r>
    </w:p>
    <w:p w14:paraId="7EBC6CA2" w14:textId="77777777" w:rsidR="004D1BC2" w:rsidRPr="004D1BC2" w:rsidRDefault="004D1BC2" w:rsidP="004D1BC2">
      <w:pPr>
        <w:pStyle w:val="ListParagraph"/>
        <w:numPr>
          <w:ilvl w:val="0"/>
          <w:numId w:val="2"/>
        </w:numPr>
        <w:rPr>
          <w:rFonts w:eastAsiaTheme="minorHAnsi"/>
          <w:szCs w:val="24"/>
        </w:rPr>
      </w:pPr>
      <w:r w:rsidRPr="004D1BC2">
        <w:rPr>
          <w:szCs w:val="24"/>
        </w:rPr>
        <w:t>8.2.3.SAM pirmajā projektu iesniegumu atlases kārtā īstenoto esošo studiju programmu satura pilnveidi un salāgošanu ar nozares attīstības vajadzībām (inovatīvu mācību metožu, studiju kursu un prakses izstrāde);</w:t>
      </w:r>
    </w:p>
    <w:p w14:paraId="1DA08694" w14:textId="77777777" w:rsidR="004D1BC2" w:rsidRPr="004D1BC2" w:rsidRDefault="004D1BC2" w:rsidP="004D1BC2">
      <w:pPr>
        <w:pStyle w:val="ListParagraph"/>
        <w:numPr>
          <w:ilvl w:val="0"/>
          <w:numId w:val="2"/>
        </w:numPr>
        <w:rPr>
          <w:szCs w:val="24"/>
        </w:rPr>
      </w:pPr>
      <w:r w:rsidRPr="004D1BC2">
        <w:rPr>
          <w:szCs w:val="24"/>
        </w:rPr>
        <w:t>8.2.3.SAM pirmajā projektu iesniegumu atlases kārtā īstenoto e-risinājumu izstrādi, pilnveidi un ieviešanu (e-koplietošanas risinājumu, e-mācību un digitalizācijas risinājumu, [..] studentu pašnovērtējuma e-risinājumu izstrāde vai pilnveide studiju efektivitātes un kvalitātes paaugstināšanai, koplietošanas risinājumu attīstībai un pārvaldības struktūras stiprināšanai, tai skaitā tehniskā aprīkojuma iegāde attālināta studiju procesa nodrošināšanai);</w:t>
      </w:r>
    </w:p>
    <w:p w14:paraId="32579BD5" w14:textId="7E7ABD83" w:rsidR="004D1BC2" w:rsidRPr="004D1BC2" w:rsidRDefault="004D1BC2" w:rsidP="004D1BC2">
      <w:pPr>
        <w:pStyle w:val="ListParagraph"/>
        <w:numPr>
          <w:ilvl w:val="0"/>
          <w:numId w:val="2"/>
        </w:numPr>
        <w:rPr>
          <w:szCs w:val="24"/>
        </w:rPr>
      </w:pPr>
      <w:r w:rsidRPr="004D1BC2">
        <w:rPr>
          <w:szCs w:val="24"/>
        </w:rPr>
        <w:t xml:space="preserve">8.2.3.SAM otrajā projektu iesniegumu atlases kārtā plānotajām augstākās izglītības iestāžu konsolidācijām (valsts dibinātu augstskolu institucionālās attīstības un konsolidācijas plānu izstrāde). </w:t>
      </w:r>
    </w:p>
    <w:p w14:paraId="6601F977" w14:textId="45C53776" w:rsidR="004D1BC2" w:rsidRPr="004D1BC2" w:rsidRDefault="004D1BC2" w:rsidP="004D1BC2">
      <w:pPr>
        <w:pStyle w:val="ListParagraph"/>
        <w:ind w:left="1440"/>
        <w:rPr>
          <w:szCs w:val="24"/>
        </w:rPr>
      </w:pPr>
      <w:r w:rsidRPr="004D1BC2">
        <w:rPr>
          <w:szCs w:val="24"/>
        </w:rPr>
        <w:t xml:space="preserve">Vienlaikus lūdzam papildināt anotācijas I sadaļas “Tiesību akta projekta izstrādes nepieciešamība” (turpmāk – anotācijas I sadaļa) 8.lp. 2.rindkopu ar informāciju, ka 14.1.1.1. pasākuma ieviešanā tiks nodrošināta ne tikai sinerģija un papildinātība, bet arī tiks nodrošināta darbību nepārklāšanās ar anotācijā minētajiem specifiskajiem atbalsta mērķiem un pasākumiem. </w:t>
      </w:r>
    </w:p>
    <w:p w14:paraId="74CC482F" w14:textId="39ED80DC" w:rsidR="004D1BC2" w:rsidRPr="004D1BC2" w:rsidRDefault="004D1BC2" w:rsidP="004D1BC2">
      <w:pPr>
        <w:pStyle w:val="ListParagraph"/>
        <w:numPr>
          <w:ilvl w:val="0"/>
          <w:numId w:val="3"/>
        </w:numPr>
        <w:rPr>
          <w:szCs w:val="24"/>
        </w:rPr>
      </w:pPr>
      <w:r w:rsidRPr="004D1BC2">
        <w:rPr>
          <w:szCs w:val="24"/>
        </w:rPr>
        <w:lastRenderedPageBreak/>
        <w:t xml:space="preserve">Lūdzam papildināt anotāciju ar skaidrojumu, kādēļ 14.1.1.1.pasākumā </w:t>
      </w:r>
      <w:bookmarkStart w:id="13" w:name="_Hlk78963934"/>
      <w:r w:rsidRPr="004D1BC2">
        <w:rPr>
          <w:szCs w:val="24"/>
        </w:rPr>
        <w:t>nav iespējams vai paredzēts piemērot vienkāršotās izmaksas</w:t>
      </w:r>
      <w:bookmarkEnd w:id="13"/>
      <w:r w:rsidRPr="004D1BC2">
        <w:rPr>
          <w:szCs w:val="24"/>
        </w:rPr>
        <w:t xml:space="preserve">. </w:t>
      </w:r>
    </w:p>
    <w:p w14:paraId="5BFA19E0" w14:textId="67754D57" w:rsidR="004D1BC2" w:rsidRPr="004D1BC2" w:rsidRDefault="004D1BC2" w:rsidP="004D1BC2">
      <w:pPr>
        <w:pStyle w:val="ListParagraph"/>
        <w:numPr>
          <w:ilvl w:val="0"/>
          <w:numId w:val="3"/>
        </w:numPr>
        <w:rPr>
          <w:szCs w:val="24"/>
        </w:rPr>
      </w:pPr>
      <w:r w:rsidRPr="004D1BC2">
        <w:rPr>
          <w:szCs w:val="24"/>
        </w:rPr>
        <w:t xml:space="preserve">Lūdzam papildināt anotāciju ar pamatojumu, kas nosaka finanšu plūsmas pirms projekta apstiprināšanas nodrošināšanas nosacījumus, kā arī atbildīgās iestādes pienākumus un atbildību gadījumos, ja pirms projekta apstiprināšanas radušās izmaksas, kas nav attiecināmas no ES fondu līdzekļiem, ņemot vērā, ka noteikumu projekta 26.punkts paredz, ka pasākuma ietvaros finansējuma saņēmējam izmaksas ir attiecināmas, ja tās atbilst šajos noteikumos minētajām izmaksu pozīcijām un ir radušās no šo noteikumu spēkā stāšanās dienas. </w:t>
      </w:r>
    </w:p>
    <w:p w14:paraId="24BF884F" w14:textId="1A24DF25" w:rsidR="004D1BC2" w:rsidRPr="004D1BC2" w:rsidRDefault="004D1BC2" w:rsidP="004D1BC2">
      <w:pPr>
        <w:pStyle w:val="ListParagraph"/>
        <w:numPr>
          <w:ilvl w:val="0"/>
          <w:numId w:val="3"/>
        </w:numPr>
        <w:rPr>
          <w:szCs w:val="24"/>
        </w:rPr>
      </w:pPr>
      <w:r w:rsidRPr="004D1BC2">
        <w:rPr>
          <w:szCs w:val="24"/>
        </w:rPr>
        <w:t xml:space="preserve">Lūdzam papildināt anotāciju ar skaidrojumu par 16.punktā norādītā projekta maksimālā kopējā attiecināmā finansējuma apmēra noteikšanu pret kopējo 14.1.1.1.pasākuma pieejamo finansējumu, lai sasniegtu rezultāta rādītājus. Vēršam uzmanību, ka, vairākiem finansējuma saņēmējiem iesniedzot projektus par maksimālo iespējamo finansējumu, pastāv risks nesasniegt noteiktos rezultāta rādītājus. </w:t>
      </w:r>
    </w:p>
    <w:p w14:paraId="62DD01AF" w14:textId="13914E6F" w:rsidR="004D1BC2" w:rsidRPr="004D1BC2" w:rsidRDefault="004D1BC2" w:rsidP="004D1BC2">
      <w:pPr>
        <w:pStyle w:val="ListParagraph"/>
        <w:numPr>
          <w:ilvl w:val="0"/>
          <w:numId w:val="3"/>
        </w:numPr>
        <w:rPr>
          <w:szCs w:val="24"/>
        </w:rPr>
      </w:pPr>
      <w:r w:rsidRPr="004D1BC2">
        <w:rPr>
          <w:szCs w:val="24"/>
        </w:rPr>
        <w:t xml:space="preserve">Lūdzam papildināt anotāciju ar skaidrojumu par noteikumu projekta 17.1.apakšpunktā plānotās atbalstāmās darbības “studentu digitālo prasmju apguves satura, metožu un tehnoloģiju izstrāde, pielāgošana un ieviešana” sasaisti/atbilstību ar darbības programmā “Izaugsme un nodarbinātība” (turpmāk – DP) plānotajām 14.1.1.SAM atbalstāmajām darbībām, t.sk. detalizētāk skaidrojot, kuras no noteikumu projekta 18.punktā minētajām darbībām attiecas uz šo atbalstāmo darbību.  </w:t>
      </w:r>
    </w:p>
    <w:p w14:paraId="53967F40" w14:textId="487AB072" w:rsidR="004D1BC2" w:rsidRPr="004D1BC2" w:rsidRDefault="004D1BC2" w:rsidP="004D1BC2">
      <w:pPr>
        <w:pStyle w:val="ListParagraph"/>
        <w:numPr>
          <w:ilvl w:val="0"/>
          <w:numId w:val="3"/>
        </w:numPr>
        <w:rPr>
          <w:szCs w:val="24"/>
        </w:rPr>
      </w:pPr>
      <w:r w:rsidRPr="004D1BC2">
        <w:rPr>
          <w:szCs w:val="24"/>
        </w:rPr>
        <w:t xml:space="preserve">Lūdzam precizēt anotācijas I sadaļas 4.punktu ņemot vērā, ka 14.1.1.1.pasākuma projektu iesniegumu vērtēšanas kritēriji un kritēriju piemērošanas metodika netika izskatīta ES struktūrfondu un Kohēzijas fonda 2014.–2020.gada plānošanas perioda Izglītības, prasmju un mūžizglītības prioritārā virziena apakškomitejas 2021.gada 29.jūlija sēdē. </w:t>
      </w:r>
    </w:p>
    <w:p w14:paraId="381324FB" w14:textId="77777777" w:rsidR="004D1BC2" w:rsidRDefault="004D1BC2" w:rsidP="004D1BC2">
      <w:pPr>
        <w:ind w:firstLine="567"/>
        <w:rPr>
          <w:color w:val="000000"/>
          <w:szCs w:val="24"/>
        </w:rPr>
      </w:pPr>
    </w:p>
    <w:p w14:paraId="4F9C8A93" w14:textId="3B153807" w:rsidR="004D1BC2" w:rsidRPr="004D1BC2" w:rsidRDefault="004D1BC2" w:rsidP="004D1BC2">
      <w:pPr>
        <w:ind w:firstLine="567"/>
        <w:rPr>
          <w:color w:val="000000"/>
          <w:szCs w:val="24"/>
        </w:rPr>
      </w:pPr>
      <w:r w:rsidRPr="004D1BC2">
        <w:rPr>
          <w:color w:val="000000"/>
          <w:szCs w:val="24"/>
        </w:rPr>
        <w:t>Priekšlikumi:</w:t>
      </w:r>
    </w:p>
    <w:p w14:paraId="437CF874" w14:textId="25CFE121" w:rsidR="004D1BC2" w:rsidRPr="004D1BC2" w:rsidRDefault="004D1BC2" w:rsidP="004D1BC2">
      <w:pPr>
        <w:pStyle w:val="ListParagraph"/>
        <w:numPr>
          <w:ilvl w:val="0"/>
          <w:numId w:val="1"/>
        </w:numPr>
        <w:rPr>
          <w:szCs w:val="24"/>
        </w:rPr>
      </w:pPr>
      <w:r w:rsidRPr="004D1BC2">
        <w:rPr>
          <w:szCs w:val="24"/>
        </w:rPr>
        <w:t xml:space="preserve">Lai nodrošinātu viennozīmīgu izpratni par noteikumu projekta 5.punktā norādītajiem sasniedzamajiem rādītājiem, rosinām papildināt anotāciju ar skaidrojumu, ka pasākuma  īstenošanas laikā tiks atbalstītas kopumā 7 augstskolas, t.i., iznākuma rādītājs tiks sasniegts, kad tiks noslēgts līgums/vienošanās ar finansējuma saņēmējiem un tas paliks nemainīgs līdz pasākuma beigām, proti, par 2021.gada piešķīrumu tiks noslēgti līgumi/vienošanās ar visām 7 augstskolām un par 2022.gada līdzekļiem turpinās sniegt atbalstu šīm pašām 7 augstskolām, savukārt rezultāta rādītājs tiks sasniegts, kad finansējuma saņēmēji iesniegs noslēguma maksājuma pieprasījumus, ar kuriem tiks apstiprināti arī sasniegtie rādītāji, un 2023.gadam izvirzītā mērķa vērtība – 7, tiks sasniegta par abu gadu (2021.gada un 2022.gada) ReactEU finansējuma piešķīrumu. </w:t>
      </w:r>
    </w:p>
    <w:p w14:paraId="2C5445D2" w14:textId="193D2B2E" w:rsidR="004D1BC2" w:rsidRPr="004D1BC2" w:rsidRDefault="004D1BC2" w:rsidP="004D1BC2">
      <w:pPr>
        <w:pStyle w:val="ListParagraph"/>
        <w:rPr>
          <w:rFonts w:eastAsiaTheme="minorHAnsi"/>
          <w:szCs w:val="24"/>
        </w:rPr>
      </w:pPr>
      <w:r w:rsidRPr="004D1BC2">
        <w:rPr>
          <w:szCs w:val="24"/>
        </w:rPr>
        <w:t>Vienlaikus vēršam uzmanību, ka, pirmšķietami, rādītājs “augstskolu skaits, kuras saņēmušas atbalstu”, var būt attiecināms jau 2021.gadā un 2022.gadā bet rādītājs, “augstskolu skaits, kuras ieviesušas iniciatīvas, būtu attiecināms tikai pēc plānu izpildes, t.i., 2021. un 2022.gadā nebūtu plānojami skaitliski rezultāti.</w:t>
      </w:r>
    </w:p>
    <w:p w14:paraId="38074E4D" w14:textId="77EA6FD0" w:rsidR="004D1BC2" w:rsidRPr="004D1BC2" w:rsidRDefault="004D1BC2" w:rsidP="004D1BC2">
      <w:pPr>
        <w:pStyle w:val="ListParagraph"/>
        <w:numPr>
          <w:ilvl w:val="0"/>
          <w:numId w:val="1"/>
        </w:numPr>
        <w:rPr>
          <w:szCs w:val="24"/>
        </w:rPr>
      </w:pPr>
      <w:r w:rsidRPr="004D1BC2">
        <w:rPr>
          <w:szCs w:val="24"/>
        </w:rPr>
        <w:t>Lūdzam precizēt noteikumu projekta 6.punktu, aiz vārda “kopējais” papildinot ar vārdu “attiecināmais”.</w:t>
      </w:r>
    </w:p>
    <w:p w14:paraId="0B539E9E" w14:textId="77D0753F" w:rsidR="004D1BC2" w:rsidRPr="004D1BC2" w:rsidRDefault="004D1BC2" w:rsidP="004D1BC2">
      <w:pPr>
        <w:numPr>
          <w:ilvl w:val="0"/>
          <w:numId w:val="1"/>
        </w:numPr>
        <w:rPr>
          <w:rStyle w:val="cf01"/>
          <w:rFonts w:ascii="Times New Roman" w:hAnsi="Times New Roman" w:cs="Times New Roman"/>
          <w:szCs w:val="24"/>
        </w:rPr>
      </w:pPr>
      <w:r w:rsidRPr="004D1BC2">
        <w:rPr>
          <w:rStyle w:val="cf01"/>
          <w:rFonts w:ascii="Times New Roman" w:hAnsi="Times New Roman" w:cs="Times New Roman"/>
          <w:szCs w:val="24"/>
        </w:rPr>
        <w:t xml:space="preserve">Lūdzam noteikumu projekta 14.punktā pirms vārdiem “Kohēzijas politikas fondu vadības” papildināt ar vārdu “izmantojot”. </w:t>
      </w:r>
    </w:p>
    <w:p w14:paraId="21F8C12F" w14:textId="64400E0C" w:rsidR="004D1BC2" w:rsidRPr="004D1BC2" w:rsidRDefault="004D1BC2" w:rsidP="004D1BC2">
      <w:pPr>
        <w:pStyle w:val="ListParagraph"/>
        <w:numPr>
          <w:ilvl w:val="0"/>
          <w:numId w:val="1"/>
        </w:numPr>
        <w:rPr>
          <w:szCs w:val="24"/>
        </w:rPr>
      </w:pPr>
      <w:r w:rsidRPr="004D1BC2">
        <w:rPr>
          <w:szCs w:val="24"/>
        </w:rPr>
        <w:t xml:space="preserve">Rosinām papildināt noteikumu projekta 18.punktu ar jaunu apakšpunktu, kas paredz darbību, kas paredz starpinstitūciju sadarbības risinājumu izstrādi un/vai ieviešanu, ņemot vērā, ka DP un noteikumu projekta 17.2.apakšpunktā 14.1.1.1.pasākumā plānota atbalstāmā darbība “augstskolu digitālās kapacitātes stiprināšana, izstrādājot un ieviešot inovatīvus digitālus tehnoloģiskus risinājumus studiju procesā, mācību rezultātu analīzē, tai skaitā starpinstitūciju sadarbības un koplietošanas risinājumus” vai skaidrot, kuras no noteikumu projekta 18.punktā plānotajām darbībām ietvaros tiks nodrošināta minēto starpinstitūciju sadarbības risinājumu izstrāde. </w:t>
      </w:r>
    </w:p>
    <w:p w14:paraId="5F17DAE0" w14:textId="6E59EBFD" w:rsidR="004D1BC2" w:rsidRPr="004D1BC2" w:rsidRDefault="004D1BC2" w:rsidP="004D1BC2">
      <w:pPr>
        <w:numPr>
          <w:ilvl w:val="0"/>
          <w:numId w:val="1"/>
        </w:numPr>
        <w:rPr>
          <w:rStyle w:val="cf01"/>
          <w:rFonts w:ascii="Times New Roman" w:hAnsi="Times New Roman" w:cs="Times New Roman"/>
          <w:szCs w:val="24"/>
        </w:rPr>
      </w:pPr>
      <w:r w:rsidRPr="004D1BC2">
        <w:rPr>
          <w:szCs w:val="24"/>
        </w:rPr>
        <w:lastRenderedPageBreak/>
        <w:t xml:space="preserve">Lūdzam izvērtēt noteikumu projekta 19.punkta lietderību vai aicinām šo skaidrojumu iekļaut noteikumu projekta anotācijā, jo attiecināmo izmaksu definīcijas un skaidrojumi jau izriet no Finanšu ministrijas vadlīnijām Nr.2.1. “Vadlīnijas attiecināmo un neattiecināmo izmaksu noteikšanai 2014. – 2020.gada plānošanas periodā”. </w:t>
      </w:r>
      <w:r w:rsidRPr="004D1BC2">
        <w:rPr>
          <w:rStyle w:val="cf01"/>
          <w:rFonts w:ascii="Times New Roman" w:hAnsi="Times New Roman" w:cs="Times New Roman"/>
          <w:szCs w:val="24"/>
        </w:rPr>
        <w:t>“.</w:t>
      </w:r>
    </w:p>
    <w:p w14:paraId="3134A30F" w14:textId="77777777" w:rsidR="004D1BC2" w:rsidRPr="004D1BC2" w:rsidRDefault="004D1BC2" w:rsidP="004D1BC2">
      <w:pPr>
        <w:pStyle w:val="ListParagraph"/>
        <w:jc w:val="left"/>
        <w:rPr>
          <w:szCs w:val="24"/>
        </w:rPr>
      </w:pPr>
    </w:p>
    <w:p w14:paraId="4B604E91" w14:textId="77777777" w:rsidR="004D1BC2" w:rsidRPr="004D1BC2" w:rsidRDefault="004D1BC2" w:rsidP="004D1BC2">
      <w:pPr>
        <w:ind w:firstLine="709"/>
        <w:rPr>
          <w:szCs w:val="24"/>
        </w:rPr>
      </w:pPr>
      <w:r w:rsidRPr="004D1BC2">
        <w:rPr>
          <w:szCs w:val="24"/>
        </w:rPr>
        <w:t xml:space="preserve">Jautājumu gadījumā lūdzam sazināties ar FM Eiropas Savienības fondu stratēģijas departamenta Cilvēkkapitāla attīstības nodaļas vecāko eksperti Maiju Upeniece, tālr.67095552, </w:t>
      </w:r>
      <w:hyperlink r:id="rId8" w:history="1">
        <w:r w:rsidRPr="004D1BC2">
          <w:rPr>
            <w:rStyle w:val="Hyperlink"/>
            <w:szCs w:val="24"/>
          </w:rPr>
          <w:t>Maija.Upeniece@fm.gov.lv</w:t>
        </w:r>
      </w:hyperlink>
      <w:r w:rsidRPr="004D1BC2">
        <w:rPr>
          <w:szCs w:val="24"/>
        </w:rPr>
        <w:t xml:space="preserve">. </w:t>
      </w:r>
    </w:p>
    <w:p w14:paraId="48B2DB87" w14:textId="77777777" w:rsidR="004D1BC2" w:rsidRPr="007F530B" w:rsidRDefault="004D1BC2" w:rsidP="004D1BC2">
      <w:pPr>
        <w:ind w:firstLine="709"/>
        <w:rPr>
          <w:szCs w:val="24"/>
        </w:rPr>
      </w:pPr>
    </w:p>
    <w:p w14:paraId="109CB57E" w14:textId="77777777" w:rsidR="004D1BC2" w:rsidRPr="007F530B" w:rsidRDefault="004D1BC2" w:rsidP="004D1BC2">
      <w:pPr>
        <w:ind w:firstLine="709"/>
        <w:rPr>
          <w:szCs w:val="24"/>
        </w:rPr>
      </w:pPr>
    </w:p>
    <w:p w14:paraId="66EB6861" w14:textId="77777777" w:rsidR="004D1BC2" w:rsidRPr="007F530B" w:rsidRDefault="004D1BC2" w:rsidP="004D1BC2">
      <w:pPr>
        <w:ind w:firstLine="709"/>
        <w:rPr>
          <w:szCs w:val="24"/>
        </w:rPr>
      </w:pPr>
      <w:r w:rsidRPr="007F530B">
        <w:rPr>
          <w:szCs w:val="24"/>
        </w:rPr>
        <w:t>Ar cieņu</w:t>
      </w:r>
    </w:p>
    <w:p w14:paraId="7010479F" w14:textId="77777777" w:rsidR="004D1BC2" w:rsidRPr="007F530B" w:rsidRDefault="004D1BC2" w:rsidP="004D1BC2">
      <w:pPr>
        <w:ind w:firstLine="709"/>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4D1BC2" w:rsidRPr="007F530B" w14:paraId="1B0C6A15" w14:textId="77777777" w:rsidTr="00C13255">
        <w:tc>
          <w:tcPr>
            <w:tcW w:w="4395" w:type="dxa"/>
          </w:tcPr>
          <w:p w14:paraId="3B989EAA" w14:textId="77777777" w:rsidR="004D1BC2" w:rsidRPr="007F530B" w:rsidRDefault="004D1BC2" w:rsidP="00C13255">
            <w:pPr>
              <w:rPr>
                <w:szCs w:val="24"/>
              </w:rPr>
            </w:pPr>
            <w:r w:rsidRPr="007F530B">
              <w:rPr>
                <w:szCs w:val="24"/>
              </w:rPr>
              <w:t xml:space="preserve">valsts sekretāres vietnieks </w:t>
            </w:r>
          </w:p>
          <w:p w14:paraId="690BBBFE" w14:textId="77777777" w:rsidR="004D1BC2" w:rsidRPr="007F530B" w:rsidRDefault="004D1BC2" w:rsidP="00C13255">
            <w:pPr>
              <w:rPr>
                <w:szCs w:val="24"/>
              </w:rPr>
            </w:pPr>
            <w:r w:rsidRPr="007F530B">
              <w:rPr>
                <w:szCs w:val="24"/>
              </w:rPr>
              <w:t>Eiropas Savienības struktūrfondu un Kohēzijas fonda jautājumos</w:t>
            </w:r>
          </w:p>
        </w:tc>
        <w:tc>
          <w:tcPr>
            <w:tcW w:w="1984" w:type="dxa"/>
          </w:tcPr>
          <w:p w14:paraId="0237F01F" w14:textId="77777777" w:rsidR="004D1BC2" w:rsidRPr="007F530B" w:rsidRDefault="004D1BC2" w:rsidP="00C13255">
            <w:pPr>
              <w:jc w:val="center"/>
              <w:rPr>
                <w:szCs w:val="24"/>
              </w:rPr>
            </w:pPr>
            <w:r w:rsidRPr="007F530B">
              <w:rPr>
                <w:szCs w:val="24"/>
              </w:rPr>
              <w:t>(paraksts*)</w:t>
            </w:r>
          </w:p>
        </w:tc>
        <w:tc>
          <w:tcPr>
            <w:tcW w:w="2977" w:type="dxa"/>
            <w:vAlign w:val="bottom"/>
          </w:tcPr>
          <w:p w14:paraId="37037781" w14:textId="77777777" w:rsidR="004D1BC2" w:rsidRPr="007F530B" w:rsidRDefault="004D1BC2" w:rsidP="00C13255">
            <w:pPr>
              <w:jc w:val="right"/>
              <w:rPr>
                <w:szCs w:val="24"/>
              </w:rPr>
            </w:pPr>
            <w:r w:rsidRPr="007F530B">
              <w:rPr>
                <w:szCs w:val="24"/>
              </w:rPr>
              <w:t>A.Eberhards</w:t>
            </w:r>
          </w:p>
        </w:tc>
      </w:tr>
    </w:tbl>
    <w:p w14:paraId="464E666B" w14:textId="77777777" w:rsidR="004D1BC2" w:rsidRPr="007F530B" w:rsidRDefault="004D1BC2" w:rsidP="004D1BC2">
      <w:pPr>
        <w:ind w:firstLine="709"/>
        <w:rPr>
          <w:szCs w:val="24"/>
        </w:rPr>
      </w:pPr>
    </w:p>
    <w:tbl>
      <w:tblPr>
        <w:tblW w:w="8647" w:type="dxa"/>
        <w:tblLook w:val="04A0" w:firstRow="1" w:lastRow="0" w:firstColumn="1" w:lastColumn="0" w:noHBand="0" w:noVBand="1"/>
      </w:tblPr>
      <w:tblGrid>
        <w:gridCol w:w="8647"/>
      </w:tblGrid>
      <w:tr w:rsidR="004D1BC2" w:rsidRPr="007F530B" w14:paraId="6E4A7990" w14:textId="77777777" w:rsidTr="00C13255">
        <w:trPr>
          <w:cantSplit/>
          <w:trHeight w:val="615"/>
        </w:trPr>
        <w:tc>
          <w:tcPr>
            <w:tcW w:w="8647" w:type="dxa"/>
          </w:tcPr>
          <w:p w14:paraId="48BBF8F4" w14:textId="77777777" w:rsidR="004D1BC2" w:rsidRPr="007F530B" w:rsidRDefault="004D1BC2" w:rsidP="00C13255">
            <w:pPr>
              <w:pStyle w:val="BodyTextIndent"/>
              <w:tabs>
                <w:tab w:val="left" w:pos="8397"/>
              </w:tabs>
              <w:ind w:left="0"/>
              <w:rPr>
                <w:sz w:val="24"/>
                <w:szCs w:val="24"/>
              </w:rPr>
            </w:pPr>
            <w:bookmarkStart w:id="14" w:name="edoc_info" w:colFirst="0" w:colLast="0"/>
            <w:r w:rsidRPr="007F530B">
              <w:rPr>
                <w:sz w:val="24"/>
                <w:szCs w:val="24"/>
              </w:rPr>
              <w:t>*Dokuments ir parakstīts ar drošu elektronisko parakstu</w:t>
            </w:r>
          </w:p>
        </w:tc>
      </w:tr>
      <w:bookmarkEnd w:id="14"/>
    </w:tbl>
    <w:p w14:paraId="3A2669BF" w14:textId="77777777" w:rsidR="004D1BC2" w:rsidRDefault="004D1BC2" w:rsidP="004D1BC2">
      <w:pPr>
        <w:pStyle w:val="Standard"/>
        <w:rPr>
          <w:i/>
          <w:szCs w:val="24"/>
          <w:lang w:eastAsia="lv-LV"/>
        </w:rPr>
      </w:pPr>
    </w:p>
    <w:p w14:paraId="6EB39588" w14:textId="77777777" w:rsidR="004D1BC2" w:rsidRDefault="004D1BC2" w:rsidP="004D1BC2">
      <w:pPr>
        <w:pStyle w:val="Standard"/>
        <w:rPr>
          <w:iCs/>
          <w:sz w:val="20"/>
          <w:szCs w:val="20"/>
          <w:lang w:eastAsia="lv-LV"/>
        </w:rPr>
      </w:pPr>
    </w:p>
    <w:p w14:paraId="7A7C77BE" w14:textId="77777777" w:rsidR="004D1BC2" w:rsidRDefault="004D1BC2" w:rsidP="004D1BC2">
      <w:pPr>
        <w:pStyle w:val="Standard"/>
        <w:rPr>
          <w:iCs/>
          <w:sz w:val="20"/>
          <w:szCs w:val="20"/>
          <w:lang w:eastAsia="lv-LV"/>
        </w:rPr>
      </w:pPr>
    </w:p>
    <w:p w14:paraId="140A9F40" w14:textId="77777777" w:rsidR="004D1BC2" w:rsidRPr="000D746B" w:rsidRDefault="004D1BC2" w:rsidP="004D1BC2">
      <w:pPr>
        <w:pStyle w:val="Standard"/>
        <w:rPr>
          <w:iCs/>
          <w:sz w:val="20"/>
          <w:szCs w:val="20"/>
          <w:lang w:eastAsia="lv-LV"/>
        </w:rPr>
      </w:pPr>
      <w:r w:rsidRPr="000D746B">
        <w:rPr>
          <w:iCs/>
          <w:sz w:val="20"/>
          <w:szCs w:val="20"/>
          <w:lang w:eastAsia="lv-LV"/>
        </w:rPr>
        <w:t>M.Upeniece</w:t>
      </w:r>
    </w:p>
    <w:p w14:paraId="768C0B06" w14:textId="77777777" w:rsidR="004D1BC2" w:rsidRPr="000D746B" w:rsidRDefault="004D1BC2" w:rsidP="004D1BC2">
      <w:pPr>
        <w:pStyle w:val="Standard"/>
        <w:rPr>
          <w:iCs/>
          <w:sz w:val="20"/>
          <w:szCs w:val="20"/>
          <w:lang w:eastAsia="lv-LV"/>
        </w:rPr>
      </w:pPr>
      <w:r w:rsidRPr="000D746B">
        <w:rPr>
          <w:iCs/>
          <w:sz w:val="20"/>
          <w:szCs w:val="20"/>
          <w:lang w:eastAsia="lv-LV"/>
        </w:rPr>
        <w:t>FM Eiropas Savienības fondu stratēģijas departamenta</w:t>
      </w:r>
    </w:p>
    <w:p w14:paraId="758FEEE5" w14:textId="77777777" w:rsidR="004D1BC2" w:rsidRPr="000D746B" w:rsidRDefault="004D1BC2" w:rsidP="004D1BC2">
      <w:pPr>
        <w:pStyle w:val="Standard"/>
        <w:tabs>
          <w:tab w:val="left" w:pos="1966"/>
        </w:tabs>
        <w:rPr>
          <w:iCs/>
          <w:sz w:val="20"/>
          <w:szCs w:val="20"/>
          <w:lang w:eastAsia="lv-LV"/>
        </w:rPr>
      </w:pPr>
      <w:r w:rsidRPr="000D746B">
        <w:rPr>
          <w:iCs/>
          <w:sz w:val="20"/>
          <w:szCs w:val="20"/>
          <w:lang w:eastAsia="lv-LV"/>
        </w:rPr>
        <w:t>Cilvēkkapitāla attīstības nodaļas</w:t>
      </w:r>
    </w:p>
    <w:p w14:paraId="2DCCC200" w14:textId="77777777" w:rsidR="004D1BC2" w:rsidRPr="000D746B" w:rsidRDefault="004D1BC2" w:rsidP="004D1BC2">
      <w:pPr>
        <w:pStyle w:val="Standard"/>
        <w:tabs>
          <w:tab w:val="left" w:pos="1966"/>
        </w:tabs>
        <w:rPr>
          <w:iCs/>
          <w:sz w:val="20"/>
          <w:szCs w:val="20"/>
          <w:lang w:eastAsia="lv-LV"/>
        </w:rPr>
      </w:pPr>
      <w:r w:rsidRPr="000D746B">
        <w:rPr>
          <w:iCs/>
          <w:sz w:val="20"/>
          <w:szCs w:val="20"/>
          <w:lang w:eastAsia="lv-LV"/>
        </w:rPr>
        <w:t>vecākā eksperte</w:t>
      </w:r>
      <w:r w:rsidRPr="000D746B">
        <w:rPr>
          <w:iCs/>
          <w:sz w:val="20"/>
          <w:szCs w:val="20"/>
          <w:lang w:eastAsia="lv-LV"/>
        </w:rPr>
        <w:tab/>
      </w:r>
    </w:p>
    <w:p w14:paraId="233B48C0" w14:textId="77777777" w:rsidR="004D1BC2" w:rsidRPr="000D746B" w:rsidRDefault="004D1BC2" w:rsidP="004D1BC2">
      <w:pPr>
        <w:pStyle w:val="Standard"/>
        <w:rPr>
          <w:iCs/>
          <w:sz w:val="20"/>
          <w:szCs w:val="20"/>
          <w:lang w:eastAsia="lv-LV"/>
        </w:rPr>
      </w:pPr>
      <w:r w:rsidRPr="000D746B">
        <w:rPr>
          <w:iCs/>
          <w:sz w:val="20"/>
          <w:szCs w:val="20"/>
          <w:lang w:eastAsia="lv-LV"/>
        </w:rPr>
        <w:t xml:space="preserve">67095552, </w:t>
      </w:r>
      <w:hyperlink r:id="rId9" w:history="1">
        <w:r w:rsidRPr="000D746B">
          <w:rPr>
            <w:rStyle w:val="Hyperlink"/>
            <w:iCs/>
            <w:sz w:val="20"/>
            <w:szCs w:val="20"/>
            <w:lang w:eastAsia="lv-LV"/>
          </w:rPr>
          <w:t>maija.upeniece@fm.gov.lv</w:t>
        </w:r>
      </w:hyperlink>
    </w:p>
    <w:p w14:paraId="3462C3EB" w14:textId="77777777" w:rsidR="004D1BC2" w:rsidRPr="00040F6A" w:rsidRDefault="004D1BC2" w:rsidP="004D1BC2">
      <w:pPr>
        <w:pStyle w:val="Standard"/>
        <w:rPr>
          <w:iCs/>
          <w:sz w:val="20"/>
          <w:szCs w:val="20"/>
          <w:lang w:eastAsia="lv-LV"/>
        </w:rPr>
      </w:pPr>
    </w:p>
    <w:p w14:paraId="4C02E3DD" w14:textId="77777777" w:rsidR="004D1BC2" w:rsidRPr="000D746B" w:rsidRDefault="004D1BC2" w:rsidP="004D1BC2">
      <w:pPr>
        <w:pStyle w:val="Standard"/>
        <w:rPr>
          <w:iCs/>
          <w:sz w:val="20"/>
          <w:szCs w:val="20"/>
          <w:lang w:eastAsia="lv-LV"/>
        </w:rPr>
      </w:pPr>
      <w:r w:rsidRPr="000D746B">
        <w:rPr>
          <w:iCs/>
          <w:sz w:val="20"/>
          <w:szCs w:val="20"/>
          <w:lang w:eastAsia="lv-LV"/>
        </w:rPr>
        <w:t>E.Remeiķe</w:t>
      </w:r>
    </w:p>
    <w:p w14:paraId="25EC78CB" w14:textId="77777777" w:rsidR="004D1BC2" w:rsidRPr="000D746B" w:rsidRDefault="004D1BC2" w:rsidP="004D1BC2">
      <w:pPr>
        <w:pStyle w:val="Standard"/>
        <w:rPr>
          <w:iCs/>
          <w:sz w:val="20"/>
          <w:szCs w:val="20"/>
          <w:lang w:eastAsia="lv-LV"/>
        </w:rPr>
      </w:pPr>
      <w:r w:rsidRPr="000D746B">
        <w:rPr>
          <w:iCs/>
          <w:sz w:val="20"/>
          <w:szCs w:val="20"/>
          <w:lang w:eastAsia="lv-LV"/>
        </w:rPr>
        <w:t xml:space="preserve">FM Budžeta departamenta </w:t>
      </w:r>
    </w:p>
    <w:p w14:paraId="7BE2BF9C" w14:textId="77777777" w:rsidR="004D1BC2" w:rsidRPr="000D746B" w:rsidRDefault="004D1BC2" w:rsidP="004D1BC2">
      <w:pPr>
        <w:rPr>
          <w:rFonts w:eastAsia="Calibri"/>
          <w:iCs/>
          <w:kern w:val="3"/>
          <w:sz w:val="20"/>
          <w:lang w:eastAsia="lv-LV"/>
        </w:rPr>
      </w:pPr>
      <w:r w:rsidRPr="000D746B">
        <w:rPr>
          <w:rFonts w:eastAsia="Calibri"/>
          <w:iCs/>
          <w:kern w:val="3"/>
          <w:sz w:val="20"/>
          <w:lang w:eastAsia="lv-LV"/>
        </w:rPr>
        <w:t>Izglītības, zinātnes, kultūras un sporta finansēšanas nodaļas</w:t>
      </w:r>
    </w:p>
    <w:p w14:paraId="44DDC8E5" w14:textId="77777777" w:rsidR="004D1BC2" w:rsidRPr="000D746B" w:rsidRDefault="004D1BC2" w:rsidP="004D1BC2">
      <w:pPr>
        <w:pStyle w:val="Standard"/>
        <w:rPr>
          <w:iCs/>
          <w:sz w:val="20"/>
          <w:szCs w:val="20"/>
          <w:lang w:eastAsia="lv-LV"/>
        </w:rPr>
      </w:pPr>
      <w:r w:rsidRPr="000D746B">
        <w:rPr>
          <w:iCs/>
          <w:sz w:val="20"/>
          <w:szCs w:val="20"/>
          <w:lang w:eastAsia="lv-LV"/>
        </w:rPr>
        <w:t>Vecākā eksperte</w:t>
      </w:r>
    </w:p>
    <w:p w14:paraId="0B70D189" w14:textId="77777777" w:rsidR="004D1BC2" w:rsidRPr="000D746B" w:rsidRDefault="004D1BC2" w:rsidP="004D1BC2">
      <w:pPr>
        <w:pStyle w:val="Standard"/>
        <w:rPr>
          <w:rStyle w:val="Hyperlink"/>
          <w:iCs/>
          <w:sz w:val="20"/>
          <w:szCs w:val="20"/>
          <w:lang w:eastAsia="lv-LV"/>
        </w:rPr>
      </w:pPr>
      <w:r w:rsidRPr="000D746B">
        <w:rPr>
          <w:iCs/>
          <w:sz w:val="20"/>
          <w:szCs w:val="20"/>
          <w:lang w:eastAsia="lv-LV"/>
        </w:rPr>
        <w:t xml:space="preserve">67095499, </w:t>
      </w:r>
      <w:hyperlink r:id="rId10" w:history="1">
        <w:r w:rsidRPr="000D746B">
          <w:rPr>
            <w:rStyle w:val="Hyperlink"/>
            <w:iCs/>
            <w:sz w:val="20"/>
            <w:szCs w:val="20"/>
            <w:lang w:eastAsia="lv-LV"/>
          </w:rPr>
          <w:t>elina.remeike@fm.gov.lv</w:t>
        </w:r>
      </w:hyperlink>
    </w:p>
    <w:p w14:paraId="02232E2B" w14:textId="77777777" w:rsidR="004D1BC2" w:rsidRPr="000D746B" w:rsidRDefault="004D1BC2" w:rsidP="004D1BC2">
      <w:pPr>
        <w:pStyle w:val="Standard"/>
        <w:rPr>
          <w:rStyle w:val="Hyperlink"/>
          <w:iCs/>
          <w:sz w:val="20"/>
          <w:szCs w:val="20"/>
          <w:lang w:eastAsia="lv-LV"/>
        </w:rPr>
      </w:pPr>
    </w:p>
    <w:p w14:paraId="1AAEE058" w14:textId="77777777" w:rsidR="004D1BC2" w:rsidRPr="000D746B" w:rsidRDefault="004D1BC2" w:rsidP="004D1BC2">
      <w:pPr>
        <w:pStyle w:val="Standard"/>
        <w:rPr>
          <w:sz w:val="20"/>
          <w:szCs w:val="20"/>
        </w:rPr>
      </w:pPr>
      <w:r w:rsidRPr="000D746B">
        <w:rPr>
          <w:sz w:val="20"/>
          <w:szCs w:val="20"/>
        </w:rPr>
        <w:t>E.Vamža</w:t>
      </w:r>
      <w:r w:rsidRPr="000D746B">
        <w:rPr>
          <w:sz w:val="20"/>
          <w:szCs w:val="20"/>
        </w:rPr>
        <w:br/>
        <w:t xml:space="preserve">FM ES fondu sistēmas vadības departamenta </w:t>
      </w:r>
      <w:r w:rsidRPr="000D746B">
        <w:rPr>
          <w:sz w:val="20"/>
          <w:szCs w:val="20"/>
        </w:rPr>
        <w:br/>
        <w:t>Eiropas Savienības fondu tiesiskā nodrošinājuma nodaļas</w:t>
      </w:r>
    </w:p>
    <w:p w14:paraId="41E156B4" w14:textId="77777777" w:rsidR="004D1BC2" w:rsidRPr="000D746B" w:rsidRDefault="004D1BC2" w:rsidP="004D1BC2">
      <w:pPr>
        <w:pStyle w:val="Standard"/>
        <w:rPr>
          <w:rStyle w:val="Hyperlink"/>
          <w:iCs/>
          <w:color w:val="auto"/>
          <w:sz w:val="20"/>
          <w:szCs w:val="20"/>
          <w:lang w:eastAsia="lv-LV"/>
        </w:rPr>
      </w:pPr>
      <w:r w:rsidRPr="000D746B">
        <w:rPr>
          <w:sz w:val="20"/>
          <w:szCs w:val="20"/>
        </w:rPr>
        <w:t>juriskonsulte</w:t>
      </w:r>
      <w:r w:rsidRPr="000D746B">
        <w:rPr>
          <w:sz w:val="20"/>
          <w:szCs w:val="20"/>
        </w:rPr>
        <w:br/>
        <w:t xml:space="preserve">67083888, </w:t>
      </w:r>
      <w:hyperlink r:id="rId11" w:history="1">
        <w:r w:rsidRPr="000D746B">
          <w:rPr>
            <w:rStyle w:val="Hyperlink"/>
            <w:iCs/>
            <w:sz w:val="20"/>
            <w:szCs w:val="20"/>
            <w:lang w:eastAsia="lv-LV"/>
          </w:rPr>
          <w:t>evita.vamza@fm.gov.lv</w:t>
        </w:r>
      </w:hyperlink>
    </w:p>
    <w:p w14:paraId="7CC813D9" w14:textId="77777777" w:rsidR="004D1BC2" w:rsidRPr="00040F6A" w:rsidRDefault="004D1BC2" w:rsidP="004D1BC2">
      <w:pPr>
        <w:pStyle w:val="Standard"/>
        <w:rPr>
          <w:iCs/>
          <w:sz w:val="20"/>
          <w:szCs w:val="20"/>
        </w:rPr>
      </w:pPr>
    </w:p>
    <w:p w14:paraId="22AE7195" w14:textId="77777777" w:rsidR="004D1BC2" w:rsidRPr="000D746B" w:rsidRDefault="004D1BC2" w:rsidP="004D1BC2">
      <w:pPr>
        <w:pStyle w:val="Standard"/>
        <w:rPr>
          <w:iCs/>
          <w:sz w:val="20"/>
          <w:szCs w:val="20"/>
          <w:lang w:eastAsia="lv-LV"/>
        </w:rPr>
      </w:pPr>
      <w:r w:rsidRPr="000D746B">
        <w:rPr>
          <w:iCs/>
          <w:sz w:val="20"/>
          <w:szCs w:val="20"/>
          <w:lang w:eastAsia="lv-LV"/>
        </w:rPr>
        <w:t>S.Zakovska</w:t>
      </w:r>
      <w:r w:rsidRPr="000D746B">
        <w:rPr>
          <w:iCs/>
          <w:sz w:val="20"/>
          <w:szCs w:val="20"/>
          <w:lang w:eastAsia="lv-LV"/>
        </w:rPr>
        <w:br/>
        <w:t xml:space="preserve">FM Komercdarbības atbalsta kontroles departamenta </w:t>
      </w:r>
    </w:p>
    <w:p w14:paraId="19481D73" w14:textId="77777777" w:rsidR="004D1BC2" w:rsidRPr="000D746B" w:rsidRDefault="004D1BC2" w:rsidP="004D1BC2">
      <w:pPr>
        <w:pStyle w:val="Standard"/>
        <w:rPr>
          <w:rStyle w:val="Hyperlink"/>
          <w:iCs/>
          <w:sz w:val="20"/>
          <w:szCs w:val="20"/>
          <w:lang w:eastAsia="lv-LV"/>
        </w:rPr>
      </w:pPr>
      <w:r w:rsidRPr="000D746B">
        <w:rPr>
          <w:iCs/>
          <w:sz w:val="20"/>
          <w:szCs w:val="20"/>
          <w:lang w:eastAsia="lv-LV"/>
        </w:rPr>
        <w:t>juriskonsulte</w:t>
      </w:r>
      <w:r w:rsidRPr="000D746B">
        <w:rPr>
          <w:iCs/>
          <w:sz w:val="20"/>
          <w:szCs w:val="20"/>
          <w:lang w:eastAsia="lv-LV"/>
        </w:rPr>
        <w:br/>
        <w:t xml:space="preserve">67095624, </w:t>
      </w:r>
      <w:hyperlink r:id="rId12" w:history="1">
        <w:r w:rsidRPr="000D746B">
          <w:rPr>
            <w:rStyle w:val="Hyperlink"/>
            <w:iCs/>
            <w:sz w:val="20"/>
            <w:szCs w:val="20"/>
            <w:lang w:eastAsia="lv-LV"/>
          </w:rPr>
          <w:t>sarmite.zakovska@fm.gov.lv</w:t>
        </w:r>
      </w:hyperlink>
    </w:p>
    <w:p w14:paraId="7E9E80B7" w14:textId="77777777" w:rsidR="004D1BC2" w:rsidRPr="00040F6A" w:rsidRDefault="004D1BC2" w:rsidP="004D1BC2">
      <w:pPr>
        <w:pStyle w:val="Standard"/>
        <w:rPr>
          <w:rStyle w:val="Hyperlink"/>
          <w:iCs/>
          <w:sz w:val="20"/>
          <w:szCs w:val="20"/>
          <w:lang w:eastAsia="lv-LV"/>
        </w:rPr>
      </w:pPr>
    </w:p>
    <w:p w14:paraId="21BCF8AC" w14:textId="77777777" w:rsidR="004D1BC2" w:rsidRPr="000D746B" w:rsidRDefault="004D1BC2" w:rsidP="004D1BC2">
      <w:pPr>
        <w:pStyle w:val="Standard"/>
        <w:rPr>
          <w:iCs/>
          <w:sz w:val="20"/>
          <w:szCs w:val="20"/>
        </w:rPr>
      </w:pPr>
      <w:r w:rsidRPr="000D746B">
        <w:rPr>
          <w:iCs/>
          <w:sz w:val="20"/>
          <w:szCs w:val="20"/>
        </w:rPr>
        <w:t xml:space="preserve">S.Grīnberga </w:t>
      </w:r>
    </w:p>
    <w:p w14:paraId="699CB2A0" w14:textId="77777777" w:rsidR="004D1BC2" w:rsidRPr="000D746B" w:rsidRDefault="004D1BC2" w:rsidP="004D1BC2">
      <w:pPr>
        <w:rPr>
          <w:iCs/>
          <w:sz w:val="20"/>
        </w:rPr>
      </w:pPr>
      <w:r w:rsidRPr="000D746B">
        <w:rPr>
          <w:iCs/>
          <w:sz w:val="20"/>
        </w:rPr>
        <w:t xml:space="preserve">CFLA Programmu uzraudzības un stratēģiskās plānošanas nodaļas </w:t>
      </w:r>
    </w:p>
    <w:p w14:paraId="3B7DA3A7" w14:textId="77777777" w:rsidR="004D1BC2" w:rsidRPr="000D746B" w:rsidRDefault="004D1BC2" w:rsidP="004D1BC2">
      <w:pPr>
        <w:rPr>
          <w:iCs/>
          <w:sz w:val="20"/>
        </w:rPr>
      </w:pPr>
      <w:r w:rsidRPr="000D746B">
        <w:rPr>
          <w:iCs/>
          <w:sz w:val="20"/>
        </w:rPr>
        <w:t>vecākā eksperte</w:t>
      </w:r>
    </w:p>
    <w:p w14:paraId="2BFEDDD0" w14:textId="07A2BFD5" w:rsidR="004D1BC2" w:rsidRPr="007F530B" w:rsidRDefault="004D1BC2" w:rsidP="004D1BC2">
      <w:pPr>
        <w:rPr>
          <w:i/>
          <w:szCs w:val="24"/>
        </w:rPr>
      </w:pPr>
      <w:r w:rsidRPr="000D746B">
        <w:rPr>
          <w:iCs/>
          <w:sz w:val="20"/>
        </w:rPr>
        <w:t xml:space="preserve">27035198, </w:t>
      </w:r>
      <w:r w:rsidRPr="000D746B">
        <w:rPr>
          <w:rStyle w:val="Hyperlink"/>
          <w:rFonts w:eastAsia="Calibri"/>
          <w:kern w:val="3"/>
          <w:sz w:val="20"/>
          <w:lang w:eastAsia="lv-LV"/>
        </w:rPr>
        <w:t xml:space="preserve">sigita.grinberga@cfla.gov.lv </w:t>
      </w:r>
    </w:p>
    <w:p w14:paraId="0A22E67F" w14:textId="77777777" w:rsidR="000C0DD4" w:rsidRPr="006D6710" w:rsidRDefault="000C0DD4" w:rsidP="007F3771">
      <w:pPr>
        <w:rPr>
          <w:sz w:val="20"/>
        </w:rPr>
      </w:pPr>
    </w:p>
    <w:sectPr w:rsidR="000C0DD4" w:rsidRPr="006D6710" w:rsidSect="002C22B9">
      <w:headerReference w:type="even" r:id="rId13"/>
      <w:headerReference w:type="default"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134D9" w14:textId="77777777" w:rsidR="0051574E" w:rsidRDefault="0051574E">
      <w:r>
        <w:separator/>
      </w:r>
    </w:p>
  </w:endnote>
  <w:endnote w:type="continuationSeparator" w:id="0">
    <w:p w14:paraId="15010D55" w14:textId="77777777" w:rsidR="0051574E" w:rsidRDefault="0051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4FAC65F1"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45E40">
          <w:rPr>
            <w:noProof/>
            <w:sz w:val="24"/>
            <w:szCs w:val="24"/>
          </w:rPr>
          <w:t>2</w:t>
        </w:r>
        <w:r w:rsidRPr="00557B49">
          <w:rPr>
            <w:sz w:val="24"/>
            <w:szCs w:val="24"/>
          </w:rPr>
          <w:fldChar w:fldCharType="end"/>
        </w:r>
      </w:p>
    </w:sdtContent>
  </w:sdt>
  <w:p w14:paraId="23CFA638" w14:textId="77777777"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B6638" w14:textId="77777777" w:rsidR="0015384D" w:rsidRDefault="0015384D">
    <w:pPr>
      <w:pStyle w:val="Footer"/>
      <w:jc w:val="center"/>
    </w:pPr>
  </w:p>
  <w:p w14:paraId="4F1D3960"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4B4D1" w14:textId="77777777" w:rsidR="0051574E" w:rsidRDefault="0051574E">
      <w:r>
        <w:separator/>
      </w:r>
    </w:p>
  </w:footnote>
  <w:footnote w:type="continuationSeparator" w:id="0">
    <w:p w14:paraId="285D04AB" w14:textId="77777777" w:rsidR="0051574E" w:rsidRDefault="00515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7C12C"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7FA781F"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622AB"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3988F" w14:textId="77777777" w:rsidR="002C22B9" w:rsidRDefault="002C22B9">
    <w:pPr>
      <w:pStyle w:val="Header"/>
    </w:pPr>
  </w:p>
  <w:p w14:paraId="5F908FAC" w14:textId="77777777" w:rsidR="002C22B9" w:rsidRDefault="002C22B9">
    <w:pPr>
      <w:pStyle w:val="Header"/>
    </w:pPr>
  </w:p>
  <w:p w14:paraId="47E49EA3" w14:textId="77777777" w:rsidR="002C22B9" w:rsidRDefault="002C22B9">
    <w:pPr>
      <w:pStyle w:val="Header"/>
    </w:pPr>
  </w:p>
  <w:p w14:paraId="28A6B54C"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082ECDA1" wp14:editId="0693407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BF44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2ECDA1"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6C6BF44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5A1C6700" wp14:editId="0EA8421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85F589" w14:textId="77777777" w:rsidR="002C22B9" w:rsidRDefault="002C22B9">
    <w:pPr>
      <w:pStyle w:val="Header"/>
    </w:pPr>
  </w:p>
  <w:p w14:paraId="142942D8" w14:textId="77777777" w:rsidR="002C22B9" w:rsidRDefault="002C22B9">
    <w:pPr>
      <w:pStyle w:val="Header"/>
    </w:pPr>
  </w:p>
  <w:p w14:paraId="0DF6032E" w14:textId="77777777" w:rsidR="002C22B9" w:rsidRDefault="002C22B9">
    <w:pPr>
      <w:pStyle w:val="Header"/>
    </w:pPr>
  </w:p>
  <w:p w14:paraId="31E4C3B8" w14:textId="77777777" w:rsidR="002C22B9" w:rsidRDefault="002C22B9">
    <w:pPr>
      <w:pStyle w:val="Header"/>
    </w:pPr>
  </w:p>
  <w:p w14:paraId="303532AD" w14:textId="77777777" w:rsidR="002C22B9" w:rsidRDefault="002C22B9">
    <w:pPr>
      <w:pStyle w:val="Header"/>
    </w:pPr>
  </w:p>
  <w:p w14:paraId="03E5DF9B" w14:textId="77777777" w:rsidR="002C22B9" w:rsidRDefault="002C22B9">
    <w:pPr>
      <w:pStyle w:val="Header"/>
    </w:pPr>
  </w:p>
  <w:p w14:paraId="24BFFF19"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67FB628F" wp14:editId="320106B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4AA27FD" w14:textId="77777777" w:rsidR="002C22B9" w:rsidRDefault="002C22B9">
    <w:pPr>
      <w:pStyle w:val="Header"/>
    </w:pPr>
  </w:p>
  <w:p w14:paraId="3ECD00CF" w14:textId="77777777" w:rsidR="002C22B9" w:rsidRDefault="002C22B9">
    <w:pPr>
      <w:pStyle w:val="Header"/>
    </w:pPr>
  </w:p>
  <w:p w14:paraId="59A4CE41" w14:textId="77777777" w:rsidR="002C22B9" w:rsidRDefault="002C2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76A54"/>
    <w:multiLevelType w:val="multilevel"/>
    <w:tmpl w:val="FB882B6A"/>
    <w:lvl w:ilvl="0">
      <w:start w:val="1"/>
      <w:numFmt w:val="decimal"/>
      <w:lvlText w:val="%1."/>
      <w:lvlJc w:val="left"/>
      <w:pPr>
        <w:ind w:left="720" w:hanging="360"/>
      </w:pPr>
      <w:rPr>
        <w:rFonts w:ascii="Times New Roman" w:eastAsia="Times New Roman" w:hAnsi="Times New Roman" w:cs="Times New Roman"/>
        <w:i w:val="0"/>
        <w:iCs w:val="0"/>
        <w:color w:val="auto"/>
        <w:sz w:val="24"/>
        <w:szCs w:val="24"/>
      </w:rPr>
    </w:lvl>
    <w:lvl w:ilvl="1">
      <w:start w:val="1"/>
      <w:numFmt w:val="decimal"/>
      <w:lvlText w:val="%1.%2."/>
      <w:lvlJc w:val="left"/>
      <w:pPr>
        <w:ind w:left="2160" w:hanging="360"/>
      </w:pPr>
      <w:rPr>
        <w:rFonts w:ascii="Times New Roman" w:hAnsi="Times New Roman" w:cs="Times New Roman" w:hint="default"/>
      </w:rPr>
    </w:lvl>
    <w:lvl w:ilvl="2">
      <w:start w:val="1"/>
      <w:numFmt w:val="decimal"/>
      <w:lvlText w:val="%1.%2.%3."/>
      <w:lvlJc w:val="left"/>
      <w:pPr>
        <w:ind w:left="3960" w:hanging="720"/>
      </w:pPr>
      <w:rPr>
        <w:rFonts w:ascii="Times New Roman" w:hAnsi="Times New Roman" w:cs="Times New Roman" w:hint="default"/>
      </w:rPr>
    </w:lvl>
    <w:lvl w:ilvl="3">
      <w:start w:val="1"/>
      <w:numFmt w:val="decimal"/>
      <w:lvlText w:val="%1.%2.%3.%4."/>
      <w:lvlJc w:val="left"/>
      <w:pPr>
        <w:ind w:left="5400" w:hanging="720"/>
      </w:pPr>
      <w:rPr>
        <w:rFonts w:ascii="Times New Roman" w:hAnsi="Times New Roman" w:cs="Times New Roman" w:hint="default"/>
      </w:rPr>
    </w:lvl>
    <w:lvl w:ilvl="4">
      <w:start w:val="1"/>
      <w:numFmt w:val="decimal"/>
      <w:lvlText w:val="%1.%2.%3.%4.%5."/>
      <w:lvlJc w:val="left"/>
      <w:pPr>
        <w:ind w:left="7200" w:hanging="1080"/>
      </w:pPr>
      <w:rPr>
        <w:rFonts w:ascii="Times New Roman" w:hAnsi="Times New Roman" w:cs="Times New Roman" w:hint="default"/>
      </w:rPr>
    </w:lvl>
    <w:lvl w:ilvl="5">
      <w:start w:val="1"/>
      <w:numFmt w:val="decimal"/>
      <w:lvlText w:val="%1.%2.%3.%4.%5.%6."/>
      <w:lvlJc w:val="left"/>
      <w:pPr>
        <w:ind w:left="8640" w:hanging="1080"/>
      </w:pPr>
      <w:rPr>
        <w:rFonts w:ascii="Times New Roman" w:hAnsi="Times New Roman" w:cs="Times New Roman" w:hint="default"/>
      </w:rPr>
    </w:lvl>
    <w:lvl w:ilvl="6">
      <w:start w:val="1"/>
      <w:numFmt w:val="decimal"/>
      <w:lvlText w:val="%1.%2.%3.%4.%5.%6.%7."/>
      <w:lvlJc w:val="left"/>
      <w:pPr>
        <w:ind w:left="10440" w:hanging="1440"/>
      </w:pPr>
      <w:rPr>
        <w:rFonts w:ascii="Times New Roman" w:hAnsi="Times New Roman" w:cs="Times New Roman" w:hint="default"/>
      </w:rPr>
    </w:lvl>
    <w:lvl w:ilvl="7">
      <w:start w:val="1"/>
      <w:numFmt w:val="decimal"/>
      <w:lvlText w:val="%1.%2.%3.%4.%5.%6.%7.%8."/>
      <w:lvlJc w:val="left"/>
      <w:pPr>
        <w:ind w:left="11880" w:hanging="1440"/>
      </w:pPr>
      <w:rPr>
        <w:rFonts w:ascii="Times New Roman" w:hAnsi="Times New Roman" w:cs="Times New Roman" w:hint="default"/>
      </w:rPr>
    </w:lvl>
    <w:lvl w:ilvl="8">
      <w:start w:val="1"/>
      <w:numFmt w:val="decimal"/>
      <w:lvlText w:val="%1.%2.%3.%4.%5.%6.%7.%8.%9."/>
      <w:lvlJc w:val="left"/>
      <w:pPr>
        <w:ind w:left="13680" w:hanging="1800"/>
      </w:pPr>
      <w:rPr>
        <w:rFonts w:ascii="Times New Roman" w:hAnsi="Times New Roman" w:cs="Times New Roman" w:hint="default"/>
      </w:rPr>
    </w:lvl>
  </w:abstractNum>
  <w:abstractNum w:abstractNumId="1">
    <w:nsid w:val="39813DD7"/>
    <w:multiLevelType w:val="hybridMultilevel"/>
    <w:tmpl w:val="F496BB10"/>
    <w:lvl w:ilvl="0" w:tplc="E902A1F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451034C2"/>
    <w:multiLevelType w:val="hybridMultilevel"/>
    <w:tmpl w:val="C4AC88F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40F6A"/>
    <w:rsid w:val="00045E40"/>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3B19"/>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4F2"/>
    <w:rsid w:val="003F2673"/>
    <w:rsid w:val="003F4635"/>
    <w:rsid w:val="003F79A5"/>
    <w:rsid w:val="004059A7"/>
    <w:rsid w:val="004218E7"/>
    <w:rsid w:val="004241B4"/>
    <w:rsid w:val="00434A02"/>
    <w:rsid w:val="0043643E"/>
    <w:rsid w:val="004478B9"/>
    <w:rsid w:val="00474D18"/>
    <w:rsid w:val="00483407"/>
    <w:rsid w:val="004D1BC2"/>
    <w:rsid w:val="004E2880"/>
    <w:rsid w:val="004E45F2"/>
    <w:rsid w:val="004E4C3B"/>
    <w:rsid w:val="004F221F"/>
    <w:rsid w:val="004F32A1"/>
    <w:rsid w:val="004F671B"/>
    <w:rsid w:val="004F7DFD"/>
    <w:rsid w:val="005053F3"/>
    <w:rsid w:val="00513B65"/>
    <w:rsid w:val="0051574E"/>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66F4"/>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C501D1"/>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4D1BC2"/>
    <w:pPr>
      <w:ind w:left="720"/>
      <w:contextualSpacing/>
    </w:pPr>
  </w:style>
  <w:style w:type="paragraph" w:customStyle="1" w:styleId="Standard">
    <w:name w:val="Standard"/>
    <w:rsid w:val="004D1BC2"/>
    <w:pPr>
      <w:suppressAutoHyphens/>
      <w:autoSpaceDN w:val="0"/>
    </w:pPr>
    <w:rPr>
      <w:rFonts w:eastAsia="Calibri"/>
      <w:kern w:val="3"/>
      <w:sz w:val="24"/>
      <w:szCs w:val="22"/>
      <w:lang w:eastAsia="en-US"/>
    </w:rPr>
  </w:style>
  <w:style w:type="character" w:customStyle="1" w:styleId="cf01">
    <w:name w:val="cf01"/>
    <w:basedOn w:val="DefaultParagraphFont"/>
    <w:rsid w:val="004D1BC2"/>
    <w:rPr>
      <w:rFonts w:ascii="Segoe UI" w:hAnsi="Segoe UI" w:cs="Segoe UI" w:hint="default"/>
    </w:rPr>
  </w:style>
  <w:style w:type="paragraph" w:customStyle="1" w:styleId="Default">
    <w:name w:val="Default"/>
    <w:basedOn w:val="Normal"/>
    <w:uiPriority w:val="99"/>
    <w:rsid w:val="004D1BC2"/>
    <w:pPr>
      <w:autoSpaceDE w:val="0"/>
      <w:autoSpaceDN w:val="0"/>
      <w:jc w:val="left"/>
    </w:pPr>
    <w:rPr>
      <w:rFonts w:eastAsiaTheme="minorHAnsi"/>
      <w:color w:val="000000"/>
      <w:szCs w:val="24"/>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basedOn w:val="DefaultParagraphFont"/>
    <w:link w:val="ListParagraph"/>
    <w:uiPriority w:val="34"/>
    <w:locked/>
    <w:rsid w:val="004D1BC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Upeniece@fm.gov.lv"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mite.zakovska@f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evita.vamza@f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ina.remeike@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ija.upeniece@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4F71B-431F-4D90-A1FA-52E7C1B3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4313</Words>
  <Characters>24585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28841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Ministru kabineta noteikumu projektu</dc:subject>
  <dc:creator>Upeniece M.</dc:creator>
  <dc:description>Sagatavots ALS E-aprites vidē.</dc:description>
  <cp:lastModifiedBy>Vēsma Abizāre-Vagre</cp:lastModifiedBy>
  <cp:revision>2</cp:revision>
  <cp:lastPrinted>2007-06-25T10:49:00Z</cp:lastPrinted>
  <dcterms:created xsi:type="dcterms:W3CDTF">2021-08-14T08:53:00Z</dcterms:created>
  <dcterms:modified xsi:type="dcterms:W3CDTF">2021-08-14T08:53:00Z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