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23. maija noteikumos Nr. 271 "Noteikumi par vides aizsardzības oficiālās statistikas un piesārņojošās darbības pārskata veidlapām"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(01.05.2019.)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 punktu, ņemot vērā, ka projektā tiek pārņemts Eiropas Parlamenta un Padomes 2015. gada 25. novembra Direktīvas (ES)2015/2193 par ierobežojumiem attiecībā uz dažu piesārņojošu vielu emisiju gaisā no vidējas jaudas sadedzināšanas iekārtām 5. panta 5. punkts, 8. panta 1. un 2. punkts un 11.panta 1.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projektu un izvērtēt, vai uz to attiecināmās, šī projekta anotācijā nenorādītās (iepriekš pārņemtās/ieviestās), Eiropas Savienības tiesību normas joprojām ir attiecināmas. Šādā gadījumā, iesakām papildināt anotācijas 5.4. apakšpunktu ar norādēm uz Eiropas Savienības tiesību normām 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Direktīvas (ES)2015/2193 5.panta 5.punktu, savukārt attiecībā uz 8.panta 1. un 2. punktu norādām, ka minētie grozījumi šīs normas tiešā veidā nepārņem un šīs normas ir pārņemtas Ministru kabineta 2021. gada 7. janvāra noteikumo Nr. 17 "Noteikumi par gaisa piesārņojuma ierobežošanu no sadedzināšanas iekārtām" 8.sadaļā.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sadaļu, kur skaidrota dalībvalsts rīcības brīvības izmantošana. Vēršam uzmanību, ka gadījumos, ja Eiropas Savienības tiesību akts paredz rīcības brīvību dalībvalstij pārņemt vai ieviest noteiktas tiesību akta normas, anotācijas attiecīgajā sadaļā norāda konkrētas Eiropas Savienības tiesību akta normas un pamato, kādēļ ir vai nav izmantota tajā paredzētā rīcības brīvība dalībvalstij pārņemt vai ieviest noteiktas tiesību normas. No sniegtā skaidrojuma nav iespējams pilnībā izprast un izvērtēt rīcības brīvības izmantošanu un tās pamatotību. Vienlaikus norādām, ka šķietami no direktīvas un lēmuma izrietošo tiesību normu pārņemšana, nodrošinot direktīvas un lēmuma mērķu sasniegšanu, maldīgi varētu būt uztverta kā rīcības brīvības izmantošana. Ievērtējot minēto, lūdzam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sadaļu "Komisijas 2022. gada 31. janvāra īstenošanas lēmums 2022/142/ES, ar ko groza īstenošanas lēmumu (ES) 2019/1741 attiecībā uz ziņošanu par ražošanas apjomu un labo minēto īstenošanas lēmumu", ņemot vērā, ka "A" aili aizpilda, norādot katru konkrētā Eiropas Savienības tiesību akta vienību (pants, punkts, apakšpunkts, pielikums), nevis visu tiesību aktus kā kopumu. Attiecīgi, lūdzam papildināt anotācijas 5.4. apakšpunkta 1. tabulu, nodrošinot korektu, detalizētu un pilnīgu starptautisko tiesību aktu un no tiem izrietošo starptautisko saistību ieviešanas atspoguļojumu.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atkritumu radītājs, kas no Latvijas teritorijas izved atkritumus apglabāšanai, pārstrādei vai reģenerācijai.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atspoguļojot tajā visus plānotos grozījumus noteikumos Nr. 271. Vēršam uzmanību, ka atbilstoši projekta anotācijai tajā ir jābūt pieciem punktiem, tāpat arī no Noteikumu Nr. 271 konsolidētās versijas izriet, ka papildus projektā jau ietvertajam, ir plānots arī svītrot noteikumu Nr.271 2.3.5. apakšpunktu un papildināt noteikumus ar 2.</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1</w:t>
            </w:r>
            <w:r w:rsidR="00000000" w:rsidRPr="00000000" w:rsidDel="00000000">
              <w:rPr>
                <w:rtl w:val="0"/>
              </w:rPr>
              <w:t xml:space="preserve"> punktiem. Pēc projekta papildināšanas lūdzam pārbaudīt tā atbilstību anotācijas 1.3. apakšpunkta skaidrojumiem, nepieciešamības gadījumā veicot precizējumus, nolūkā nodrošināt korektu projekta normu nepieciešamības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atkritumu radītājs, kas no Latvijas teritorijas izved atkritumus apglabāšanai, pārstrādei vai reģenerācijai.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papildināt anotācijas 1.3. apakšpunktu atspoguļojot Ministru kabineta 2017. gada 23. maija noteikumos Nr. 271 "Noteikumi par vides aizsardzības oficiālās statistikas un piesārņojošās darbības pārskata veidlapām" (turpmāk -Noteikumi Nr.271 )plānotās izmaiņas. Piemēram, izvērstāk skaidrojot projekta 5. punktu, par Noteikumu Nr.271 pielikuma 2.</w:t>
            </w:r>
            <w:r w:rsidR="00000000" w:rsidRPr="00000000" w:rsidDel="00000000">
              <w:rPr>
                <w:vertAlign w:val="superscript"/>
                <w:rtl w:val="0"/>
              </w:rPr>
              <w:t xml:space="preserve">1</w:t>
            </w:r>
            <w:r w:rsidR="00000000" w:rsidRPr="00000000" w:rsidDel="00000000">
              <w:rPr>
                <w:rtl w:val="0"/>
              </w:rPr>
              <w:t xml:space="preserve"> tabulas "II.1 Dūmgāzu mērījuma rezultāts un testēšanas pārskats" būtību un nepieciešamību. Bet, piemēram, skaidrojot, projekta 3. punktu, definēt, kas ir saprotams ar "darbībām ar atkritumiem", lai būtu nepārprotami saprotams, kādas Noteikumu Nr.271 2.3.apakšpunktā minēto subjektu darbības tās ir.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saīsinātais jēdziens vai termins. Tāpat pieteiktie saīsinājumi konsekventi lietojami tālāk dokumenta tekstā. Minētais attiecas, piemēram, uz terminu "Eiropas Komisija" un tās nepieteikto saīsinājumu "Komisija", uz saīsinājumu "mehānisko transportlīdzekļu darbnīcas" un formulējumu "visu kategoriju (L, M, N, O) mehānisko sauszemes transportlīdzekļu, mobilās lauksaimniecības tehnikas un satiksmē neizmantojamu pārvietojamu mehānismu un citu pārvietojamu agregātu remonta un apkopes darbnīcas", saīsinājumu "Direktīva 2015/2193", kas tiek pieteikts divas reizes,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pilnīgāk skaidrojot noteikumos Nr. 271 un tā pielikumā plānotās izmaiņas. Piemēram, izvērstāk skaidrojot projekta 3. punkta un 5. punkta daļas par pielikuma 2.</w:t>
            </w:r>
            <w:r w:rsidR="00000000" w:rsidRPr="00000000" w:rsidDel="00000000">
              <w:rPr>
                <w:vertAlign w:val="superscript"/>
                <w:rtl w:val="0"/>
              </w:rPr>
              <w:t xml:space="preserve">1 </w:t>
            </w:r>
            <w:r w:rsidR="00000000" w:rsidRPr="00000000" w:rsidDel="00000000">
              <w:rPr>
                <w:rtl w:val="0"/>
              </w:rPr>
              <w:t xml:space="preserve">tabulas "II.1 Dūmgāzu mērījuma rezultāts un testēšanas pārskats" nepieciešamības pamatojumu. Skaidrojot, projekta 3. punktu skaidrot arī to, kas ir saprotams ar "darbībām ar atkritumiem", lai būtu nepārprotami norādīts kādas Noteikumu Nr.271 2.3.apakšpunktā minēto subjektu darbības ar to ir saprotamas. Nodrošinot pilnīgāku projekta skaidrojumu, uzlabojot tā uztveramību un pamatojot visas veiktās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precizējot formulējumu: "Pašreizējais regulējums neļauj veikt pilnvērtīgu datu atlasi par sadedzināšanas iekārtu radītajām emisijām un izpildīt ES tiesību aktos noteiktās ziņošanas prasības", konkretizējot iemeslus, kādēļ pašreizējais regulējums neļauj veikt pilnvērtīgu datu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pārskatot, šķietami neprecīzo formulējumu: "Tomēr praksē normu nav iespējams piemērot, jo minētā informācija jau tiek sniegta atbilstoši citiem MK noteikumu Nr. 271 2.3. apakšpunkta nosacījumiem" un labot to, ņemot vērā, ka no anotācijā sniegtās informācijas saprotams, ka tiesību normu nevis nav iespējams piemērot, bet nav nepieciešams pieprasīt informācijas iesniegšanu dubultā, jo tā tiek sniegta atbilstoši citiem Noteikumu Nr. 271 2.3.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izvairoties no informācijas atkārtošanās, piemēram: "Valsts vides dienestam ir pienākums pārbaudīt veidlapās iekļauto informāciju un kontrolēt veidlapu iesniegšanu noteiktajos termiņos, kuru izpilde šobrīd tiek tērēts nelietderīgs Valsts vides dienesta inspektoru resurss, tādējādi pakļaujot riskam citu vides aizsardzības un dabas resursu izmantošanas jomu uzraudzību. Katru gadu visu pārskatu veidu iesniegtais apjoms pieaug (2020 – 8667, 2021 – 9096, 2022 – 9501), līdz ar to Valsts vides dienestam jāpārbauda katru gadu vairāk".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labot projekta pielikuma 2. tabulas apraksta 5. punktu, no kuras redakcijas joprojām izriet nepieciešamība iesniegt papildus tabulu, kā atsevišķu pielikumu pie pielikuma 2. tabulas, kur sadedzināšanas iekārtu operatori ievada mērījumu rezultātus. Vēršam uzmanību, ka atbilstoši anotācijā sniegtajam skaidrojumam Ministru kabineta 2017. gada 23. maija noteikumu Nr. 271 "Noteikumi par vides aizsardzības oficiālās statistikas un piesārņojošās darbības pārskata veidlapām" (turpmāk - noteikumi Nr.271) 2. pielikumā tiek ieviesta 2.</w:t>
            </w:r>
            <w:r w:rsidR="00000000" w:rsidRPr="00000000" w:rsidDel="00000000">
              <w:rPr>
                <w:vertAlign w:val="superscript"/>
                <w:rtl w:val="0"/>
              </w:rPr>
              <w:t xml:space="preserve">1</w:t>
            </w:r>
            <w:r w:rsidR="00000000" w:rsidRPr="00000000" w:rsidDel="00000000">
              <w:rPr>
                <w:rtl w:val="0"/>
              </w:rPr>
              <w:t xml:space="preserve"> tabula, ar mērķi to turpmāk izmantot iepriekšminētās informācijas iesniegšanai, līdzšinējās Noteikumu Nr.271 2. pielikuma 2. tabulas pielikuma papildus tabulas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vienlaikus skaidrojam, ka 2.</w:t>
            </w:r>
            <w:r w:rsidR="00000000" w:rsidRPr="00000000" w:rsidDel="00000000">
              <w:rPr>
                <w:vertAlign w:val="superscript"/>
                <w:rtl w:val="0"/>
              </w:rPr>
              <w:t xml:space="preserve">1</w:t>
            </w:r>
            <w:r w:rsidR="00000000" w:rsidRPr="00000000" w:rsidDel="00000000">
              <w:rPr>
                <w:rtl w:val="0"/>
              </w:rPr>
              <w:t xml:space="preserve"> tabula un pienākums ierakstīt konkrētu mērījumu rezultātu tiek ieviesta, lai šo informāciju varētu pēc tam atlasīt, vienlaikus tiek saglabāta prasība arī mērījumu rezultātu testēšanas pārskatus, lai var pārbaudīt ierakstīto datu patiesumu. Testēšanas pārskati  ir garāki dokumenti, kuros redzams ne vien konkrētais mērījumu rezultāts, bet gan arī pielietotā metode mērījumu veikšanā, gan arī citi apstākļi kādos veikti emisiju mērījumi.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norādīto informāciju par to, ka prasības attiecībā uz 1.2 tabulas "Ražošanas apjoms" aizpildīšanu stājās spēkā uz 2025. gada 1. janvāri un informācija tajā būs jānorāda par ražošanas apjomiem 2024. gadā ar konkrētāku skaidrojumu par iemesliem šāda termiņa noteikšanai. Papildus iesakām skaidrot, ka attiecīgā informācija ir iesniedzama termiņā līdz 2025. gada 1. janvārim, ņemot vērā ar konkrēto tabulu iegūstamās informācijas nozīmīgumu, nodrošinot visus nepieciešamos datus ziņojumam, kas saskaņā ar Eiropas Parlamenta un Padomes 2015. gada 25. novembra direktīvas Nr. 2015/2193/ES par ierobežojumiem attiecībā uz dažu piesārņojošu vielu emisiju gaisā no vidējas jaudas sadedzināšanas iekārtām (turpmāk – Direktīva 2015/2193) 11. pantu ir iesniedzams līdz 2026. gada 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"Cita informācija" ar teikumu, ka projekta izpildi iesaistītās institūcijas nodrošinās to rīcībā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5.1.apakšpunkta sadaļas "ES tiesību akta CELEX numurs", ņemot vērā, ka tajās norādāms nevis tiesību akta nosaukums, bet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5.4. apakšpunkta 1. tabulas Direktīvas 2015/2193 un Komisijas 2022. gada 31. janvāra īstenošanas lēmums 2022/142/ES, ar ko groza īstenošanas lēmumu (ES) 2019/1741 attiecībā uz ziņošanu par ražošanas apjomu un labo minēto īstenošanas lēmumu "B" aiļu norādes uz noteikumu projekta 2. pielikumu, jo projektam ir tikai viens pielikums (Noteikumu Nr.271 2. 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anotācijas 5.4. apakšpunkta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5.4. apakšpunkta 1. tabulas izriet "Direktīvas 2015/2193 11. panta 1. punkta" pārņemšana, bet, skaidrojot rīcības brīvību, tiek norādīts "direktīvas 11. pants". Attiecīgi, lūdzam pārskatīt rīcības brīvības skaidrojumus vai tiesību normu pārņemšanas atspoguļojumu, jo tiek sniegta nedaudz atšķirīga informācija par to, kādā apjomā projektā pārņemts Eiropas Parlamenta un Padomes 2015. gada 25. novembra Direktīvas (ES)2015/2193 par ierobežojumiem attiecībā uz dažu piesārņojošu vielu emisiju gaisā no vidējas jaudas sadedzināšanas iekārtām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apakšpunkta 1. tabulas "Komisijas 2022. gada 31. janvāra īstenošanas lēmums 2022/142/ES, ar ko groza īstenošanas lēmumu (ES) 2019/1741 attiecībā uz ziņošanu par ražošanas apjomu un labo minēto īstenošanas lēmumu" sadaļā, kur skaidrojams "</w:t>
            </w:r>
            <w:r w:rsidR="00000000" w:rsidRPr="00000000" w:rsidDel="00000000">
              <w:rPr>
                <w:u w:val="single"/>
                <w:rtl w:val="0"/>
              </w:rPr>
              <w:t xml:space="preserve">kā ir izmantota</w:t>
            </w:r>
            <w:r w:rsidR="00000000" w:rsidRPr="00000000" w:rsidDel="00000000">
              <w:rPr>
                <w:rtl w:val="0"/>
              </w:rPr>
              <w:t xml:space="preserve"> Eiropas Savienības tiesību aktā </w:t>
            </w:r>
            <w:r w:rsidR="00000000" w:rsidRPr="00000000" w:rsidDel="00000000">
              <w:rPr>
                <w:u w:val="single"/>
                <w:rtl w:val="0"/>
              </w:rPr>
              <w:t xml:space="preserve">paredzētā rīcības brīvība</w:t>
            </w:r>
            <w:r w:rsidR="00000000" w:rsidRPr="00000000" w:rsidDel="00000000">
              <w:rPr>
                <w:rtl w:val="0"/>
              </w:rPr>
              <w:t xml:space="preserve">?", norādīts, ka "Dalībvalstij </w:t>
            </w:r>
            <w:r w:rsidR="00000000" w:rsidRPr="00000000" w:rsidDel="00000000">
              <w:rPr>
                <w:u w:val="single"/>
                <w:rtl w:val="0"/>
              </w:rPr>
              <w:t xml:space="preserve">nav dota rīcības brīvība</w:t>
            </w:r>
            <w:r w:rsidR="00000000" w:rsidRPr="00000000" w:rsidDel="00000000">
              <w:rPr>
                <w:rtl w:val="0"/>
              </w:rPr>
              <w:t xml:space="preserve"> attiecībā uz Lēmuma Nr.2022/142 par ražošanas apjomu datu ziņošanu, tāpēc ministrija ir izvēlējusies efektīvāko veidu kā sagatavot un iesniegt prasītos datus", attiecīgi, tā šķietami nav jāaizpilda, jo atbilstoši skaidrojumam rīcības brīvības nav.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to, ka anotācijas 5.4. apakšpunkta 1. tabulas sadaļā, kur skaidrota dalībvalsts rīcības brīvības izmantošana, norāda, kā ir izmantota Eiropas Savienības tiesību aktā paredzētā rīcības brīvība dalībvalstij pārņemt vai ieviest noteiktas Eiropas Savienības tiesību akta normas un kādēļ? Papildus informācija, kas attiecināma uz tiesību normu pārņemšanu var tikt skaidrota 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vides aizsardzības oficiālās statistikas un piesārņojošās darbības pārskata veidlapām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konsolidēto noteikumu tekstā un pielikumos lūdzam izvērtēt un precizēt atsauces uz Saimniecisko darbību statistisko klasifikāciju Eiropas Kopienā (NACE):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Informējam, ka saskaņā ar Komisijas 2022. gada 10. oktobra Deleģēto Regulu (ES) 2023/137, ar kuru groza Eiropas Parlamenta un Padomes Regulu (EK) Nr. 1893/2006, ar ko izveido NACE 2. red. saimniecisko darbību statistisko klasifikāciju (Dokuments attiecas uz EEZ) Regulas (EK) Nr. 1893/2006 I pielikums tiek aizstāts ar minētās deleģētās regulas pielikumu, izveidojot jaunu NACE 2.1. redakciju, kuru piemēros datu nosūtīšanai Komisijai (Eurostat) par katru pārskata periodu no 2025. gada 1. janvāra. Tādēļ lūdzam izvērtēt, kādā veidā noformēt atsauci uz NACE klasifikāciju, lai nerastos nepieciešamība veikt grozījumus Ministru kabineta noteikumos un lai nodrošinātu statistiku, izmantojot spēkā esošās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minēto, vēršam uzmanību, ka tajās vietās, kur ir atsauce uz noteiktiem NACE 2.red. kodiem, klasifikācijas redakcijas maiņas dēļ ir jānorāda precīza atsauce uz klasifikāciju, norādot gan tās nosaukumu, gan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klasifikācija stāsies spēkā tikai 2025. gada 1. janvārī, ministrija uz šo brīdi neveiks šadus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vides aizsardzības oficiālās statistikas un piesārņojošās darbības pārskata veidlapām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Veidlapa Nr. 2 – Gaiss. Pārskats par gaisa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izziņas 6. punktā minēto priekšlikumu, lūdzam pārskatīt veiktās darbības un nepieciešamības gadījumā labot projektu un/vai anotāciju. Izziņā norādīts, ka, pamatojoties uz izteikto priekšlikumu, ir veikti precizējumi un sniegti skaidrojumi, taču projekta pielikuma 2. tabulas apraksta 5. punkts ir tieši tādā pašā redakcijā kā sākotnēji iesniegtais. Attiecīgi nav skaidrs, kādi konkrēti labojumi ir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Veidlapa Nr. 2 – Gaiss. Pārskats par gaisa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 gads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Veidlapa Nr. 2 – Gaiss. Pārskats par gaisa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Noteikumu Nr. 753 2. pielikuma 1.</w:t>
            </w:r>
            <w:r w:rsidR="00000000" w:rsidRPr="00000000" w:rsidDel="00000000">
              <w:rPr>
                <w:vertAlign w:val="superscript"/>
                <w:rtl w:val="0"/>
              </w:rPr>
              <w:t xml:space="preserve">1</w:t>
            </w:r>
            <w:r w:rsidR="00000000" w:rsidRPr="00000000" w:rsidDel="00000000">
              <w:rPr>
                <w:rtl w:val="0"/>
              </w:rPr>
              <w:t xml:space="preserve"> tabulas paskaidrojumu daļu, kurā veiktas izmaiņas, kas piedāvātajā redakcijā neprecīzi skaidro tabulas aizpildīšanas nosacījumus. Piemēram, tiek noteikts, ka tabulas 4. un 5. ailē norāda emisijas punktveida avota (piemēram, dūmeņa, ventilācijas caurules vai cita veida izvades) augstumu un iekšējo diametru metros, lai gan atbilstoši tabulas formai emisijas punktveida avota parametrus norāda 5. un 6. ailē.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Veidlapa Nr. 2 – Gaiss. Pārskats par gaisa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 gads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23-TA-753</w:t>
    </w:r>
    <w:r>
      <w:br/>
    </w:r>
    <w:r w:rsidR="00000000" w:rsidRPr="00000000" w:rsidDel="00000000">
      <w:rPr>
        <w:rtl w:val="0"/>
      </w:rPr>
      <w:t xml:space="preserve">12.02.2024. 17.13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23-TA-753</w:t>
    </w:r>
    <w:r>
      <w:br/>
    </w:r>
    <w:r w:rsidR="00000000" w:rsidRPr="00000000" w:rsidDel="00000000">
      <w:rPr>
        <w:rtl w:val="0"/>
      </w:rPr>
      <w:t xml:space="preserve">12.02.2024. 17.13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Izziņa_23-TA-753.docx</dc:title>
</cp:coreProperties>
</file>

<file path=docProps/custom.xml><?xml version="1.0" encoding="utf-8"?>
<Properties xmlns="http://schemas.openxmlformats.org/officeDocument/2006/custom-properties" xmlns:vt="http://schemas.openxmlformats.org/officeDocument/2006/docPropsVTypes"/>
</file>