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58F1" w14:textId="7E77130B" w:rsidR="002E1474" w:rsidRDefault="00834D1C" w:rsidP="00834D1C">
      <w:r w:rsidRPr="00834D1C">
        <w:t xml:space="preserve">Uz </w:t>
      </w:r>
      <w:r w:rsidR="005D727D">
        <w:t>30.04</w:t>
      </w:r>
      <w:r w:rsidRPr="00834D1C">
        <w:t>.20</w:t>
      </w:r>
      <w:r w:rsidR="008F7866">
        <w:t>20</w:t>
      </w:r>
      <w:r w:rsidRPr="00834D1C">
        <w:t>. VSS prot.</w:t>
      </w:r>
      <w:r>
        <w:t xml:space="preserve"> </w:t>
      </w:r>
      <w:r w:rsidRPr="00834D1C">
        <w:t>Nr.</w:t>
      </w:r>
      <w:r w:rsidR="005D727D">
        <w:t> 18</w:t>
      </w:r>
      <w:r w:rsidRPr="00834D1C">
        <w:t xml:space="preserve"> </w:t>
      </w:r>
      <w:r w:rsidR="005D727D">
        <w:t>3</w:t>
      </w:r>
      <w:r w:rsidRPr="00834D1C">
        <w:t>.</w:t>
      </w:r>
      <w:r>
        <w:t> </w:t>
      </w:r>
      <w:r w:rsidRPr="00834D1C">
        <w:t>§ (VSS-</w:t>
      </w:r>
      <w:r w:rsidR="00242BC3">
        <w:t>346</w:t>
      </w:r>
      <w:r w:rsidRPr="00834D1C">
        <w:t>)</w:t>
      </w:r>
    </w:p>
    <w:p w14:paraId="0A5A58F2" w14:textId="4D2D2334" w:rsidR="00441F52" w:rsidRDefault="00441F52" w:rsidP="00726E06"/>
    <w:p w14:paraId="57AC5A4E" w14:textId="77777777" w:rsidR="00A66827" w:rsidRPr="0087450D" w:rsidRDefault="00A66827" w:rsidP="00726E06"/>
    <w:p w14:paraId="0A5A58F3" w14:textId="0164F9D2" w:rsidR="00830970" w:rsidRPr="00834D1C" w:rsidRDefault="005D727D" w:rsidP="00834D1C">
      <w:pPr>
        <w:jc w:val="right"/>
        <w:rPr>
          <w:b/>
        </w:rPr>
      </w:pPr>
      <w:r>
        <w:rPr>
          <w:b/>
        </w:rPr>
        <w:t xml:space="preserve">Finanšu </w:t>
      </w:r>
      <w:r w:rsidR="00834D1C" w:rsidRPr="00834D1C">
        <w:rPr>
          <w:b/>
        </w:rPr>
        <w:t>ministrijai</w:t>
      </w:r>
    </w:p>
    <w:p w14:paraId="19D5E386" w14:textId="0A114911" w:rsidR="00834D1C" w:rsidRDefault="00834D1C" w:rsidP="00834D1C">
      <w:pPr>
        <w:jc w:val="right"/>
      </w:pPr>
    </w:p>
    <w:p w14:paraId="542CC5C6" w14:textId="77777777" w:rsidR="00A66827" w:rsidRDefault="00A66827" w:rsidP="00834D1C">
      <w:pPr>
        <w:jc w:val="right"/>
      </w:pPr>
    </w:p>
    <w:p w14:paraId="4847B50A" w14:textId="1961E195" w:rsidR="00834D1C" w:rsidRPr="005D727D" w:rsidRDefault="005D727D" w:rsidP="005D727D">
      <w:pPr>
        <w:ind w:right="4320"/>
        <w:rPr>
          <w:i/>
        </w:rPr>
      </w:pPr>
      <w:r w:rsidRPr="005D727D">
        <w:rPr>
          <w:i/>
        </w:rPr>
        <w:t>Par Ministru kabineta noteikumu projektu "Grozījumi Ministru kabineta 2010. gada 21. septembra noteikumos Nr. 899 "Likuma "Par iedzīvotāju ienākuma nodokli" normu piemērošanas kārtība""</w:t>
      </w:r>
    </w:p>
    <w:p w14:paraId="604F25F2" w14:textId="576F8BE8" w:rsidR="00834D1C" w:rsidRDefault="00834D1C" w:rsidP="00834D1C"/>
    <w:p w14:paraId="6D5718B2" w14:textId="415B6790" w:rsidR="00834D1C" w:rsidRDefault="00834D1C" w:rsidP="00834D1C"/>
    <w:p w14:paraId="6AA0E5BD" w14:textId="0BFE2244" w:rsidR="00834D1C" w:rsidRDefault="00834D1C" w:rsidP="00834D1C">
      <w:pPr>
        <w:ind w:firstLine="720"/>
      </w:pPr>
      <w:r w:rsidRPr="00834D1C">
        <w:t xml:space="preserve">Tieslietu ministrija ir izskatījusi </w:t>
      </w:r>
      <w:r w:rsidR="005D727D">
        <w:t>Finanšu</w:t>
      </w:r>
      <w:r w:rsidRPr="00834D1C">
        <w:t xml:space="preserve"> ministrijas sagatavoto Ministru kabineta noteikumu projektu "</w:t>
      </w:r>
      <w:r w:rsidR="005D727D">
        <w:t xml:space="preserve">Grozījumi Ministru kabineta 2010. gada 21. septembra noteikumos Nr. 899 </w:t>
      </w:r>
      <w:r w:rsidR="005D727D" w:rsidRPr="00834D1C">
        <w:t>"</w:t>
      </w:r>
      <w:r w:rsidR="005D727D">
        <w:t xml:space="preserve">Likuma </w:t>
      </w:r>
      <w:r w:rsidR="005D727D" w:rsidRPr="00834D1C">
        <w:t>"</w:t>
      </w:r>
      <w:r w:rsidR="005D727D">
        <w:t>Par iedzīvotāju ienākuma nodokli</w:t>
      </w:r>
      <w:r w:rsidR="005D727D" w:rsidRPr="00834D1C">
        <w:t>"</w:t>
      </w:r>
      <w:r w:rsidR="005D727D">
        <w:t xml:space="preserve"> normu piemērošanas kārtība</w:t>
      </w:r>
      <w:r w:rsidR="005D727D" w:rsidRPr="00834D1C">
        <w:t>"</w:t>
      </w:r>
      <w:r w:rsidRPr="00834D1C">
        <w:t>" (turpmāk – projekts) un atbalsta tā tālāku virzību, izsakot šādus iebildumus:</w:t>
      </w:r>
    </w:p>
    <w:p w14:paraId="70760C3F" w14:textId="77777777" w:rsidR="00583DDB" w:rsidRDefault="005D727D" w:rsidP="005D727D">
      <w:r>
        <w:tab/>
        <w:t>1. </w:t>
      </w:r>
      <w:r w:rsidR="00583DDB">
        <w:t>Projekta 1.5. </w:t>
      </w:r>
      <w:r w:rsidRPr="005D727D">
        <w:t>apakšpunkts paredz pap</w:t>
      </w:r>
      <w:r w:rsidR="00583DDB">
        <w:t>ildināt Ministru kabineta 2010. gada 21. </w:t>
      </w:r>
      <w:r w:rsidRPr="005D727D">
        <w:t>septembra noteikumus Nr.</w:t>
      </w:r>
      <w:r w:rsidR="00583DDB">
        <w:t> </w:t>
      </w:r>
      <w:r w:rsidRPr="005D727D">
        <w:t>899 "Likuma "Par iedzīvotāju ienākuma nodokli" normu piemērošanas kārtī</w:t>
      </w:r>
      <w:r w:rsidR="00583DDB">
        <w:t>ba"" (turpmāk – noteikumi</w:t>
      </w:r>
      <w:r w:rsidRPr="005D727D">
        <w:t>) ar 39.</w:t>
      </w:r>
      <w:r w:rsidRPr="005D727D">
        <w:rPr>
          <w:vertAlign w:val="superscript"/>
        </w:rPr>
        <w:t>1</w:t>
      </w:r>
      <w:r w:rsidR="00583DDB">
        <w:t> </w:t>
      </w:r>
      <w:r w:rsidRPr="005D727D">
        <w:t>punktu, paredzot, ka, piemērojot likuma "Par iedzīvotāj</w:t>
      </w:r>
      <w:r w:rsidR="00583DDB">
        <w:t>u ienākuma nodokli" (turpmāk – likums) 9. panta pirmās daļas 11. </w:t>
      </w:r>
      <w:r w:rsidRPr="005D727D">
        <w:t xml:space="preserve">punktu, ar jēdzienu "uzturnauda (alimenti)" saprot </w:t>
      </w:r>
      <w:r w:rsidRPr="00583DDB">
        <w:t>uzturlīdzekļus bērniem un uzturlīdzekļus bijušajam laulātajam viņa mantas stāvokļa iepriekšējā labklājības līmeņa nodrošināšanai</w:t>
      </w:r>
      <w:r w:rsidRPr="005D727D">
        <w:t xml:space="preserve">. Kā norādīts projekta sākotnējās ietekmes novērtējuma ziņojuma </w:t>
      </w:r>
      <w:r w:rsidR="00583DDB">
        <w:t>(turpmāk – anotācija) I </w:t>
      </w:r>
      <w:r w:rsidRPr="005D727D">
        <w:t>sadaļ</w:t>
      </w:r>
      <w:r w:rsidR="00583DDB">
        <w:t>as 2. punktā</w:t>
      </w:r>
      <w:r w:rsidRPr="005D727D">
        <w:t xml:space="preserve">, šā grozījuma mērķis ir nodrošināt vienveidīgu izpratni par minētās </w:t>
      </w:r>
      <w:r w:rsidR="00583DDB">
        <w:t>l</w:t>
      </w:r>
      <w:r w:rsidRPr="005D727D">
        <w:t>ikuma normas piemērošanu, jo uzturlīdzekļi var tikt maksāti gan bērniem, gan bijušajam laulātajam iepriekšējā labklājības līmeņa nodrošināšanai. Vēršam uzmanību, ka</w:t>
      </w:r>
      <w:r w:rsidR="00583DDB">
        <w:t xml:space="preserve"> Civillikuma 188. </w:t>
      </w:r>
      <w:r w:rsidRPr="005D727D">
        <w:t xml:space="preserve">pants paredz pienākumu arī bērniem </w:t>
      </w:r>
      <w:r w:rsidRPr="00583DDB">
        <w:t>uzturēt vecākus un vajadzības gadījumā arī vecvecākus</w:t>
      </w:r>
      <w:r w:rsidRPr="005D727D">
        <w:t xml:space="preserve"> samērā ar viņu spējām uzturēt vecākus vai vecvecākus un mantas stāvokli. Strīdus </w:t>
      </w:r>
      <w:r w:rsidRPr="00583DDB">
        <w:t>par uzturlīdzekļiem vecākiem vai vecvecākiem</w:t>
      </w:r>
      <w:r w:rsidRPr="005D727D">
        <w:t xml:space="preserve"> izšķir tiesa.</w:t>
      </w:r>
      <w:r w:rsidR="00583DDB">
        <w:t xml:space="preserve"> </w:t>
      </w:r>
      <w:r w:rsidRPr="005D727D">
        <w:t>Ņemot vērā minēto, nav</w:t>
      </w:r>
      <w:r w:rsidR="00583DDB">
        <w:t xml:space="preserve"> saprotams, kāpēc projekta 1.5. apakšpunkts neparedz likuma 9. panta pirmās daļas 11. </w:t>
      </w:r>
      <w:r w:rsidRPr="005D727D">
        <w:t xml:space="preserve">punktu attiecināt uz </w:t>
      </w:r>
      <w:r w:rsidRPr="00583DDB">
        <w:t>uzturlīdzekļiem vecākiem un vecvecākiem.</w:t>
      </w:r>
      <w:r w:rsidRPr="005D727D">
        <w:t xml:space="preserve"> Turklāt Civillikumā ir lietots termins "</w:t>
      </w:r>
      <w:r w:rsidRPr="00583DDB">
        <w:t>līdzekļi</w:t>
      </w:r>
      <w:r w:rsidRPr="005D727D">
        <w:t xml:space="preserve"> iepriekšējā labklājības līmeņa nodrošināšanai bijušajam laulātajam". Līdz ar t</w:t>
      </w:r>
      <w:r w:rsidR="00583DDB">
        <w:t>o lūdzam precizēt projekta 1.5. </w:t>
      </w:r>
      <w:r w:rsidRPr="005D727D">
        <w:t>apakšpunktā un anotācijā lietoto terminoloģiju atbilstoši Civillikumā lietotajai terminoloģijai, kā arī papildinā</w:t>
      </w:r>
      <w:r w:rsidR="00583DDB">
        <w:t xml:space="preserve">t minēto apakšpunktu aiz vārda </w:t>
      </w:r>
      <w:r w:rsidR="00583DDB" w:rsidRPr="005D727D">
        <w:t>"</w:t>
      </w:r>
      <w:r w:rsidRPr="005D727D">
        <w:t>bērniem" ar vārdiem "vecākiem vai vecvecākiem" vai</w:t>
      </w:r>
      <w:r w:rsidR="00583DDB">
        <w:t xml:space="preserve"> arī anotācijā skaidrot, kāpēc likuma 9. panta pirmās daļas 11. </w:t>
      </w:r>
      <w:r w:rsidRPr="005D727D">
        <w:t xml:space="preserve">punkts nebūtu attiecināms uz </w:t>
      </w:r>
      <w:r w:rsidRPr="00583DDB">
        <w:t>uzturlīdzekļiem vecākiem un vecvecākiem</w:t>
      </w:r>
      <w:r w:rsidR="00583DDB">
        <w:t>.</w:t>
      </w:r>
    </w:p>
    <w:p w14:paraId="578F4C69" w14:textId="243AAFB1" w:rsidR="005D727D" w:rsidRDefault="00583DDB" w:rsidP="00583DDB">
      <w:pPr>
        <w:ind w:firstLine="720"/>
      </w:pPr>
      <w:r>
        <w:t>Ja projekta 1.5. </w:t>
      </w:r>
      <w:r w:rsidR="005D727D" w:rsidRPr="005D727D">
        <w:t>apakšpunkts tiek papildināts aiz vārda "bērniem" ar vārdiem "vecākiem un vecvecākiem", attiecīgi</w:t>
      </w:r>
      <w:r>
        <w:t xml:space="preserve"> ir precizējams anotācijas II sadaļas 1. </w:t>
      </w:r>
      <w:r w:rsidR="005D727D" w:rsidRPr="005D727D">
        <w:t xml:space="preserve">punkts, norādot kā projekta </w:t>
      </w:r>
      <w:proofErr w:type="spellStart"/>
      <w:r w:rsidR="005D727D" w:rsidRPr="005D727D">
        <w:t>mērķgrupu</w:t>
      </w:r>
      <w:proofErr w:type="spellEnd"/>
      <w:r w:rsidR="005D727D" w:rsidRPr="005D727D">
        <w:t xml:space="preserve"> arī vecākus un vecvecākus, kas saņems uzturlīdzekļus no bērniem (mazbērniem).</w:t>
      </w:r>
    </w:p>
    <w:p w14:paraId="7B64B171" w14:textId="54097911" w:rsidR="005D727D" w:rsidRPr="005D727D" w:rsidRDefault="005D727D" w:rsidP="005D727D">
      <w:r>
        <w:lastRenderedPageBreak/>
        <w:tab/>
        <w:t>2. </w:t>
      </w:r>
      <w:r w:rsidR="009C4DE3">
        <w:t>Projekta 1.9. apakšpunkts paredz papildināt noteikumus</w:t>
      </w:r>
      <w:r w:rsidRPr="005D727D">
        <w:t xml:space="preserve"> ar 80.</w:t>
      </w:r>
      <w:r w:rsidRPr="005D727D">
        <w:rPr>
          <w:vertAlign w:val="superscript"/>
        </w:rPr>
        <w:t>1</w:t>
      </w:r>
      <w:r w:rsidR="009C4DE3">
        <w:t> </w:t>
      </w:r>
      <w:r w:rsidRPr="005D727D">
        <w:t xml:space="preserve">punktu, </w:t>
      </w:r>
      <w:r w:rsidR="009C4DE3">
        <w:t>tā pirmajā teikumā nosakot, ka l</w:t>
      </w:r>
      <w:r w:rsidRPr="005D727D">
        <w:t>ikuma 11.</w:t>
      </w:r>
      <w:r w:rsidRPr="005D727D">
        <w:rPr>
          <w:vertAlign w:val="superscript"/>
        </w:rPr>
        <w:t>7</w:t>
      </w:r>
      <w:r w:rsidR="009C4DE3">
        <w:t> </w:t>
      </w:r>
      <w:r w:rsidRPr="005D727D">
        <w:t xml:space="preserve">panta piekto daļu nepiemēro, ja atsavina nekustamo īpašumu, kurš pēc lietošanas mērķa ir lauksaimniecības zeme, </w:t>
      </w:r>
      <w:r w:rsidRPr="009C4DE3">
        <w:t>bet uz tā atrodas citai personai piederošas vai nenoskaidrotas piederības ēkas vai būves</w:t>
      </w:r>
      <w:r w:rsidRPr="005D727D">
        <w:t xml:space="preserve">. </w:t>
      </w:r>
      <w:r w:rsidR="009C4DE3">
        <w:t>Tieslietu ministrijas ieskatā projekta 1.9. apakšpunktā ietvertā</w:t>
      </w:r>
      <w:r w:rsidRPr="005D727D">
        <w:t xml:space="preserve"> </w:t>
      </w:r>
      <w:r w:rsidR="009C4DE3">
        <w:t>noteikumu</w:t>
      </w:r>
      <w:r w:rsidRPr="005D727D">
        <w:t xml:space="preserve"> 80.</w:t>
      </w:r>
      <w:r w:rsidRPr="005D727D">
        <w:rPr>
          <w:vertAlign w:val="superscript"/>
        </w:rPr>
        <w:t>1</w:t>
      </w:r>
      <w:r w:rsidR="009C4DE3">
        <w:t> </w:t>
      </w:r>
      <w:r w:rsidRPr="005D727D">
        <w:t xml:space="preserve">punkta pirmā teikuma redakcija neatbilst </w:t>
      </w:r>
      <w:r w:rsidR="009C4DE3">
        <w:t>l</w:t>
      </w:r>
      <w:r w:rsidRPr="005D727D">
        <w:t>ikuma 11.</w:t>
      </w:r>
      <w:r w:rsidRPr="005D727D">
        <w:rPr>
          <w:vertAlign w:val="superscript"/>
        </w:rPr>
        <w:t>7</w:t>
      </w:r>
      <w:r w:rsidR="009C4DE3">
        <w:t> </w:t>
      </w:r>
      <w:r w:rsidRPr="005D727D">
        <w:t>panta pi</w:t>
      </w:r>
      <w:r w:rsidR="009C4DE3">
        <w:t>ektajai daļai, saskaņā ar kuru l</w:t>
      </w:r>
      <w:r w:rsidRPr="005D727D">
        <w:t>ikuma 11.</w:t>
      </w:r>
      <w:r w:rsidRPr="005D727D">
        <w:rPr>
          <w:vertAlign w:val="superscript"/>
        </w:rPr>
        <w:t>7</w:t>
      </w:r>
      <w:r w:rsidR="009C4DE3">
        <w:t> </w:t>
      </w:r>
      <w:r w:rsidRPr="005D727D">
        <w:t xml:space="preserve">panta trešo daļu nepiemēro, ja tiek atsavināts nekustamais īpašums </w:t>
      </w:r>
      <w:r w:rsidRPr="009C4DE3">
        <w:t>un šā nekustamā īpašuma objektu kopību veido lauksaimniecības zeme un ēkas vai būves</w:t>
      </w:r>
      <w:r w:rsidR="009C4DE3">
        <w:t>. Līdz ar to secināms, ka l</w:t>
      </w:r>
      <w:r w:rsidRPr="005D727D">
        <w:t>ikuma 11.</w:t>
      </w:r>
      <w:r w:rsidRPr="005D727D">
        <w:rPr>
          <w:vertAlign w:val="superscript"/>
        </w:rPr>
        <w:t>7</w:t>
      </w:r>
      <w:r w:rsidR="009C4DE3">
        <w:t> </w:t>
      </w:r>
      <w:r w:rsidRPr="005D727D">
        <w:t xml:space="preserve">panta piektā daļa attiecināma uz gadījumiem, kad nekustamais īpašums </w:t>
      </w:r>
      <w:r w:rsidRPr="009C4DE3">
        <w:t xml:space="preserve">tiek atsavināts kā vienots nekustamais īpašums, </w:t>
      </w:r>
      <w:r w:rsidR="009C4DE3">
        <w:t>kas atbilstoši Civillikuma 968. </w:t>
      </w:r>
      <w:r w:rsidRPr="009C4DE3">
        <w:t>pantam sastāv no lauksaimniecības zemes un ēkām vai būvēm uz tās.</w:t>
      </w:r>
      <w:r w:rsidR="009C4DE3">
        <w:t xml:space="preserve"> Līdz ar to nepieciešams svītrot minēto</w:t>
      </w:r>
      <w:r w:rsidRPr="005D727D">
        <w:t xml:space="preserve"> teiku</w:t>
      </w:r>
      <w:r w:rsidR="009C4DE3">
        <w:t>mu vai precizēt to atbilstoši l</w:t>
      </w:r>
      <w:r w:rsidRPr="005D727D">
        <w:t>ikuma 11.</w:t>
      </w:r>
      <w:r w:rsidRPr="005D727D">
        <w:rPr>
          <w:vertAlign w:val="superscript"/>
        </w:rPr>
        <w:t>7</w:t>
      </w:r>
      <w:r w:rsidR="009C4DE3">
        <w:t xml:space="preserve"> panta </w:t>
      </w:r>
      <w:r w:rsidRPr="005D727D">
        <w:t xml:space="preserve">piektajā daļā noteiktajam. </w:t>
      </w:r>
    </w:p>
    <w:p w14:paraId="60F83D73" w14:textId="7F7FBCF9" w:rsidR="005D727D" w:rsidRPr="005D727D" w:rsidRDefault="009C4DE3" w:rsidP="005D727D">
      <w:pPr>
        <w:ind w:firstLine="720"/>
        <w:rPr>
          <w:u w:val="single"/>
        </w:rPr>
      </w:pPr>
      <w:r>
        <w:t>Vienlaikus, ņemot vērā l</w:t>
      </w:r>
      <w:r w:rsidR="005D727D" w:rsidRPr="005D727D">
        <w:t>ikuma 11.</w:t>
      </w:r>
      <w:r w:rsidR="005D727D" w:rsidRPr="005D727D">
        <w:rPr>
          <w:vertAlign w:val="superscript"/>
        </w:rPr>
        <w:t>7</w:t>
      </w:r>
      <w:r>
        <w:t> </w:t>
      </w:r>
      <w:r w:rsidR="005D727D" w:rsidRPr="005D727D">
        <w:t>panta piektās d</w:t>
      </w:r>
      <w:r>
        <w:t xml:space="preserve">aļas redakciju, no anotācijas I sadaļas 2. punktā </w:t>
      </w:r>
      <w:r w:rsidR="005D727D" w:rsidRPr="005D727D">
        <w:t>ietvertās informācijas nav saprotams, kas domāts ar formulējumu "tās mērķis bija novērst iespējamu nodokļu plānošanu, ja maksātājam pieder nekustamais īpašums, kura sastāvā ir gan lauksaimniecības zeme, gan ēkas". Līdz ar to tiesiskas skaidrības nodrošināšanai būtu anotācijā pre</w:t>
      </w:r>
      <w:r w:rsidR="0090763C">
        <w:t>cizējams skaidrojums par l</w:t>
      </w:r>
      <w:r w:rsidR="005D727D" w:rsidRPr="005D727D">
        <w:t>ikuma 11.</w:t>
      </w:r>
      <w:r w:rsidR="005D727D" w:rsidRPr="005D727D">
        <w:rPr>
          <w:vertAlign w:val="superscript"/>
        </w:rPr>
        <w:t>7</w:t>
      </w:r>
      <w:r w:rsidR="005D727D" w:rsidRPr="005D727D">
        <w:t xml:space="preserve"> panta piektās daļas mērķi. Papildus minētajam nepieciešams anotācijā arī sk</w:t>
      </w:r>
      <w:r>
        <w:t>aidrot, kādā veidā, papildinot noteikumus</w:t>
      </w:r>
      <w:r w:rsidR="005D727D" w:rsidRPr="005D727D">
        <w:t xml:space="preserve"> ar 80.</w:t>
      </w:r>
      <w:r w:rsidR="005D727D" w:rsidRPr="005D727D">
        <w:rPr>
          <w:vertAlign w:val="superscript"/>
        </w:rPr>
        <w:t>1</w:t>
      </w:r>
      <w:r>
        <w:t> </w:t>
      </w:r>
      <w:r w:rsidR="005D727D" w:rsidRPr="005D727D">
        <w:t>punktu, tiks nodro</w:t>
      </w:r>
      <w:r>
        <w:t>šināta taisnīga un vienveidīga l</w:t>
      </w:r>
      <w:r w:rsidR="005D727D" w:rsidRPr="005D727D">
        <w:t>ikuma normu piemērošana.</w:t>
      </w:r>
    </w:p>
    <w:p w14:paraId="2D2E18B3" w14:textId="5298E106" w:rsidR="005D727D" w:rsidRDefault="005D727D" w:rsidP="002A439B">
      <w:r>
        <w:tab/>
        <w:t>3. </w:t>
      </w:r>
      <w:r w:rsidR="009C4DE3">
        <w:t>Anotācijas I sadaļas 2. punktā</w:t>
      </w:r>
      <w:r w:rsidRPr="005D727D">
        <w:t xml:space="preserve"> skaidrots, ka viennozī</w:t>
      </w:r>
      <w:r w:rsidR="009C4DE3">
        <w:t>mīgas izpratnes nodrošināšanai noteikumi</w:t>
      </w:r>
      <w:r w:rsidRPr="005D727D">
        <w:t xml:space="preserve"> tiek papildināti ar 88.</w:t>
      </w:r>
      <w:r w:rsidRPr="005D727D">
        <w:rPr>
          <w:vertAlign w:val="superscript"/>
        </w:rPr>
        <w:t>1</w:t>
      </w:r>
      <w:r w:rsidR="009C4DE3">
        <w:t> </w:t>
      </w:r>
      <w:r w:rsidRPr="005D727D">
        <w:t>punktu, nosakot,</w:t>
      </w:r>
      <w:r w:rsidR="009C4DE3">
        <w:t xml:space="preserve"> ka,</w:t>
      </w:r>
      <w:r w:rsidRPr="005D727D">
        <w:t xml:space="preserve"> ja kapitāla aktīvs iegūts uz atcēlēja līguma pamata un atcēlēja līgumā nav norādīta tā vērtība, šī kapitāla aktīva iegādes vērtība ir vērtība, par kādu kapitāla aktīvs iegūts pirms atceltā at</w:t>
      </w:r>
      <w:r w:rsidR="002A439B">
        <w:t>savināšanas līguma noslēgšanas. Ņ</w:t>
      </w:r>
      <w:r w:rsidRPr="005D727D">
        <w:t xml:space="preserve">emot vērā, </w:t>
      </w:r>
      <w:r w:rsidR="002A439B">
        <w:t>ka atbilstoši Civillikuma 1865. </w:t>
      </w:r>
      <w:r w:rsidRPr="005D727D">
        <w:t xml:space="preserve">panta otrajai daļai, </w:t>
      </w:r>
      <w:r w:rsidRPr="002A439B">
        <w:t>ja līgums ir pilnīgi vai pa daļai izpildīts</w:t>
      </w:r>
      <w:r w:rsidRPr="005D727D">
        <w:t>, tad atcēlējs līgums, ciktāl ar to norunāts izpildījumu atdot atpakaļ, nodibina jaunu pr</w:t>
      </w:r>
      <w:r w:rsidR="0090763C">
        <w:t>asījumu un, ka tādējādi atcēlējs</w:t>
      </w:r>
      <w:r w:rsidRPr="005D727D">
        <w:t xml:space="preserve"> līgums nodibina pilnīgi ja</w:t>
      </w:r>
      <w:r w:rsidR="002A439B">
        <w:t>unu saistību,</w:t>
      </w:r>
      <w:r w:rsidRPr="005D727D">
        <w:t xml:space="preserve"> īpašuma tiesību periods ir nosakāms no dienas, kad nekustamais īpašums ir reģistrēts zemesgrāmatā kā personas īpašums. </w:t>
      </w:r>
      <w:r w:rsidR="002A439B">
        <w:t>Tieslietu ministrijas ieskatā noteikumu</w:t>
      </w:r>
      <w:r w:rsidRPr="005D727D">
        <w:t xml:space="preserve"> papildināšana ar 88.</w:t>
      </w:r>
      <w:r w:rsidR="002A439B">
        <w:rPr>
          <w:vertAlign w:val="superscript"/>
        </w:rPr>
        <w:t>1</w:t>
      </w:r>
      <w:r w:rsidR="002A439B">
        <w:t> punktu (projekta 1.10. </w:t>
      </w:r>
      <w:r w:rsidRPr="005D727D">
        <w:t xml:space="preserve">apakšpunkts) </w:t>
      </w:r>
      <w:r w:rsidRPr="002A439B">
        <w:t>nenodrošina</w:t>
      </w:r>
      <w:r w:rsidR="002A439B">
        <w:t xml:space="preserve"> viennozīmīgu izpratni par l</w:t>
      </w:r>
      <w:r w:rsidRPr="002A439B">
        <w:t>ikuma normu piemērošanu</w:t>
      </w:r>
      <w:r w:rsidRPr="005D727D">
        <w:t>, jo ne no a</w:t>
      </w:r>
      <w:r w:rsidR="002A439B">
        <w:t>notācijas, ne no projekta 1.10. </w:t>
      </w:r>
      <w:r w:rsidRPr="005D727D">
        <w:t>apakšpunkta nav v</w:t>
      </w:r>
      <w:r w:rsidR="002A439B">
        <w:t>iennozīmīgi secināms, uz kurām likuma normām būs attiecināms noteikumu</w:t>
      </w:r>
      <w:r w:rsidRPr="005D727D">
        <w:t> 88.</w:t>
      </w:r>
      <w:r w:rsidRPr="005D727D">
        <w:rPr>
          <w:vertAlign w:val="superscript"/>
        </w:rPr>
        <w:t>1</w:t>
      </w:r>
      <w:r w:rsidR="002A439B">
        <w:t> </w:t>
      </w:r>
      <w:r w:rsidRPr="005D727D">
        <w:t xml:space="preserve">punkts, kā arī, kā nosakāma kapitāla aktīva iegādes vērtība, </w:t>
      </w:r>
      <w:r w:rsidR="002A439B">
        <w:t>ja atbilstoši Civillikuma 1865. </w:t>
      </w:r>
      <w:r w:rsidRPr="005D727D">
        <w:t xml:space="preserve">panta pirmajai daļai ar atcēlēja līgumu tiek atcelts līgums, </w:t>
      </w:r>
      <w:r w:rsidRPr="002A439B">
        <w:t>kas nav vēl izpildīts ne pilnīgi, ne pa daļai.</w:t>
      </w:r>
      <w:r w:rsidR="000E4AF4">
        <w:t xml:space="preserve"> Ņemot vērā minēto, lūdzam papildināt anotāciju ar atbilstošu skaidrojumu un nepieciešamības gadījumā precizēt projekta 1.10. apakšpunktā ietverto noteikumu 88.</w:t>
      </w:r>
      <w:r w:rsidR="000E4AF4">
        <w:rPr>
          <w:vertAlign w:val="superscript"/>
        </w:rPr>
        <w:t>1</w:t>
      </w:r>
      <w:r w:rsidR="000E4AF4">
        <w:t> punktu.</w:t>
      </w:r>
    </w:p>
    <w:p w14:paraId="0A031FAD" w14:textId="0ECE88E4" w:rsidR="000E4AF4" w:rsidRPr="000E4AF4" w:rsidRDefault="000E4AF4" w:rsidP="002A439B">
      <w:r>
        <w:tab/>
        <w:t xml:space="preserve">4. Projekta 1.21. apakšpunkts paredz noteikumu 140. punktā precizēt iestādes, kurai noteikumu 140. punktā paredzēts pienākums, nosaukumu. Vēršam uzmanību, ka Ministru kabineta 2020. gada 1. aprīļa rīkojuma Nr. 151 </w:t>
      </w:r>
      <w:r w:rsidRPr="000E4AF4">
        <w:t>"Par Izglītības un zinātnes ministrijas padotībā esošo valsts pārvaldes iestāžu reorganizāciju un likvidāciju"</w:t>
      </w:r>
      <w:r>
        <w:t xml:space="preserve"> 1.2. apakšpunkts paredz ar 2020. gada 1. </w:t>
      </w:r>
      <w:r w:rsidRPr="000E4AF4">
        <w:t>jūliju likvidēt Studi</w:t>
      </w:r>
      <w:r>
        <w:t>ju un zinātnes administrāciju, nododot ar studējošo kreditēšanu saistītās funkcijas</w:t>
      </w:r>
      <w:r w:rsidRPr="000E4AF4">
        <w:t xml:space="preserve"> Valsts izglītības attī</w:t>
      </w:r>
      <w:r>
        <w:t>stības aģentūrai</w:t>
      </w:r>
      <w:r w:rsidRPr="000E4AF4">
        <w:t>.</w:t>
      </w:r>
      <w:r>
        <w:t xml:space="preserve"> Ņemot vērā minēto, lūdzam izvērtēt iespēju projekta 1.21. apakšpunktā noteikt iestādi, kas no 2020. gada 1. jūlija veiks attiecīgo uzdevumu.</w:t>
      </w:r>
    </w:p>
    <w:p w14:paraId="610332B3" w14:textId="373BE458" w:rsidR="005D727D" w:rsidRDefault="005D727D" w:rsidP="005D727D">
      <w:r>
        <w:tab/>
        <w:t>Vienlaikus izsakām šādus priekšlikumus:</w:t>
      </w:r>
    </w:p>
    <w:p w14:paraId="0FB3DB0A" w14:textId="731EF984" w:rsidR="005D727D" w:rsidRDefault="005D727D" w:rsidP="005D727D">
      <w:r>
        <w:tab/>
        <w:t>1. </w:t>
      </w:r>
      <w:r w:rsidR="002A439B">
        <w:rPr>
          <w:iCs/>
        </w:rPr>
        <w:t>Projekta 1.12. apakšpunktā paredzēts likuma 13. panta pirmās daļas 1. </w:t>
      </w:r>
      <w:r w:rsidRPr="005D727D">
        <w:rPr>
          <w:iCs/>
        </w:rPr>
        <w:t xml:space="preserve">punkta attiecīgos apakšpunktus piemērot arī attiecībā uz </w:t>
      </w:r>
      <w:r w:rsidRPr="002A439B">
        <w:rPr>
          <w:iCs/>
        </w:rPr>
        <w:t xml:space="preserve">audžuģimenē </w:t>
      </w:r>
      <w:r w:rsidRPr="005D727D">
        <w:rPr>
          <w:iCs/>
        </w:rPr>
        <w:t>ievietoto bērnu. Vēršam uzmanību, ka saskaņā ar Bērnu tiesību aizsardzības likumu un uz tā pamata izd</w:t>
      </w:r>
      <w:r w:rsidR="002A439B">
        <w:rPr>
          <w:iCs/>
        </w:rPr>
        <w:t>otajiem Ministru kabineta 2018. gada 26. </w:t>
      </w:r>
      <w:r w:rsidRPr="005D727D">
        <w:rPr>
          <w:iCs/>
        </w:rPr>
        <w:t>jūnija noteikumiem Nr.</w:t>
      </w:r>
      <w:r w:rsidR="002A439B">
        <w:rPr>
          <w:iCs/>
        </w:rPr>
        <w:t> </w:t>
      </w:r>
      <w:r w:rsidRPr="005D727D">
        <w:rPr>
          <w:iCs/>
        </w:rPr>
        <w:t xml:space="preserve">354 "Audžuģimenes noteikumi" atsevišķi tiek nodalīti termini </w:t>
      </w:r>
      <w:r w:rsidRPr="002A439B">
        <w:rPr>
          <w:iCs/>
        </w:rPr>
        <w:t>"audžuģimene"</w:t>
      </w:r>
      <w:r w:rsidRPr="005D727D">
        <w:rPr>
          <w:iCs/>
        </w:rPr>
        <w:t xml:space="preserve"> (</w:t>
      </w:r>
      <w:r w:rsidRPr="005D727D">
        <w:t xml:space="preserve">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 un </w:t>
      </w:r>
      <w:r w:rsidRPr="002A439B">
        <w:t>"specializētā audžuģimen</w:t>
      </w:r>
      <w:r w:rsidRPr="002A439B">
        <w:rPr>
          <w:iCs/>
        </w:rPr>
        <w:t>e"</w:t>
      </w:r>
      <w:r w:rsidRPr="005D727D">
        <w:rPr>
          <w:iCs/>
        </w:rPr>
        <w:t xml:space="preserve"> (</w:t>
      </w:r>
      <w:r w:rsidRPr="005D727D">
        <w:t xml:space="preserve">audžuģimene, kas nodrošina aprūpi noteiktas </w:t>
      </w:r>
      <w:proofErr w:type="spellStart"/>
      <w:r w:rsidRPr="005D727D">
        <w:t>mērķgrupas</w:t>
      </w:r>
      <w:proofErr w:type="spellEnd"/>
      <w:r w:rsidRPr="005D727D">
        <w:t xml:space="preserve"> bērnam, kuram ir nepieciešama īpaša aprūpe). Ņemot vērā minēto, tiesiskās skaidrības nodrošināšanai lūdzam anotācijā skaidrot, vai projekta 1.12.</w:t>
      </w:r>
      <w:r w:rsidR="002A439B">
        <w:t> </w:t>
      </w:r>
      <w:r w:rsidRPr="005D727D">
        <w:t xml:space="preserve">apakšpunkts attiecināms arī uz </w:t>
      </w:r>
      <w:r w:rsidRPr="002A439B">
        <w:t xml:space="preserve">specializēto </w:t>
      </w:r>
      <w:r w:rsidRPr="005D727D">
        <w:t xml:space="preserve">audžuģimeni, nepieciešamības gadījumā </w:t>
      </w:r>
      <w:r w:rsidRPr="005D727D">
        <w:lastRenderedPageBreak/>
        <w:t>precizējot projekta 1.12.</w:t>
      </w:r>
      <w:r w:rsidR="002A439B">
        <w:t> </w:t>
      </w:r>
      <w:r w:rsidRPr="005D727D">
        <w:t>apakšpunktu.</w:t>
      </w:r>
    </w:p>
    <w:p w14:paraId="7CC528E7" w14:textId="69CE3D06" w:rsidR="00671CAF" w:rsidRDefault="005D727D" w:rsidP="00834D1C">
      <w:r>
        <w:tab/>
        <w:t>2. </w:t>
      </w:r>
      <w:r w:rsidRPr="005D727D">
        <w:rPr>
          <w:iCs/>
        </w:rPr>
        <w:t>Ņemot vērā, ka Ministru kabinet</w:t>
      </w:r>
      <w:r w:rsidR="002A439B">
        <w:rPr>
          <w:iCs/>
        </w:rPr>
        <w:t>a 2010. gada 7. </w:t>
      </w:r>
      <w:r w:rsidRPr="005D727D">
        <w:rPr>
          <w:iCs/>
        </w:rPr>
        <w:t>septembra noteikumos Nr.</w:t>
      </w:r>
      <w:r w:rsidR="002A439B">
        <w:rPr>
          <w:iCs/>
        </w:rPr>
        <w:t> </w:t>
      </w:r>
      <w:r w:rsidRPr="005D727D">
        <w:rPr>
          <w:iCs/>
        </w:rPr>
        <w:t>827 "</w:t>
      </w:r>
      <w:r w:rsidRPr="005D727D">
        <w:t>Noteikumi par valsts sociālās apdrošināšanas obligāto iemaksu veicēju reģistrāciju un ziņojumiem par valsts sociālās apdrošināšanas obligātajām iemaksām un iedzīvotāju ienāku</w:t>
      </w:r>
      <w:r w:rsidR="002A439B">
        <w:t>ma nodokli" nav norādīts to 3. </w:t>
      </w:r>
      <w:r w:rsidRPr="005D727D">
        <w:t xml:space="preserve">pielikumā minētā ziņojuma iesniegšanas termiņš (tas ir norādīts </w:t>
      </w:r>
      <w:r w:rsidR="008A1ADB">
        <w:t>2019. gada 23. maija likumā</w:t>
      </w:r>
      <w:r w:rsidRPr="005D727D">
        <w:t xml:space="preserve"> </w:t>
      </w:r>
      <w:r w:rsidR="008A1ADB" w:rsidRPr="005D727D">
        <w:t>"</w:t>
      </w:r>
      <w:r w:rsidR="008A1ADB">
        <w:t xml:space="preserve">Grozījumi likumā </w:t>
      </w:r>
      <w:r w:rsidRPr="005D727D">
        <w:t>"Par iedzīvotāju ienākuma nodokli"</w:t>
      </w:r>
      <w:r w:rsidR="008A1ADB" w:rsidRPr="005D727D">
        <w:t>"</w:t>
      </w:r>
      <w:r w:rsidRPr="005D727D">
        <w:t>, kas stāsies spēkā</w:t>
      </w:r>
      <w:r w:rsidR="008A1ADB">
        <w:rPr>
          <w:iCs/>
        </w:rPr>
        <w:t xml:space="preserve"> 2021. gada 1. </w:t>
      </w:r>
      <w:r w:rsidRPr="005D727D">
        <w:rPr>
          <w:iCs/>
        </w:rPr>
        <w:t>janvārī), lūdzam redak</w:t>
      </w:r>
      <w:r w:rsidR="002A439B">
        <w:rPr>
          <w:iCs/>
        </w:rPr>
        <w:t>cionāli precizēt projekta 1.14. </w:t>
      </w:r>
      <w:r w:rsidRPr="005D727D">
        <w:rPr>
          <w:iCs/>
        </w:rPr>
        <w:t xml:space="preserve">apakšpunktu, kā arī papildināt anotāciju ar pamatojumu </w:t>
      </w:r>
      <w:r w:rsidR="002A439B">
        <w:t>n</w:t>
      </w:r>
      <w:r w:rsidRPr="005D727D">
        <w:t>o</w:t>
      </w:r>
      <w:r w:rsidR="002A439B">
        <w:t xml:space="preserve">teikumu </w:t>
      </w:r>
      <w:r w:rsidRPr="005D727D">
        <w:t>papildināšanai ar 98.</w:t>
      </w:r>
      <w:r w:rsidRPr="005D727D">
        <w:rPr>
          <w:vertAlign w:val="superscript"/>
        </w:rPr>
        <w:t>1</w:t>
      </w:r>
      <w:r w:rsidR="002A439B">
        <w:t> </w:t>
      </w:r>
      <w:r w:rsidRPr="005D727D">
        <w:t>punktu.</w:t>
      </w:r>
    </w:p>
    <w:p w14:paraId="164CC2F6" w14:textId="22BE7E52" w:rsidR="00EC4D54" w:rsidRDefault="005D727D" w:rsidP="005D727D">
      <w:r>
        <w:tab/>
        <w:t>3. </w:t>
      </w:r>
      <w:r w:rsidR="00EC4D54">
        <w:t>Ņemot vērā to, ka noteikumu punkti var tikt grozīti vairākkārtīgi, lūdzam projekta 1.22. apakšpunktā ietvertajā noteikumu 146. punktā norādīt, ar ko ir saistīti grozījumi, kuri stāsies spēkā 2021. gada 1. janvārī.</w:t>
      </w:r>
    </w:p>
    <w:p w14:paraId="43744744" w14:textId="27A764E9" w:rsidR="00EC4D54" w:rsidRDefault="00EC4D54" w:rsidP="00EC4D54">
      <w:pPr>
        <w:rPr>
          <w:iCs/>
        </w:rPr>
      </w:pPr>
      <w:r>
        <w:rPr>
          <w:iCs/>
        </w:rPr>
        <w:tab/>
        <w:t>4. </w:t>
      </w:r>
      <w:r w:rsidR="008A1ADB">
        <w:rPr>
          <w:iCs/>
        </w:rPr>
        <w:t>Lūdzam precizēt a</w:t>
      </w:r>
      <w:r>
        <w:rPr>
          <w:iCs/>
        </w:rPr>
        <w:t>notācijas III </w:t>
      </w:r>
      <w:r w:rsidR="008A1ADB">
        <w:rPr>
          <w:iCs/>
        </w:rPr>
        <w:t>sadaļā norādītos kalendāros gadus</w:t>
      </w:r>
      <w:r w:rsidRPr="005D727D">
        <w:rPr>
          <w:iCs/>
        </w:rPr>
        <w:t>.</w:t>
      </w:r>
    </w:p>
    <w:p w14:paraId="6ACD9B47" w14:textId="35BE6F83" w:rsidR="00834D1C" w:rsidRPr="005D727D" w:rsidRDefault="00EC4D54" w:rsidP="008A1ADB">
      <w:pPr>
        <w:ind w:firstLine="720"/>
        <w:rPr>
          <w:iCs/>
        </w:rPr>
      </w:pPr>
      <w:r>
        <w:rPr>
          <w:iCs/>
        </w:rPr>
        <w:t>5. </w:t>
      </w:r>
      <w:r>
        <w:t>Lūdzam projektu noformēt</w:t>
      </w:r>
      <w:r w:rsidRPr="005D727D">
        <w:t xml:space="preserve"> atb</w:t>
      </w:r>
      <w:r>
        <w:t>ilstoši Ministru kabineta 2009. gada 3. </w:t>
      </w:r>
      <w:r w:rsidRPr="005D727D">
        <w:t>februāra not</w:t>
      </w:r>
      <w:r w:rsidR="00B26B5F">
        <w:t>e</w:t>
      </w:r>
      <w:r w:rsidRPr="005D727D">
        <w:t>ikumu Nr.</w:t>
      </w:r>
      <w:r>
        <w:t> </w:t>
      </w:r>
      <w:r w:rsidRPr="005D727D">
        <w:t>108 "Normatīvo aktu projektu sagatavošanas noteikumi"</w:t>
      </w:r>
      <w:r w:rsidRPr="005D727D">
        <w:rPr>
          <w:b/>
          <w:bCs/>
        </w:rPr>
        <w:t xml:space="preserve"> </w:t>
      </w:r>
      <w:r>
        <w:t>110.2. apakšpunktā noteiktajam.</w:t>
      </w:r>
    </w:p>
    <w:p w14:paraId="09B50ADF" w14:textId="25D1DB15" w:rsidR="00834D1C" w:rsidRDefault="00834D1C" w:rsidP="00834D1C"/>
    <w:p w14:paraId="7ECE8420" w14:textId="77777777" w:rsidR="00EF1E76" w:rsidRDefault="00EF1E76" w:rsidP="00834D1C"/>
    <w:p w14:paraId="17700030" w14:textId="77777777" w:rsidR="00834D1C" w:rsidRDefault="00834D1C" w:rsidP="00834D1C">
      <w:r>
        <w:t>Valsts sekretāra vietniece</w:t>
      </w:r>
    </w:p>
    <w:p w14:paraId="1079917B" w14:textId="7E2E7FC9" w:rsidR="00834D1C" w:rsidRDefault="00834D1C" w:rsidP="00834D1C">
      <w:r>
        <w:t>tiesību politikas jautājumos</w:t>
      </w:r>
      <w:r>
        <w:tab/>
      </w:r>
      <w:r>
        <w:tab/>
      </w:r>
      <w:r>
        <w:tab/>
      </w:r>
      <w:r>
        <w:tab/>
      </w:r>
      <w:r>
        <w:tab/>
      </w:r>
      <w:r>
        <w:tab/>
      </w:r>
      <w:r>
        <w:tab/>
      </w:r>
      <w:r>
        <w:tab/>
        <w:t>Laila Medina</w:t>
      </w:r>
    </w:p>
    <w:p w14:paraId="58E9413F" w14:textId="0778F837" w:rsidR="00834D1C" w:rsidRDefault="00834D1C" w:rsidP="00834D1C"/>
    <w:p w14:paraId="46D6FFCA" w14:textId="411FCFDC" w:rsidR="00834D1C" w:rsidRDefault="00834D1C" w:rsidP="00834D1C"/>
    <w:p w14:paraId="5AFF8492" w14:textId="77777777" w:rsidR="00834D1C" w:rsidRPr="00834D1C" w:rsidRDefault="00834D1C" w:rsidP="00834D1C">
      <w:pPr>
        <w:rPr>
          <w:sz w:val="20"/>
          <w:szCs w:val="20"/>
        </w:rPr>
      </w:pPr>
      <w:r w:rsidRPr="00834D1C">
        <w:rPr>
          <w:sz w:val="20"/>
          <w:szCs w:val="20"/>
        </w:rPr>
        <w:t>Linda Upīte</w:t>
      </w:r>
    </w:p>
    <w:p w14:paraId="178DB5B3" w14:textId="77777777" w:rsidR="00834D1C" w:rsidRPr="00834D1C" w:rsidRDefault="00834D1C" w:rsidP="00834D1C">
      <w:pPr>
        <w:rPr>
          <w:sz w:val="20"/>
          <w:szCs w:val="20"/>
        </w:rPr>
      </w:pPr>
      <w:r w:rsidRPr="00834D1C">
        <w:rPr>
          <w:sz w:val="20"/>
          <w:szCs w:val="20"/>
        </w:rPr>
        <w:t>Valststiesību departamenta</w:t>
      </w:r>
    </w:p>
    <w:p w14:paraId="328053A5" w14:textId="77777777" w:rsidR="00834D1C" w:rsidRPr="00834D1C" w:rsidRDefault="00834D1C" w:rsidP="00834D1C">
      <w:pPr>
        <w:rPr>
          <w:sz w:val="20"/>
          <w:szCs w:val="20"/>
        </w:rPr>
      </w:pPr>
      <w:r w:rsidRPr="00834D1C">
        <w:rPr>
          <w:sz w:val="20"/>
          <w:szCs w:val="20"/>
        </w:rPr>
        <w:t>Administratīvo tiesību nodaļas juriste</w:t>
      </w:r>
    </w:p>
    <w:p w14:paraId="7C75FED7" w14:textId="02E23966" w:rsidR="00834D1C" w:rsidRDefault="00834D1C" w:rsidP="00834D1C">
      <w:pPr>
        <w:rPr>
          <w:rStyle w:val="Hyperlink"/>
          <w:sz w:val="20"/>
          <w:szCs w:val="20"/>
        </w:rPr>
      </w:pPr>
      <w:bookmarkStart w:id="0" w:name="OLE_LINK2"/>
      <w:bookmarkStart w:id="1" w:name="OLE_LINK3"/>
      <w:r w:rsidRPr="00834D1C">
        <w:rPr>
          <w:sz w:val="20"/>
          <w:szCs w:val="20"/>
        </w:rPr>
        <w:t>67046102</w:t>
      </w:r>
      <w:bookmarkEnd w:id="0"/>
      <w:bookmarkEnd w:id="1"/>
      <w:r w:rsidRPr="00834D1C">
        <w:rPr>
          <w:sz w:val="20"/>
          <w:szCs w:val="20"/>
        </w:rPr>
        <w:t xml:space="preserve">, </w:t>
      </w:r>
      <w:hyperlink r:id="rId7" w:history="1">
        <w:r w:rsidR="00703F79" w:rsidRPr="004F356D">
          <w:rPr>
            <w:rStyle w:val="Hyperlink"/>
            <w:sz w:val="20"/>
            <w:szCs w:val="20"/>
          </w:rPr>
          <w:t>Linda.Upite@tm.gov.lv</w:t>
        </w:r>
      </w:hyperlink>
    </w:p>
    <w:p w14:paraId="4F47E35E" w14:textId="77777777" w:rsidR="005D727D" w:rsidRDefault="005D727D" w:rsidP="00834D1C">
      <w:pPr>
        <w:rPr>
          <w:rStyle w:val="Hyperlink"/>
          <w:sz w:val="20"/>
          <w:szCs w:val="20"/>
        </w:rPr>
      </w:pPr>
    </w:p>
    <w:p w14:paraId="08405588" w14:textId="407A99A5" w:rsidR="005D727D" w:rsidRPr="00834D1C" w:rsidRDefault="005D727D" w:rsidP="005D727D">
      <w:pPr>
        <w:rPr>
          <w:sz w:val="20"/>
          <w:szCs w:val="20"/>
        </w:rPr>
      </w:pPr>
      <w:r>
        <w:rPr>
          <w:sz w:val="20"/>
          <w:szCs w:val="20"/>
        </w:rPr>
        <w:t xml:space="preserve">Sandris </w:t>
      </w:r>
      <w:proofErr w:type="spellStart"/>
      <w:r>
        <w:rPr>
          <w:sz w:val="20"/>
          <w:szCs w:val="20"/>
        </w:rPr>
        <w:t>Rāgs</w:t>
      </w:r>
      <w:proofErr w:type="spellEnd"/>
    </w:p>
    <w:p w14:paraId="271DF968" w14:textId="4323DC48" w:rsidR="005D727D" w:rsidRPr="00834D1C" w:rsidRDefault="005D727D" w:rsidP="005D727D">
      <w:pPr>
        <w:rPr>
          <w:sz w:val="20"/>
          <w:szCs w:val="20"/>
        </w:rPr>
      </w:pPr>
      <w:r>
        <w:rPr>
          <w:sz w:val="20"/>
          <w:szCs w:val="20"/>
        </w:rPr>
        <w:t>Civil</w:t>
      </w:r>
      <w:r w:rsidRPr="00834D1C">
        <w:rPr>
          <w:sz w:val="20"/>
          <w:szCs w:val="20"/>
        </w:rPr>
        <w:t>tiesību departamenta</w:t>
      </w:r>
    </w:p>
    <w:p w14:paraId="43F5CAB2" w14:textId="737CD933" w:rsidR="005D727D" w:rsidRPr="00834D1C" w:rsidRDefault="005D727D" w:rsidP="005D727D">
      <w:pPr>
        <w:rPr>
          <w:sz w:val="20"/>
          <w:szCs w:val="20"/>
        </w:rPr>
      </w:pPr>
      <w:r>
        <w:rPr>
          <w:sz w:val="20"/>
          <w:szCs w:val="20"/>
        </w:rPr>
        <w:t>Vispārējo civil</w:t>
      </w:r>
      <w:r w:rsidRPr="00834D1C">
        <w:rPr>
          <w:sz w:val="20"/>
          <w:szCs w:val="20"/>
        </w:rPr>
        <w:t xml:space="preserve">tiesību nodaļas </w:t>
      </w:r>
      <w:r>
        <w:rPr>
          <w:sz w:val="20"/>
          <w:szCs w:val="20"/>
        </w:rPr>
        <w:t>jurists</w:t>
      </w:r>
    </w:p>
    <w:p w14:paraId="13EA669E" w14:textId="608A33FC" w:rsidR="005D727D" w:rsidRPr="00834D1C" w:rsidRDefault="005D727D" w:rsidP="00834D1C">
      <w:pPr>
        <w:rPr>
          <w:sz w:val="20"/>
          <w:szCs w:val="20"/>
        </w:rPr>
      </w:pPr>
      <w:r>
        <w:rPr>
          <w:sz w:val="20"/>
          <w:szCs w:val="20"/>
        </w:rPr>
        <w:t>67036974</w:t>
      </w:r>
      <w:r w:rsidRPr="00834D1C">
        <w:rPr>
          <w:sz w:val="20"/>
          <w:szCs w:val="20"/>
        </w:rPr>
        <w:t xml:space="preserve">, </w:t>
      </w:r>
      <w:hyperlink r:id="rId8" w:history="1">
        <w:r w:rsidRPr="00795DF9">
          <w:rPr>
            <w:rStyle w:val="Hyperlink"/>
            <w:sz w:val="20"/>
            <w:szCs w:val="20"/>
          </w:rPr>
          <w:t>Sandris.Rags@tm.gov.lv</w:t>
        </w:r>
      </w:hyperlink>
    </w:p>
    <w:sectPr w:rsidR="005D727D" w:rsidRPr="00834D1C" w:rsidSect="00A34ACB">
      <w:headerReference w:type="default"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4B20" w14:textId="77777777" w:rsidR="00503A72" w:rsidRDefault="00503A72">
      <w:r>
        <w:separator/>
      </w:r>
    </w:p>
  </w:endnote>
  <w:endnote w:type="continuationSeparator" w:id="0">
    <w:p w14:paraId="5A5FDB4A" w14:textId="77777777" w:rsidR="00503A72" w:rsidRDefault="0050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7DFC" w14:textId="3CA89A46" w:rsidR="005D727D" w:rsidRPr="005D727D" w:rsidRDefault="00242BC3">
    <w:pPr>
      <w:pStyle w:val="Footer"/>
      <w:rPr>
        <w:sz w:val="20"/>
        <w:szCs w:val="20"/>
      </w:rPr>
    </w:pPr>
    <w:r>
      <w:rPr>
        <w:sz w:val="20"/>
        <w:szCs w:val="20"/>
      </w:rPr>
      <w:t>TMatz_13</w:t>
    </w:r>
    <w:r w:rsidR="005D727D" w:rsidRPr="005D727D">
      <w:rPr>
        <w:sz w:val="20"/>
        <w:szCs w:val="20"/>
      </w:rPr>
      <w:t>0520_FM_VSS-346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3BF" w14:textId="64D413E9" w:rsidR="00834D1C" w:rsidRPr="00834D1C" w:rsidRDefault="00834D1C">
    <w:pPr>
      <w:pStyle w:val="Footer"/>
      <w:rPr>
        <w:sz w:val="20"/>
        <w:szCs w:val="20"/>
      </w:rPr>
    </w:pPr>
    <w:r w:rsidRPr="00834D1C">
      <w:rPr>
        <w:sz w:val="20"/>
        <w:szCs w:val="20"/>
      </w:rPr>
      <w:t>TM</w:t>
    </w:r>
    <w:r>
      <w:rPr>
        <w:sz w:val="20"/>
        <w:szCs w:val="20"/>
      </w:rPr>
      <w:t>a</w:t>
    </w:r>
    <w:r w:rsidRPr="00834D1C">
      <w:rPr>
        <w:sz w:val="20"/>
        <w:szCs w:val="20"/>
      </w:rPr>
      <w:t>tz_</w:t>
    </w:r>
    <w:r w:rsidR="00242BC3">
      <w:rPr>
        <w:sz w:val="20"/>
        <w:szCs w:val="20"/>
      </w:rPr>
      <w:t>13</w:t>
    </w:r>
    <w:r w:rsidR="005D727D">
      <w:rPr>
        <w:sz w:val="20"/>
        <w:szCs w:val="20"/>
      </w:rPr>
      <w:t>05</w:t>
    </w:r>
    <w:r w:rsidR="008F7866">
      <w:rPr>
        <w:sz w:val="20"/>
        <w:szCs w:val="20"/>
      </w:rPr>
      <w:t>20</w:t>
    </w:r>
    <w:r w:rsidRPr="00834D1C">
      <w:rPr>
        <w:sz w:val="20"/>
        <w:szCs w:val="20"/>
      </w:rPr>
      <w:t>_</w:t>
    </w:r>
    <w:r w:rsidR="005D727D">
      <w:rPr>
        <w:sz w:val="20"/>
        <w:szCs w:val="20"/>
      </w:rPr>
      <w:t>FM</w:t>
    </w:r>
    <w:r w:rsidRPr="00834D1C">
      <w:rPr>
        <w:sz w:val="20"/>
        <w:szCs w:val="20"/>
      </w:rPr>
      <w:t>_VSS</w:t>
    </w:r>
    <w:r w:rsidR="005D727D">
      <w:rPr>
        <w:sz w:val="20"/>
        <w:szCs w:val="20"/>
      </w:rPr>
      <w:t>-346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0AC9" w14:textId="77777777" w:rsidR="00503A72" w:rsidRDefault="00503A72">
      <w:r>
        <w:separator/>
      </w:r>
    </w:p>
  </w:footnote>
  <w:footnote w:type="continuationSeparator" w:id="0">
    <w:p w14:paraId="4D24EA74" w14:textId="77777777" w:rsidR="00503A72" w:rsidRDefault="0050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0A5A58F8" w14:textId="582CA9F2" w:rsidR="007B3740" w:rsidRDefault="007B3740">
        <w:pPr>
          <w:pStyle w:val="Header"/>
          <w:jc w:val="center"/>
        </w:pPr>
        <w:r>
          <w:fldChar w:fldCharType="begin"/>
        </w:r>
        <w:r>
          <w:instrText>PAGE   \* MERGEFORMAT</w:instrText>
        </w:r>
        <w:r>
          <w:fldChar w:fldCharType="separate"/>
        </w:r>
        <w:r w:rsidR="000D6A32">
          <w:rPr>
            <w:noProof/>
          </w:rPr>
          <w:t>3</w:t>
        </w:r>
        <w:r>
          <w:fldChar w:fldCharType="end"/>
        </w:r>
      </w:p>
    </w:sdtContent>
  </w:sdt>
  <w:p w14:paraId="0A5A58F9"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8FA" w14:textId="77777777" w:rsidR="00A34ACB" w:rsidRDefault="00A34ACB" w:rsidP="00A34ACB">
    <w:pPr>
      <w:pStyle w:val="Header"/>
    </w:pPr>
  </w:p>
  <w:p w14:paraId="0A5A58FB"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0A5A590C" wp14:editId="0A5A590D">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58FC" w14:textId="77777777" w:rsidR="00A34ACB" w:rsidRDefault="00A34ACB" w:rsidP="00A34ACB">
    <w:pPr>
      <w:pStyle w:val="Header"/>
    </w:pPr>
  </w:p>
  <w:p w14:paraId="0A5A58FD" w14:textId="77777777" w:rsidR="00A34ACB" w:rsidRDefault="00A34ACB" w:rsidP="00A34ACB">
    <w:pPr>
      <w:pStyle w:val="Header"/>
    </w:pPr>
  </w:p>
  <w:p w14:paraId="0A5A58FE" w14:textId="77777777" w:rsidR="00A34ACB" w:rsidRDefault="00A34ACB" w:rsidP="00A34ACB">
    <w:pPr>
      <w:pStyle w:val="Header"/>
    </w:pPr>
  </w:p>
  <w:p w14:paraId="0A5A58FF" w14:textId="77777777" w:rsidR="00A34ACB" w:rsidRDefault="00A34ACB" w:rsidP="00A34ACB">
    <w:pPr>
      <w:pStyle w:val="Header"/>
    </w:pPr>
  </w:p>
  <w:p w14:paraId="0A5A5900" w14:textId="77777777" w:rsidR="00A34ACB" w:rsidRDefault="00A34ACB" w:rsidP="00A34ACB">
    <w:pPr>
      <w:pStyle w:val="Header"/>
    </w:pPr>
  </w:p>
  <w:p w14:paraId="0A5A5901" w14:textId="77777777" w:rsidR="00A34ACB" w:rsidRDefault="00A34ACB" w:rsidP="00A34ACB">
    <w:pPr>
      <w:pStyle w:val="Header"/>
    </w:pPr>
  </w:p>
  <w:p w14:paraId="0A5A5902" w14:textId="77777777" w:rsidR="00A34ACB" w:rsidRDefault="00A34ACB" w:rsidP="00A34ACB">
    <w:pPr>
      <w:pStyle w:val="Header"/>
    </w:pPr>
  </w:p>
  <w:p w14:paraId="0A5A5903" w14:textId="77777777" w:rsidR="00A34ACB" w:rsidRDefault="00A34ACB" w:rsidP="00A34ACB">
    <w:pPr>
      <w:pStyle w:val="Header"/>
    </w:pPr>
  </w:p>
  <w:p w14:paraId="0A5A5904"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0A5A590E" wp14:editId="0A5A590F">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77777777"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590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filled="f" stroked="f">
              <v:textbox inset="0,0,0,0">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77777777"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A5A5910" wp14:editId="0A5A591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F30A6"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A5A5905" w14:textId="77777777" w:rsidR="00AB4E8A" w:rsidRPr="00C836FF" w:rsidRDefault="00AB4E8A" w:rsidP="00AB4E8A">
    <w:pPr>
      <w:jc w:val="center"/>
      <w:rPr>
        <w:szCs w:val="24"/>
      </w:rPr>
    </w:pPr>
    <w:r w:rsidRPr="00C836FF">
      <w:rPr>
        <w:szCs w:val="24"/>
      </w:rPr>
      <w:t>Rīgā</w:t>
    </w:r>
  </w:p>
  <w:p w14:paraId="0A5A5906" w14:textId="77777777" w:rsidR="00AB4E8A" w:rsidRPr="00C836FF" w:rsidRDefault="00AB4E8A"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0A5A590A" w14:textId="77777777" w:rsidTr="00A6153E">
      <w:tc>
        <w:tcPr>
          <w:tcW w:w="1810" w:type="dxa"/>
        </w:tcPr>
        <w:p w14:paraId="0A5A5907" w14:textId="77777777" w:rsidR="00E11DA3" w:rsidRDefault="00E11DA3" w:rsidP="00E11DA3">
          <w:pPr>
            <w:pStyle w:val="Header"/>
            <w:jc w:val="center"/>
            <w:rPr>
              <w:szCs w:val="24"/>
            </w:rPr>
          </w:pPr>
          <w:r>
            <w:t>13.05.2020</w:t>
          </w:r>
        </w:p>
      </w:tc>
      <w:tc>
        <w:tcPr>
          <w:tcW w:w="420" w:type="dxa"/>
          <w:tcBorders>
            <w:bottom w:val="nil"/>
          </w:tcBorders>
        </w:tcPr>
        <w:p w14:paraId="0A5A5908" w14:textId="77777777" w:rsidR="00E11DA3" w:rsidRDefault="00E11DA3" w:rsidP="00E11DA3">
          <w:pPr>
            <w:pStyle w:val="Header"/>
            <w:rPr>
              <w:szCs w:val="24"/>
            </w:rPr>
          </w:pPr>
          <w:r>
            <w:rPr>
              <w:szCs w:val="24"/>
            </w:rPr>
            <w:t xml:space="preserve"> Nr.</w:t>
          </w:r>
        </w:p>
      </w:tc>
      <w:tc>
        <w:tcPr>
          <w:tcW w:w="1890" w:type="dxa"/>
        </w:tcPr>
        <w:p w14:paraId="0A5A5909" w14:textId="77777777" w:rsidR="00E11DA3" w:rsidRDefault="00E11DA3" w:rsidP="00E11DA3">
          <w:pPr>
            <w:pStyle w:val="Header"/>
            <w:jc w:val="center"/>
            <w:rPr>
              <w:szCs w:val="24"/>
            </w:rPr>
          </w:pPr>
          <w:r>
            <w:t>1-9.1/489</w:t>
          </w:r>
        </w:p>
      </w:tc>
    </w:tr>
  </w:tbl>
  <w:p w14:paraId="0A5A590B" w14:textId="77777777" w:rsidR="00AB4E8A" w:rsidRPr="00C836FF" w:rsidRDefault="00AB4E8A"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47722"/>
    <w:rsid w:val="00091ABD"/>
    <w:rsid w:val="000A0D03"/>
    <w:rsid w:val="000D6A32"/>
    <w:rsid w:val="000E4AF4"/>
    <w:rsid w:val="000E7F03"/>
    <w:rsid w:val="00124173"/>
    <w:rsid w:val="00126BF9"/>
    <w:rsid w:val="00181C8D"/>
    <w:rsid w:val="00242BC3"/>
    <w:rsid w:val="00275B9E"/>
    <w:rsid w:val="002A439B"/>
    <w:rsid w:val="002B3077"/>
    <w:rsid w:val="002E1474"/>
    <w:rsid w:val="003108A3"/>
    <w:rsid w:val="00335032"/>
    <w:rsid w:val="00441F52"/>
    <w:rsid w:val="00493308"/>
    <w:rsid w:val="00503A72"/>
    <w:rsid w:val="00535564"/>
    <w:rsid w:val="00583DDB"/>
    <w:rsid w:val="005D727D"/>
    <w:rsid w:val="005E672B"/>
    <w:rsid w:val="00663C3A"/>
    <w:rsid w:val="006670D9"/>
    <w:rsid w:val="00671CAF"/>
    <w:rsid w:val="006C1639"/>
    <w:rsid w:val="006C6018"/>
    <w:rsid w:val="00703F79"/>
    <w:rsid w:val="00724680"/>
    <w:rsid w:val="00726E06"/>
    <w:rsid w:val="00747CCB"/>
    <w:rsid w:val="007704BD"/>
    <w:rsid w:val="007B3740"/>
    <w:rsid w:val="007B3BA5"/>
    <w:rsid w:val="007B48EC"/>
    <w:rsid w:val="007E0D0E"/>
    <w:rsid w:val="007E4D1F"/>
    <w:rsid w:val="00815277"/>
    <w:rsid w:val="00816499"/>
    <w:rsid w:val="00830970"/>
    <w:rsid w:val="00834D1C"/>
    <w:rsid w:val="0087450D"/>
    <w:rsid w:val="00876C21"/>
    <w:rsid w:val="00883533"/>
    <w:rsid w:val="008A1ADB"/>
    <w:rsid w:val="008A679D"/>
    <w:rsid w:val="008E3CED"/>
    <w:rsid w:val="008F7866"/>
    <w:rsid w:val="0090763C"/>
    <w:rsid w:val="00954D5A"/>
    <w:rsid w:val="0096342D"/>
    <w:rsid w:val="009722B2"/>
    <w:rsid w:val="009C4DE3"/>
    <w:rsid w:val="009D6B6A"/>
    <w:rsid w:val="00A34ACB"/>
    <w:rsid w:val="00A66827"/>
    <w:rsid w:val="00A934E6"/>
    <w:rsid w:val="00AB4E8A"/>
    <w:rsid w:val="00AC270F"/>
    <w:rsid w:val="00AC791C"/>
    <w:rsid w:val="00AD0F34"/>
    <w:rsid w:val="00AE555D"/>
    <w:rsid w:val="00AE5861"/>
    <w:rsid w:val="00AF10A5"/>
    <w:rsid w:val="00B26B5F"/>
    <w:rsid w:val="00B50C87"/>
    <w:rsid w:val="00BB087F"/>
    <w:rsid w:val="00C04896"/>
    <w:rsid w:val="00C255D9"/>
    <w:rsid w:val="00C47F57"/>
    <w:rsid w:val="00C836FF"/>
    <w:rsid w:val="00CF0967"/>
    <w:rsid w:val="00D21FA6"/>
    <w:rsid w:val="00D55B4B"/>
    <w:rsid w:val="00D7306F"/>
    <w:rsid w:val="00DF7177"/>
    <w:rsid w:val="00E11DA3"/>
    <w:rsid w:val="00E17180"/>
    <w:rsid w:val="00E365CE"/>
    <w:rsid w:val="00E40434"/>
    <w:rsid w:val="00E44743"/>
    <w:rsid w:val="00EC3533"/>
    <w:rsid w:val="00EC4D54"/>
    <w:rsid w:val="00EF1E76"/>
    <w:rsid w:val="00F2573B"/>
    <w:rsid w:val="00F60586"/>
    <w:rsid w:val="00FE07C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A58F1"/>
  <w15:docId w15:val="{4BFC1B25-592A-420F-918E-CCD77174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06"/>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4D1C"/>
    <w:rPr>
      <w:color w:val="605E5C"/>
      <w:shd w:val="clear" w:color="auto" w:fill="E1DFDD"/>
    </w:rPr>
  </w:style>
  <w:style w:type="paragraph" w:styleId="ListParagraph">
    <w:name w:val="List Paragraph"/>
    <w:basedOn w:val="Normal"/>
    <w:uiPriority w:val="34"/>
    <w:qFormat/>
    <w:rsid w:val="0058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dris.Rags@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Upite@t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5677</Words>
  <Characters>3236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2010. gada 21. septembra noteikumos Nr. 899 "Likuma "Par iedzīvotāju ienākuma nodokli" normu piemērošanas kārtība""</vt:lpstr>
      <vt:lpstr/>
    </vt:vector>
  </TitlesOfParts>
  <Company>Tieslietu Sektors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2010. gada 21. septembra noteikumos Nr. 899 "Likuma "Par iedzīvotāju ienākuma nodokli" normu piemērošanas kārtība""</dc:title>
  <dc:creator>Linda.Upite@tm.gov.lv</dc:creator>
  <dc:description>67046102,
Linda.Upite@tm.gov.lv</dc:description>
  <cp:lastModifiedBy>Irina Smirnova</cp:lastModifiedBy>
  <cp:revision>2</cp:revision>
  <cp:lastPrinted>2015-01-09T08:13:00Z</cp:lastPrinted>
  <dcterms:created xsi:type="dcterms:W3CDTF">2021-11-23T07:56:00Z</dcterms:created>
  <dcterms:modified xsi:type="dcterms:W3CDTF">2021-11-23T07:56:00Z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