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D9D0C0" w14:textId="77777777" w:rsidR="008255BA" w:rsidRDefault="003E52C2">
      <w:pPr>
        <w:spacing w:after="240"/>
        <w:jc w:val="center"/>
        <w:rPr>
          <w:b/>
        </w:rPr>
      </w:pPr>
      <w:bookmarkStart w:id="0" w:name="OLE_LINK66"/>
      <w:r>
        <w:rPr>
          <w:b/>
        </w:rPr>
        <w:t>Sabiedrības iebildumi un priekšlikumi</w:t>
      </w:r>
    </w:p>
    <w:tbl>
      <w:tblPr>
        <w:tblStyle w:val="a"/>
        <w:tblW w:w="1467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19"/>
        <w:gridCol w:w="4536"/>
        <w:gridCol w:w="1418"/>
        <w:gridCol w:w="5953"/>
      </w:tblGrid>
      <w:tr w:rsidR="008255BA" w14:paraId="6F9D5198" w14:textId="77777777" w:rsidTr="00395C01">
        <w:tc>
          <w:tcPr>
            <w:tcW w:w="750" w:type="dxa"/>
            <w:shd w:val="clear" w:color="auto" w:fill="FFFFFF"/>
            <w:noWrap/>
            <w:tcMar>
              <w:top w:w="75" w:type="dxa"/>
              <w:left w:w="75" w:type="dxa"/>
              <w:bottom w:w="75" w:type="dxa"/>
              <w:right w:w="75" w:type="dxa"/>
            </w:tcMar>
            <w:vAlign w:val="center"/>
          </w:tcPr>
          <w:bookmarkEnd w:id="0"/>
          <w:p w14:paraId="4A2A1151" w14:textId="77777777" w:rsidR="008255BA" w:rsidRDefault="003E52C2">
            <w:pPr>
              <w:jc w:val="center"/>
            </w:pPr>
            <w:proofErr w:type="spellStart"/>
            <w:r>
              <w:rPr>
                <w:b/>
              </w:rPr>
              <w:t>Nr.p.k</w:t>
            </w:r>
            <w:proofErr w:type="spellEnd"/>
            <w:r>
              <w:rPr>
                <w:b/>
              </w:rPr>
              <w:t>.</w:t>
            </w:r>
          </w:p>
        </w:tc>
        <w:tc>
          <w:tcPr>
            <w:tcW w:w="2019" w:type="dxa"/>
            <w:shd w:val="clear" w:color="auto" w:fill="FFFFFF"/>
            <w:noWrap/>
            <w:tcMar>
              <w:top w:w="75" w:type="dxa"/>
              <w:left w:w="75" w:type="dxa"/>
              <w:bottom w:w="75" w:type="dxa"/>
              <w:right w:w="75" w:type="dxa"/>
            </w:tcMar>
            <w:vAlign w:val="center"/>
          </w:tcPr>
          <w:p w14:paraId="4AE739C6" w14:textId="77777777" w:rsidR="008255BA" w:rsidRDefault="003E52C2">
            <w:pPr>
              <w:jc w:val="center"/>
            </w:pPr>
            <w:r>
              <w:rPr>
                <w:b/>
              </w:rPr>
              <w:t>Iebilduma / priekšlikuma iesniedzējs</w:t>
            </w:r>
          </w:p>
        </w:tc>
        <w:tc>
          <w:tcPr>
            <w:tcW w:w="4536" w:type="dxa"/>
            <w:shd w:val="clear" w:color="auto" w:fill="FFFFFF"/>
            <w:noWrap/>
            <w:tcMar>
              <w:top w:w="75" w:type="dxa"/>
              <w:left w:w="75" w:type="dxa"/>
              <w:bottom w:w="75" w:type="dxa"/>
              <w:right w:w="75" w:type="dxa"/>
            </w:tcMar>
            <w:vAlign w:val="center"/>
          </w:tcPr>
          <w:p w14:paraId="23A0499B" w14:textId="77777777" w:rsidR="008255BA" w:rsidRDefault="003E52C2">
            <w:pPr>
              <w:jc w:val="center"/>
            </w:pPr>
            <w:r>
              <w:rPr>
                <w:b/>
              </w:rPr>
              <w:t>Iesniegtā iebilduma / priekšlikuma būtība</w:t>
            </w:r>
          </w:p>
        </w:tc>
        <w:tc>
          <w:tcPr>
            <w:tcW w:w="1418" w:type="dxa"/>
            <w:shd w:val="clear" w:color="auto" w:fill="FFFFFF"/>
            <w:noWrap/>
            <w:tcMar>
              <w:top w:w="75" w:type="dxa"/>
              <w:left w:w="75" w:type="dxa"/>
              <w:bottom w:w="75" w:type="dxa"/>
              <w:right w:w="75" w:type="dxa"/>
            </w:tcMar>
            <w:vAlign w:val="center"/>
          </w:tcPr>
          <w:p w14:paraId="57348FA1" w14:textId="77777777" w:rsidR="008255BA" w:rsidRDefault="003E52C2">
            <w:pPr>
              <w:jc w:val="center"/>
            </w:pPr>
            <w:r>
              <w:rPr>
                <w:b/>
              </w:rPr>
              <w:t>Ņemts vērā / nav ņemts vērā</w:t>
            </w:r>
          </w:p>
        </w:tc>
        <w:tc>
          <w:tcPr>
            <w:tcW w:w="5953" w:type="dxa"/>
            <w:shd w:val="clear" w:color="auto" w:fill="FFFFFF"/>
            <w:noWrap/>
            <w:tcMar>
              <w:top w:w="75" w:type="dxa"/>
              <w:left w:w="75" w:type="dxa"/>
              <w:bottom w:w="75" w:type="dxa"/>
              <w:right w:w="75" w:type="dxa"/>
            </w:tcMar>
            <w:vAlign w:val="center"/>
          </w:tcPr>
          <w:p w14:paraId="167708E7" w14:textId="77777777" w:rsidR="008255BA" w:rsidRDefault="003E52C2">
            <w:pPr>
              <w:jc w:val="center"/>
            </w:pPr>
            <w:r>
              <w:rPr>
                <w:b/>
              </w:rPr>
              <w:t>Pamatojums, ja iebildums / priekšlikums nav ņemts vērā</w:t>
            </w:r>
          </w:p>
        </w:tc>
      </w:tr>
      <w:tr w:rsidR="008255BA" w14:paraId="4673AF88" w14:textId="77777777" w:rsidTr="00395C01">
        <w:tc>
          <w:tcPr>
            <w:tcW w:w="750" w:type="dxa"/>
            <w:shd w:val="clear" w:color="auto" w:fill="FFFFFF"/>
            <w:noWrap/>
            <w:tcMar>
              <w:top w:w="75" w:type="dxa"/>
              <w:left w:w="75" w:type="dxa"/>
              <w:bottom w:w="75" w:type="dxa"/>
              <w:right w:w="75" w:type="dxa"/>
            </w:tcMar>
            <w:vAlign w:val="center"/>
          </w:tcPr>
          <w:p w14:paraId="01501F98" w14:textId="77777777" w:rsidR="008255BA" w:rsidRDefault="003E52C2" w:rsidP="002343E9">
            <w:pPr>
              <w:pStyle w:val="ListParagraph"/>
              <w:numPr>
                <w:ilvl w:val="0"/>
                <w:numId w:val="1"/>
              </w:numPr>
              <w:jc w:val="center"/>
            </w:pPr>
            <w:r>
              <w:t>1.</w:t>
            </w:r>
          </w:p>
        </w:tc>
        <w:tc>
          <w:tcPr>
            <w:tcW w:w="2019" w:type="dxa"/>
            <w:shd w:val="clear" w:color="auto" w:fill="FFFFFF"/>
            <w:noWrap/>
            <w:tcMar>
              <w:top w:w="75" w:type="dxa"/>
              <w:left w:w="75" w:type="dxa"/>
              <w:bottom w:w="75" w:type="dxa"/>
              <w:right w:w="75" w:type="dxa"/>
            </w:tcMar>
            <w:vAlign w:val="center"/>
          </w:tcPr>
          <w:p w14:paraId="79D8C8EE" w14:textId="77777777" w:rsidR="008255BA" w:rsidRDefault="003E52C2">
            <w:pPr>
              <w:jc w:val="left"/>
            </w:pPr>
            <w:bookmarkStart w:id="1" w:name="OLE_LINK2"/>
            <w:r>
              <w:t>B</w:t>
            </w:r>
            <w:r>
              <w:t>iedrība Zemnieku saeima</w:t>
            </w:r>
            <w:bookmarkEnd w:id="1"/>
          </w:p>
        </w:tc>
        <w:tc>
          <w:tcPr>
            <w:tcW w:w="4536" w:type="dxa"/>
            <w:shd w:val="clear" w:color="auto" w:fill="FFFFFF"/>
            <w:noWrap/>
            <w:tcMar>
              <w:top w:w="75" w:type="dxa"/>
              <w:left w:w="75" w:type="dxa"/>
              <w:bottom w:w="75" w:type="dxa"/>
              <w:right w:w="75" w:type="dxa"/>
            </w:tcMar>
            <w:vAlign w:val="center"/>
          </w:tcPr>
          <w:p w14:paraId="0CA153F1" w14:textId="2940B11E" w:rsidR="008255BA" w:rsidRDefault="003E52C2">
            <w:pPr>
              <w:jc w:val="left"/>
            </w:pPr>
            <w:r>
              <w:t xml:space="preserve">Attiecībā uz grozījumu punktu: “60.13. tā aizņem vismaz 0,3 hektārus un vismaz 65% no lauku bloka platības pēc stāvokļa uz </w:t>
            </w:r>
            <w:bookmarkStart w:id="2" w:name="OLE_LINK65"/>
            <w:r>
              <w:t>2024. gada 30. jūniju</w:t>
            </w:r>
            <w:bookmarkEnd w:id="2"/>
            <w:r>
              <w:t>.", aicinām noteikt, ka bloku platību palielināšana vai bloku apvienošana ir iespējama līdz 2024.gada 31.decembrim. Ja pēc bloku palielināšanas kūdrāju augsnes platība aizņem mazāk par 65% no bloka, tad attiecīgajā laukā kūdrāju augsnes slānis tiek dzēsts un turpmākas prasības attiecībā uz kūdrāju augsnes platība apsaimniekošanu uz attiecīgo platību nav attiecināmas;</w:t>
            </w:r>
          </w:p>
        </w:tc>
        <w:tc>
          <w:tcPr>
            <w:tcW w:w="1418" w:type="dxa"/>
            <w:shd w:val="clear" w:color="auto" w:fill="FFFFFF"/>
            <w:noWrap/>
            <w:tcMar>
              <w:top w:w="75" w:type="dxa"/>
              <w:left w:w="75" w:type="dxa"/>
              <w:bottom w:w="75" w:type="dxa"/>
              <w:right w:w="75" w:type="dxa"/>
            </w:tcMar>
            <w:vAlign w:val="center"/>
          </w:tcPr>
          <w:p w14:paraId="241DFEC6" w14:textId="147C61BA" w:rsidR="008255BA" w:rsidRDefault="002343E9">
            <w:pPr>
              <w:jc w:val="left"/>
            </w:pPr>
            <w:bookmarkStart w:id="3" w:name="OLE_LINK1"/>
            <w:r>
              <w:t>N</w:t>
            </w:r>
            <w:r w:rsidRPr="002343E9">
              <w:t>av ņemts vērā</w:t>
            </w:r>
            <w:bookmarkEnd w:id="3"/>
          </w:p>
        </w:tc>
        <w:tc>
          <w:tcPr>
            <w:tcW w:w="5953" w:type="dxa"/>
            <w:shd w:val="clear" w:color="auto" w:fill="FFFFFF"/>
            <w:noWrap/>
            <w:tcMar>
              <w:top w:w="75" w:type="dxa"/>
              <w:left w:w="75" w:type="dxa"/>
              <w:bottom w:w="75" w:type="dxa"/>
              <w:right w:w="75" w:type="dxa"/>
            </w:tcMar>
            <w:vAlign w:val="center"/>
          </w:tcPr>
          <w:p w14:paraId="21473DD4" w14:textId="41DA6F43" w:rsidR="00C13DF4" w:rsidRDefault="00C13DF4">
            <w:pPr>
              <w:jc w:val="left"/>
            </w:pPr>
            <w:r>
              <w:t>Lauku bloku precizēšanas</w:t>
            </w:r>
            <w:r w:rsidR="001B2C72">
              <w:t xml:space="preserve"> kārtība jau ir atrunāta </w:t>
            </w:r>
            <w:r w:rsidR="001B2C72" w:rsidRPr="001B2C72">
              <w:t>Ministru kabineta 2023. gada 18. aprīļa noteikum</w:t>
            </w:r>
            <w:r w:rsidR="001B2C72">
              <w:t>u</w:t>
            </w:r>
            <w:r w:rsidR="001B2C72" w:rsidRPr="001B2C72">
              <w:t xml:space="preserve"> Nr. 198 "Tiešo maksājumu piešķiršanas kārtība lauksaimniekiem"</w:t>
            </w:r>
            <w:r w:rsidR="001B2C72">
              <w:t xml:space="preserve"> </w:t>
            </w:r>
            <w:r w:rsidR="001B2C72">
              <w:t>247.2.</w:t>
            </w:r>
            <w:r w:rsidR="001B2C72">
              <w:t xml:space="preserve"> apakšpunktā, kur noteikts, ka lauksaimniekam</w:t>
            </w:r>
            <w:r w:rsidR="001B2C72" w:rsidRPr="001B2C72">
              <w:t xml:space="preserve"> līdz kārtējā gada 1. aprīlim Lauku atbalsta dienesta elektroniskajā pieteikšanās sistēmā ir </w:t>
            </w:r>
            <w:r w:rsidR="001B2C72">
              <w:t>jā</w:t>
            </w:r>
            <w:r w:rsidR="001B2C72" w:rsidRPr="001B2C72">
              <w:t>iesnie</w:t>
            </w:r>
            <w:r w:rsidR="001B2C72">
              <w:t>dz</w:t>
            </w:r>
            <w:r w:rsidR="001B2C72" w:rsidRPr="001B2C72">
              <w:t xml:space="preserve"> iesniegums lauku bloku precizēšanai vai jauna lauksaimniecības zemes nogabala iekļaušanai lauku reģistrā</w:t>
            </w:r>
            <w:r w:rsidR="001B2C72">
              <w:t>, lai par šādu platību kārtējā gadā saņemtu atbalstu.</w:t>
            </w:r>
          </w:p>
          <w:p w14:paraId="04D57E70" w14:textId="77777777" w:rsidR="001B2C72" w:rsidRDefault="001B2C72">
            <w:pPr>
              <w:jc w:val="left"/>
            </w:pPr>
          </w:p>
          <w:p w14:paraId="5F762A8E" w14:textId="525AAF80" w:rsidR="001B2C72" w:rsidRDefault="001B2C72" w:rsidP="001B2C72">
            <w:pPr>
              <w:jc w:val="left"/>
            </w:pPr>
            <w:r w:rsidRPr="00263176">
              <w:t>Lauk</w:t>
            </w:r>
            <w:r>
              <w:t>u</w:t>
            </w:r>
            <w:r w:rsidRPr="00263176">
              <w:t xml:space="preserve"> blok</w:t>
            </w:r>
            <w:r>
              <w:t>i</w:t>
            </w:r>
            <w:r w:rsidRPr="00263176">
              <w:t xml:space="preserve"> </w:t>
            </w:r>
            <w:r>
              <w:t xml:space="preserve">ir viens no pamatelementiem </w:t>
            </w:r>
            <w:r w:rsidRPr="00263176">
              <w:t>Integrētajā administrācijas un kontroles sistēmā (IAKS)</w:t>
            </w:r>
            <w:r>
              <w:t xml:space="preserve">, kas nodrošina </w:t>
            </w:r>
            <w:proofErr w:type="spellStart"/>
            <w:r>
              <w:t>pamat</w:t>
            </w:r>
            <w:r w:rsidRPr="00263176">
              <w:t>proces</w:t>
            </w:r>
            <w:r>
              <w:t>u</w:t>
            </w:r>
            <w:r w:rsidRPr="00263176">
              <w:t>s</w:t>
            </w:r>
            <w:proofErr w:type="spellEnd"/>
            <w:r>
              <w:t xml:space="preserve"> </w:t>
            </w:r>
            <w:r w:rsidRPr="00263176">
              <w:t xml:space="preserve">lauksaimniecības </w:t>
            </w:r>
            <w:r>
              <w:t>atbalsta</w:t>
            </w:r>
            <w:r w:rsidRPr="00263176">
              <w:t xml:space="preserve"> pārvaldībā un uzraudzībā saskaņā ar kopējo lauksaimniecības politiku (KLP).</w:t>
            </w:r>
          </w:p>
          <w:p w14:paraId="42A0225E" w14:textId="77777777" w:rsidR="001B2C72" w:rsidRDefault="001B2C72">
            <w:pPr>
              <w:jc w:val="left"/>
            </w:pPr>
          </w:p>
          <w:p w14:paraId="3B405626" w14:textId="6E3E6B24" w:rsidR="001B2C72" w:rsidRDefault="00DE6F0E">
            <w:pPr>
              <w:jc w:val="left"/>
            </w:pPr>
            <w:r>
              <w:t>L</w:t>
            </w:r>
            <w:r w:rsidRPr="00C13DF4">
              <w:t>auku blok</w:t>
            </w:r>
            <w:r>
              <w:t xml:space="preserve">a definīcija ir ietverta </w:t>
            </w:r>
            <w:r w:rsidRPr="00DE6F0E">
              <w:t>Ministru kabineta 2023. gada 31. janvāra noteikum</w:t>
            </w:r>
            <w:r>
              <w:t>u</w:t>
            </w:r>
            <w:r w:rsidRPr="00DE6F0E">
              <w:t xml:space="preserve"> Nr. 50 "Kārtība, kādā administrē un uzrauga Eiropas Lauksaimniecības garantiju fondu un Eiropas </w:t>
            </w:r>
            <w:r w:rsidRPr="00DE6F0E">
              <w:lastRenderedPageBreak/>
              <w:t>Lauksaimniecības fondu lauku attīstībai, kā arī valsts un Eiropas Savienības atbalstu lauksaimniecībai un lauku attīstībai 2023.–2027. gada plānošanas periodā"</w:t>
            </w:r>
            <w:r>
              <w:t xml:space="preserve">, nosakot, ka lauku bloks ir </w:t>
            </w:r>
            <w:r w:rsidRPr="00C13DF4">
              <w:t>nepārtraukt</w:t>
            </w:r>
            <w:r>
              <w:t>s</w:t>
            </w:r>
            <w:r w:rsidRPr="00C13DF4">
              <w:t xml:space="preserve"> lauksaimniecībā izmantojam</w:t>
            </w:r>
            <w:r>
              <w:t>s</w:t>
            </w:r>
            <w:r w:rsidRPr="00C13DF4">
              <w:t xml:space="preserve"> zemesgabal</w:t>
            </w:r>
            <w:r>
              <w:t>s</w:t>
            </w:r>
            <w:r w:rsidRPr="00C13DF4">
              <w:t>, ko norobežo stabil</w:t>
            </w:r>
            <w:r>
              <w:t>as</w:t>
            </w:r>
            <w:r w:rsidRPr="00C13DF4">
              <w:t>, dabā identificējamu objektu robežas vai īpašumu robežas</w:t>
            </w:r>
            <w:r>
              <w:t>. Līdz ar to mākslīga lauku bloku apvienošana vai platības palielināšana, kas neatbilst minētajiem kritērijiem, netiek pieļauta.</w:t>
            </w:r>
          </w:p>
          <w:p w14:paraId="23CE1B07" w14:textId="77777777" w:rsidR="00DE6F0E" w:rsidRDefault="00DE6F0E">
            <w:pPr>
              <w:jc w:val="left"/>
            </w:pPr>
          </w:p>
          <w:p w14:paraId="2DC3AA94" w14:textId="7BE03421" w:rsidR="00A322B7" w:rsidRDefault="00DE6F0E" w:rsidP="00A322B7">
            <w:pPr>
              <w:jc w:val="left"/>
            </w:pPr>
            <w:r>
              <w:t>2024. gada 30. jūnij</w:t>
            </w:r>
            <w:r>
              <w:t xml:space="preserve">s kā atsauces datums ir noteikts, lai </w:t>
            </w:r>
            <w:r w:rsidR="008A089D">
              <w:t xml:space="preserve">veidotu vēsturisku atsauci, pirms šie noteikumu grozījumi ir izsludināti sabiedriskai apspriešanai un </w:t>
            </w:r>
            <w:r>
              <w:t xml:space="preserve">nepieļautu situācijas, kad lauksaimnieki rada mākslīgus apstākļus </w:t>
            </w:r>
            <w:r w:rsidR="001B2C72">
              <w:t xml:space="preserve">(tai skaitā apvienojot vai palielinot </w:t>
            </w:r>
            <w:r w:rsidR="001A5EA4">
              <w:t xml:space="preserve">lauku bloku </w:t>
            </w:r>
            <w:r w:rsidR="001B2C72">
              <w:t>platību)</w:t>
            </w:r>
            <w:r w:rsidR="001A5EA4">
              <w:t>, lai apietu nosacījumus</w:t>
            </w:r>
            <w:r w:rsidR="008A089D">
              <w:t xml:space="preserve"> un nepamatoti saņemtu atbalstu.</w:t>
            </w:r>
          </w:p>
        </w:tc>
      </w:tr>
      <w:tr w:rsidR="002343E9" w14:paraId="3FB4BCCD" w14:textId="77777777" w:rsidTr="00395C01">
        <w:tc>
          <w:tcPr>
            <w:tcW w:w="750" w:type="dxa"/>
            <w:shd w:val="clear" w:color="auto" w:fill="FFFFFF"/>
            <w:noWrap/>
            <w:tcMar>
              <w:top w:w="75" w:type="dxa"/>
              <w:left w:w="75" w:type="dxa"/>
              <w:bottom w:w="75" w:type="dxa"/>
              <w:right w:w="75" w:type="dxa"/>
            </w:tcMar>
            <w:vAlign w:val="center"/>
          </w:tcPr>
          <w:p w14:paraId="30385B6B" w14:textId="77777777" w:rsidR="002343E9" w:rsidRDefault="002343E9" w:rsidP="002343E9">
            <w:pPr>
              <w:pStyle w:val="ListParagraph"/>
              <w:numPr>
                <w:ilvl w:val="0"/>
                <w:numId w:val="1"/>
              </w:numPr>
              <w:jc w:val="center"/>
            </w:pPr>
            <w:bookmarkStart w:id="4" w:name="_Hlk175046031"/>
          </w:p>
        </w:tc>
        <w:tc>
          <w:tcPr>
            <w:tcW w:w="2019" w:type="dxa"/>
            <w:shd w:val="clear" w:color="auto" w:fill="FFFFFF"/>
            <w:noWrap/>
            <w:tcMar>
              <w:top w:w="75" w:type="dxa"/>
              <w:left w:w="75" w:type="dxa"/>
              <w:bottom w:w="75" w:type="dxa"/>
              <w:right w:w="75" w:type="dxa"/>
            </w:tcMar>
            <w:vAlign w:val="center"/>
          </w:tcPr>
          <w:p w14:paraId="7D17D5D5" w14:textId="0EED6D7A" w:rsidR="002343E9" w:rsidRDefault="002343E9" w:rsidP="002343E9">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167354E7" w14:textId="6A610156" w:rsidR="002343E9" w:rsidRDefault="002343E9" w:rsidP="002343E9">
            <w:pPr>
              <w:jc w:val="left"/>
            </w:pPr>
            <w:r>
              <w:t xml:space="preserve">Aicinām noteikt, ka lauksaimnieks, piesakoties </w:t>
            </w:r>
            <w:proofErr w:type="spellStart"/>
            <w:r>
              <w:t>ekoshēmas</w:t>
            </w:r>
            <w:proofErr w:type="spellEnd"/>
            <w:r>
              <w:t xml:space="preserve"> atbalstam par zālāju saglabāšanas veicināšanu uzņemas saistības vismaz divus gadus pēc kārtas neapart, nelobīt un neirdināt šim atbalstam pieteikto zālāju platību (lauku). Tas nozīmē, ka saistības var uzņemties arī uz 3, 4 u.t.t. gadiem;</w:t>
            </w:r>
            <w:r>
              <w:br/>
            </w:r>
            <w:r>
              <w:lastRenderedPageBreak/>
              <w:t>Aicinām noteikumu punktu 165.1. izteikt šādā redakcijā:</w:t>
            </w:r>
            <w:r>
              <w:br/>
              <w:t>“165.1. uzņemas saistības vismaz divus gadus pēc kārtas neapart, nelobīt un neirdināt šim atbalstam pieteikto zālāju platību (lauku).”</w:t>
            </w:r>
          </w:p>
        </w:tc>
        <w:tc>
          <w:tcPr>
            <w:tcW w:w="1418" w:type="dxa"/>
            <w:shd w:val="clear" w:color="auto" w:fill="FFFFFF"/>
            <w:noWrap/>
            <w:tcMar>
              <w:top w:w="75" w:type="dxa"/>
              <w:left w:w="75" w:type="dxa"/>
              <w:bottom w:w="75" w:type="dxa"/>
              <w:right w:w="75" w:type="dxa"/>
            </w:tcMar>
            <w:vAlign w:val="center"/>
          </w:tcPr>
          <w:p w14:paraId="618CD398" w14:textId="7506E7AF" w:rsidR="002343E9" w:rsidRDefault="002343E9" w:rsidP="002343E9">
            <w:pPr>
              <w:jc w:val="left"/>
            </w:pPr>
            <w:r w:rsidRPr="00767698">
              <w:lastRenderedPageBreak/>
              <w:t>Nav ņemts vērā</w:t>
            </w:r>
          </w:p>
        </w:tc>
        <w:tc>
          <w:tcPr>
            <w:tcW w:w="5953" w:type="dxa"/>
            <w:shd w:val="clear" w:color="auto" w:fill="FFFFFF"/>
            <w:noWrap/>
            <w:tcMar>
              <w:top w:w="75" w:type="dxa"/>
              <w:left w:w="75" w:type="dxa"/>
              <w:bottom w:w="75" w:type="dxa"/>
              <w:right w:w="75" w:type="dxa"/>
            </w:tcMar>
            <w:vAlign w:val="center"/>
          </w:tcPr>
          <w:p w14:paraId="3033C25F" w14:textId="77777777" w:rsidR="00A626C9" w:rsidRDefault="00A626C9" w:rsidP="00A626C9">
            <w:pPr>
              <w:jc w:val="left"/>
            </w:pPr>
            <w:r>
              <w:t>Šis nosacījums ir apstiprināts ar Latvijas KLP Stratēģisko plānu 2023. – 2027. gadam, un lai mainītu nosacījumus MK noteikumos, vispirms ir jāgroza stratēģiskais plāns.</w:t>
            </w:r>
          </w:p>
          <w:p w14:paraId="729E5877" w14:textId="33383BE6" w:rsidR="002343E9" w:rsidRDefault="00A626C9" w:rsidP="00A626C9">
            <w:pPr>
              <w:jc w:val="left"/>
            </w:pPr>
            <w:r>
              <w:t xml:space="preserve">Priekšlikums tiks izvērtēts </w:t>
            </w:r>
            <w:r w:rsidR="001571BA">
              <w:t>veicot KLP</w:t>
            </w:r>
            <w:r>
              <w:t xml:space="preserve"> stratēģiskā plāna grozījum</w:t>
            </w:r>
            <w:r w:rsidR="001571BA">
              <w:t>us</w:t>
            </w:r>
            <w:r>
              <w:t xml:space="preserve"> uz 2025. gadu.</w:t>
            </w:r>
          </w:p>
        </w:tc>
      </w:tr>
      <w:bookmarkEnd w:id="4"/>
      <w:tr w:rsidR="002343E9" w14:paraId="41D1E92F" w14:textId="77777777" w:rsidTr="00395C01">
        <w:tc>
          <w:tcPr>
            <w:tcW w:w="750" w:type="dxa"/>
            <w:shd w:val="clear" w:color="auto" w:fill="FFFFFF"/>
            <w:noWrap/>
            <w:tcMar>
              <w:top w:w="75" w:type="dxa"/>
              <w:left w:w="75" w:type="dxa"/>
              <w:bottom w:w="75" w:type="dxa"/>
              <w:right w:w="75" w:type="dxa"/>
            </w:tcMar>
            <w:vAlign w:val="center"/>
          </w:tcPr>
          <w:p w14:paraId="067DA886" w14:textId="77777777" w:rsidR="002343E9" w:rsidRDefault="002343E9" w:rsidP="002343E9">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1DB6C764" w14:textId="458DA761" w:rsidR="002343E9" w:rsidRDefault="002343E9" w:rsidP="002343E9">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080C0F57" w14:textId="09E8E951" w:rsidR="002343E9" w:rsidRDefault="002343E9" w:rsidP="002343E9">
            <w:pPr>
              <w:jc w:val="left"/>
            </w:pPr>
            <w:r>
              <w:t xml:space="preserve">Aicinām noteikt, ka pēc viena gada saistību izpildes </w:t>
            </w:r>
            <w:proofErr w:type="spellStart"/>
            <w:r>
              <w:t>ekoshēmas</w:t>
            </w:r>
            <w:proofErr w:type="spellEnd"/>
            <w:r>
              <w:t xml:space="preserve"> atbalstam par zālāju saglabāšanas veicināšanu nav jāatmaksā tām saimniecībām, kuras ir beigušas nodarboties ar zālēdāju audzēšanu;</w:t>
            </w:r>
          </w:p>
        </w:tc>
        <w:tc>
          <w:tcPr>
            <w:tcW w:w="1418" w:type="dxa"/>
            <w:shd w:val="clear" w:color="auto" w:fill="FFFFFF"/>
            <w:noWrap/>
            <w:tcMar>
              <w:top w:w="75" w:type="dxa"/>
              <w:left w:w="75" w:type="dxa"/>
              <w:bottom w:w="75" w:type="dxa"/>
              <w:right w:w="75" w:type="dxa"/>
            </w:tcMar>
            <w:vAlign w:val="center"/>
          </w:tcPr>
          <w:p w14:paraId="51B51F12" w14:textId="24F3278D" w:rsidR="002343E9" w:rsidRDefault="002343E9" w:rsidP="002343E9">
            <w:pPr>
              <w:jc w:val="left"/>
            </w:pPr>
            <w:r w:rsidRPr="00767698">
              <w:t>Nav ņemts vērā</w:t>
            </w:r>
          </w:p>
        </w:tc>
        <w:tc>
          <w:tcPr>
            <w:tcW w:w="5953" w:type="dxa"/>
            <w:shd w:val="clear" w:color="auto" w:fill="FFFFFF"/>
            <w:noWrap/>
            <w:tcMar>
              <w:top w:w="75" w:type="dxa"/>
              <w:left w:w="75" w:type="dxa"/>
              <w:bottom w:w="75" w:type="dxa"/>
              <w:right w:w="75" w:type="dxa"/>
            </w:tcMar>
            <w:vAlign w:val="center"/>
          </w:tcPr>
          <w:p w14:paraId="2C75E4A9" w14:textId="14331CDC" w:rsidR="002343E9" w:rsidRDefault="001571BA" w:rsidP="002343E9">
            <w:pPr>
              <w:jc w:val="left"/>
            </w:pPr>
            <w:r w:rsidRPr="001571BA">
              <w:t>Skaidrojam, ka gadījumos, ja otrajā gadā lauksaimnieks nevar nodrošināt lopu blīvumu, bet saglabā zālāju platību, par kuru ir uzņemtas saistības, tad atbalstu par otro saistību gadu nepiešķir, bet nav jāatmaksā atbalsts par pirmo saistību gadu, ja attiecīgā platība kārtējā gadā netiek aparta, lobīta vai irdināta</w:t>
            </w:r>
          </w:p>
        </w:tc>
      </w:tr>
      <w:tr w:rsidR="001571BA" w14:paraId="1B0CEA57" w14:textId="77777777" w:rsidTr="00395C01">
        <w:tc>
          <w:tcPr>
            <w:tcW w:w="750" w:type="dxa"/>
            <w:shd w:val="clear" w:color="auto" w:fill="FFFFFF"/>
            <w:noWrap/>
            <w:tcMar>
              <w:top w:w="75" w:type="dxa"/>
              <w:left w:w="75" w:type="dxa"/>
              <w:bottom w:w="75" w:type="dxa"/>
              <w:right w:w="75" w:type="dxa"/>
            </w:tcMar>
            <w:vAlign w:val="center"/>
          </w:tcPr>
          <w:p w14:paraId="5215141C"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0DB14D9E" w14:textId="665B07B5" w:rsidR="001571BA" w:rsidRDefault="001571BA" w:rsidP="001571BA">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65FB58E6" w14:textId="43C72FD1" w:rsidR="001571BA" w:rsidRDefault="001571BA" w:rsidP="001571BA">
            <w:pPr>
              <w:jc w:val="left"/>
            </w:pPr>
            <w:r>
              <w:t xml:space="preserve">Aicinām noteikt, ka </w:t>
            </w:r>
            <w:proofErr w:type="spellStart"/>
            <w:r>
              <w:t>ekoshēmas</w:t>
            </w:r>
            <w:proofErr w:type="spellEnd"/>
            <w:r>
              <w:t xml:space="preserve"> atbalstam par zālāju saglabāšanas veicināšanu saistības par zālāja saglabāšanu vismaz 2 gadus ir nosakāmas sākot ar 15.jūliju, pēc 2 gadiem dot iespēju lauksaimniekiem, laicīgi iestrādāt kūtsmēslus un attiecīgajās zālāju platības iesēt arī ziemas rapsi, miežus, kviešus, rudzus u.t.t.</w:t>
            </w:r>
          </w:p>
        </w:tc>
        <w:tc>
          <w:tcPr>
            <w:tcW w:w="1418" w:type="dxa"/>
            <w:shd w:val="clear" w:color="auto" w:fill="FFFFFF"/>
            <w:noWrap/>
            <w:tcMar>
              <w:top w:w="75" w:type="dxa"/>
              <w:left w:w="75" w:type="dxa"/>
              <w:bottom w:w="75" w:type="dxa"/>
              <w:right w:w="75" w:type="dxa"/>
            </w:tcMar>
            <w:vAlign w:val="center"/>
          </w:tcPr>
          <w:p w14:paraId="768E59BA" w14:textId="1F41132F" w:rsidR="001571BA" w:rsidRDefault="001571BA" w:rsidP="001571BA">
            <w:pPr>
              <w:jc w:val="left"/>
            </w:pPr>
            <w:r w:rsidRPr="00767698">
              <w:t>Nav ņemts vērā</w:t>
            </w:r>
          </w:p>
        </w:tc>
        <w:tc>
          <w:tcPr>
            <w:tcW w:w="5953" w:type="dxa"/>
            <w:shd w:val="clear" w:color="auto" w:fill="FFFFFF"/>
            <w:noWrap/>
            <w:tcMar>
              <w:top w:w="75" w:type="dxa"/>
              <w:left w:w="75" w:type="dxa"/>
              <w:bottom w:w="75" w:type="dxa"/>
              <w:right w:w="75" w:type="dxa"/>
            </w:tcMar>
            <w:vAlign w:val="center"/>
          </w:tcPr>
          <w:p w14:paraId="6F2FB96C" w14:textId="77777777" w:rsidR="001571BA" w:rsidRDefault="001571BA" w:rsidP="001571BA">
            <w:pPr>
              <w:jc w:val="left"/>
            </w:pPr>
            <w:r>
              <w:t>Šis nosacījums ir apstiprināts ar Latvijas KLP Stratēģisko plānu 2023. – 2027. gadam, un lai mainītu nosacījumus MK noteikumos, vispirms ir jāgroza stratēģiskais plāns.</w:t>
            </w:r>
          </w:p>
          <w:p w14:paraId="4E151D2B" w14:textId="14E9657D" w:rsidR="001571BA" w:rsidRDefault="001571BA" w:rsidP="001571BA">
            <w:pPr>
              <w:jc w:val="left"/>
            </w:pPr>
            <w:r>
              <w:t>Priekšlikums tiks izvērtēts veicot KLP stratēģiskā plāna grozījumus uz 2025. gadu.</w:t>
            </w:r>
          </w:p>
        </w:tc>
      </w:tr>
      <w:tr w:rsidR="001571BA" w14:paraId="157CABC5" w14:textId="77777777" w:rsidTr="00395C01">
        <w:tc>
          <w:tcPr>
            <w:tcW w:w="750" w:type="dxa"/>
            <w:shd w:val="clear" w:color="auto" w:fill="FFFFFF"/>
            <w:noWrap/>
            <w:tcMar>
              <w:top w:w="75" w:type="dxa"/>
              <w:left w:w="75" w:type="dxa"/>
              <w:bottom w:w="75" w:type="dxa"/>
              <w:right w:w="75" w:type="dxa"/>
            </w:tcMar>
            <w:vAlign w:val="center"/>
          </w:tcPr>
          <w:p w14:paraId="254FA7ED"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7BE9F7B3" w14:textId="4D4391EE" w:rsidR="001571BA" w:rsidRDefault="001571BA" w:rsidP="001571BA">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59D08E9A" w14:textId="1601006A" w:rsidR="001571BA" w:rsidRDefault="001571BA" w:rsidP="001571BA">
            <w:pPr>
              <w:jc w:val="left"/>
            </w:pPr>
            <w:proofErr w:type="spellStart"/>
            <w:r>
              <w:t>Ekoshēmas</w:t>
            </w:r>
            <w:proofErr w:type="spellEnd"/>
            <w:r>
              <w:t xml:space="preserve"> atbalstā par zālāju saglabāšanu atļaut kurmju un meža cūku rakumu līdzināšanu.</w:t>
            </w:r>
          </w:p>
        </w:tc>
        <w:tc>
          <w:tcPr>
            <w:tcW w:w="1418" w:type="dxa"/>
            <w:shd w:val="clear" w:color="auto" w:fill="FFFFFF"/>
            <w:noWrap/>
            <w:tcMar>
              <w:top w:w="75" w:type="dxa"/>
              <w:left w:w="75" w:type="dxa"/>
              <w:bottom w:w="75" w:type="dxa"/>
              <w:right w:w="75" w:type="dxa"/>
            </w:tcMar>
            <w:vAlign w:val="center"/>
          </w:tcPr>
          <w:p w14:paraId="30FB9E76" w14:textId="1E89A614" w:rsidR="001571BA" w:rsidRDefault="001571BA" w:rsidP="001571BA">
            <w:pPr>
              <w:jc w:val="left"/>
            </w:pPr>
            <w:r w:rsidRPr="00767698">
              <w:t>Nav ņemts vērā</w:t>
            </w:r>
          </w:p>
        </w:tc>
        <w:tc>
          <w:tcPr>
            <w:tcW w:w="5953" w:type="dxa"/>
            <w:shd w:val="clear" w:color="auto" w:fill="FFFFFF"/>
            <w:noWrap/>
            <w:tcMar>
              <w:top w:w="75" w:type="dxa"/>
              <w:left w:w="75" w:type="dxa"/>
              <w:bottom w:w="75" w:type="dxa"/>
              <w:right w:w="75" w:type="dxa"/>
            </w:tcMar>
            <w:vAlign w:val="center"/>
          </w:tcPr>
          <w:p w14:paraId="3FFAD9A7" w14:textId="3A919CA0" w:rsidR="001571BA" w:rsidRDefault="001571BA" w:rsidP="001571BA">
            <w:pPr>
              <w:jc w:val="left"/>
            </w:pPr>
            <w:r w:rsidRPr="001571BA">
              <w:t xml:space="preserve">Skaidrojam, ka zālājus var kopt, ja vien zemes virskārta netiek aparta, lobīta vai irdināta. Ja ir būtiski dzīvnieku radīti postījumi, tie var tikt </w:t>
            </w:r>
            <w:r w:rsidRPr="001571BA">
              <w:lastRenderedPageBreak/>
              <w:t xml:space="preserve">uzskatīti par ārkārtas apstākļiem, par ko būtu jāziņo LAD, un ja tos pierāda, tad pieļaujama dzīvnieku radītu rakumu izlīdzināšana ar tehniku (piemēram ganību </w:t>
            </w:r>
            <w:proofErr w:type="spellStart"/>
            <w:r w:rsidRPr="001571BA">
              <w:t>ecēšam</w:t>
            </w:r>
            <w:proofErr w:type="spellEnd"/>
            <w:r w:rsidRPr="001571BA">
              <w:t>), kas neuzirdina augsnes virskārtu.</w:t>
            </w:r>
          </w:p>
        </w:tc>
      </w:tr>
      <w:tr w:rsidR="001571BA" w14:paraId="0DCF687D" w14:textId="77777777" w:rsidTr="00395C01">
        <w:tc>
          <w:tcPr>
            <w:tcW w:w="750" w:type="dxa"/>
            <w:shd w:val="clear" w:color="auto" w:fill="FFFFFF"/>
            <w:noWrap/>
            <w:tcMar>
              <w:top w:w="75" w:type="dxa"/>
              <w:left w:w="75" w:type="dxa"/>
              <w:bottom w:w="75" w:type="dxa"/>
              <w:right w:w="75" w:type="dxa"/>
            </w:tcMar>
            <w:vAlign w:val="center"/>
          </w:tcPr>
          <w:p w14:paraId="24C9EC0C"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71715409" w14:textId="344235DF" w:rsidR="001571BA" w:rsidRDefault="001571BA" w:rsidP="001571BA">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23B1C8A5" w14:textId="5B6236B1" w:rsidR="001571BA" w:rsidRDefault="001571BA" w:rsidP="001571BA">
            <w:pPr>
              <w:jc w:val="left"/>
            </w:pPr>
            <w:r>
              <w:t xml:space="preserve">Lūdzam skaidrot vai nav iespējams </w:t>
            </w:r>
            <w:proofErr w:type="spellStart"/>
            <w:r>
              <w:t>ekoshēmas</w:t>
            </w:r>
            <w:proofErr w:type="spellEnd"/>
            <w:r>
              <w:t xml:space="preserve"> atbalstā par zālāju saglabāšanu saistību periodu noteikt uz 1 gadu.</w:t>
            </w:r>
          </w:p>
        </w:tc>
        <w:tc>
          <w:tcPr>
            <w:tcW w:w="1418" w:type="dxa"/>
            <w:shd w:val="clear" w:color="auto" w:fill="FFFFFF"/>
            <w:noWrap/>
            <w:tcMar>
              <w:top w:w="75" w:type="dxa"/>
              <w:left w:w="75" w:type="dxa"/>
              <w:bottom w:w="75" w:type="dxa"/>
              <w:right w:w="75" w:type="dxa"/>
            </w:tcMar>
            <w:vAlign w:val="center"/>
          </w:tcPr>
          <w:p w14:paraId="766B20A7" w14:textId="21B502FE" w:rsidR="001571BA" w:rsidRDefault="001571BA" w:rsidP="001571BA">
            <w:pPr>
              <w:jc w:val="left"/>
            </w:pPr>
            <w:r w:rsidRPr="00767698">
              <w:t>Nav ņemts vērā</w:t>
            </w:r>
          </w:p>
        </w:tc>
        <w:tc>
          <w:tcPr>
            <w:tcW w:w="5953" w:type="dxa"/>
            <w:shd w:val="clear" w:color="auto" w:fill="FFFFFF"/>
            <w:noWrap/>
            <w:tcMar>
              <w:top w:w="75" w:type="dxa"/>
              <w:left w:w="75" w:type="dxa"/>
              <w:bottom w:w="75" w:type="dxa"/>
              <w:right w:w="75" w:type="dxa"/>
            </w:tcMar>
            <w:vAlign w:val="center"/>
          </w:tcPr>
          <w:p w14:paraId="39CA092E" w14:textId="77777777" w:rsidR="001571BA" w:rsidRDefault="001571BA" w:rsidP="001571BA">
            <w:pPr>
              <w:jc w:val="left"/>
            </w:pPr>
            <w:r>
              <w:t>Šis nosacījums ir apstiprināts ar Latvijas KLP Stratēģisko plānu 2023. – 2027. gadam, un lai mainītu nosacījumus MK noteikumos, vispirms ir jāgroza stratēģiskais plāns.</w:t>
            </w:r>
          </w:p>
          <w:p w14:paraId="06D0A826" w14:textId="16CF0B7F" w:rsidR="001571BA" w:rsidRDefault="001571BA" w:rsidP="001571BA">
            <w:pPr>
              <w:jc w:val="left"/>
            </w:pPr>
            <w:r>
              <w:t xml:space="preserve">Skaidrojam arī, ka viens no </w:t>
            </w:r>
            <w:proofErr w:type="spellStart"/>
            <w:r>
              <w:t>ekoshēmas</w:t>
            </w:r>
            <w:proofErr w:type="spellEnd"/>
            <w:r>
              <w:t xml:space="preserve"> par zālāju saglabāšanas veicināšanu īstenošanas mērķiem ir sniegt ieguldījumu klimata pārmaiņu mazināšanas veicināšanā, tostarp siltumnīcefekta gāzu emisiju samazināšanā no lauksaimniecības prakses un veicināt augsnē esošo oglekļa krājumu uzturēšanu. Noteiktās saistības divus gadus pēc kārtas neapart, nelobīt un neirdināt zālāju platību veicina oglekļa krājumu saglabāšanu augsnes virskārtā.</w:t>
            </w:r>
          </w:p>
        </w:tc>
      </w:tr>
      <w:tr w:rsidR="001571BA" w14:paraId="3806CAB4" w14:textId="77777777" w:rsidTr="00395C01">
        <w:tc>
          <w:tcPr>
            <w:tcW w:w="750" w:type="dxa"/>
            <w:shd w:val="clear" w:color="auto" w:fill="FFFFFF"/>
            <w:noWrap/>
            <w:tcMar>
              <w:top w:w="75" w:type="dxa"/>
              <w:left w:w="75" w:type="dxa"/>
              <w:bottom w:w="75" w:type="dxa"/>
              <w:right w:w="75" w:type="dxa"/>
            </w:tcMar>
            <w:vAlign w:val="center"/>
          </w:tcPr>
          <w:p w14:paraId="1E4FAF80"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720C7666" w14:textId="6B1980C1" w:rsidR="001571BA" w:rsidRDefault="001571BA" w:rsidP="001571BA">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63270A08" w14:textId="666E5EC9" w:rsidR="001571BA" w:rsidRDefault="001571BA" w:rsidP="001571BA">
            <w:pPr>
              <w:jc w:val="left"/>
            </w:pPr>
            <w:r>
              <w:t xml:space="preserve">Aicinām noteikt, ka pēc viena gada saistību izpildes </w:t>
            </w:r>
            <w:proofErr w:type="spellStart"/>
            <w:r>
              <w:t>ekoshēmas</w:t>
            </w:r>
            <w:proofErr w:type="spellEnd"/>
            <w:r>
              <w:t xml:space="preserve"> atbalstam par zālāju saglabāšanas veicināšanu nav jāatmaksā tām sēklaudzēšanas saimniecībām, kuras konkrēto lauku nevar sertificēt sēklas ieguvei;</w:t>
            </w:r>
          </w:p>
        </w:tc>
        <w:tc>
          <w:tcPr>
            <w:tcW w:w="1418" w:type="dxa"/>
            <w:shd w:val="clear" w:color="auto" w:fill="FFFFFF"/>
            <w:noWrap/>
            <w:tcMar>
              <w:top w:w="75" w:type="dxa"/>
              <w:left w:w="75" w:type="dxa"/>
              <w:bottom w:w="75" w:type="dxa"/>
              <w:right w:w="75" w:type="dxa"/>
            </w:tcMar>
            <w:vAlign w:val="center"/>
          </w:tcPr>
          <w:p w14:paraId="6BB8D328" w14:textId="384086D1" w:rsidR="001571BA" w:rsidRDefault="001571BA" w:rsidP="001571BA">
            <w:pPr>
              <w:jc w:val="left"/>
            </w:pPr>
            <w:r w:rsidRPr="00767698">
              <w:t>Nav ņemts vērā</w:t>
            </w:r>
          </w:p>
        </w:tc>
        <w:tc>
          <w:tcPr>
            <w:tcW w:w="5953" w:type="dxa"/>
            <w:shd w:val="clear" w:color="auto" w:fill="FFFFFF"/>
            <w:noWrap/>
            <w:tcMar>
              <w:top w:w="75" w:type="dxa"/>
              <w:left w:w="75" w:type="dxa"/>
              <w:bottom w:w="75" w:type="dxa"/>
              <w:right w:w="75" w:type="dxa"/>
            </w:tcMar>
            <w:vAlign w:val="center"/>
          </w:tcPr>
          <w:p w14:paraId="2C89A835" w14:textId="5CB05362" w:rsidR="001571BA" w:rsidRDefault="00395C01" w:rsidP="001571BA">
            <w:pPr>
              <w:jc w:val="left"/>
            </w:pPr>
            <w:r w:rsidRPr="00395C01">
              <w:t>Skaidrojam, ka gadījumos, ja lauks nav atzīstams par atbilstošu sēklaudzēšanas prasībām ārkārtas apstākļu dēļ, tad atbilstoši Ministru kabineta 2023.</w:t>
            </w:r>
            <w:r>
              <w:t> </w:t>
            </w:r>
            <w:r w:rsidRPr="00395C01">
              <w:t>gada 18. aprīļa noteikumu Nr. 198 "Tiešo maksājumu piešķiršanas kārtība lauksaimniekiem" 4. un 5. punktam, iesniedzot pierādījums, var saglabāt tiesības uz atbalstu.</w:t>
            </w:r>
          </w:p>
        </w:tc>
      </w:tr>
      <w:tr w:rsidR="001571BA" w14:paraId="1C95B1E4" w14:textId="77777777" w:rsidTr="00395C01">
        <w:tc>
          <w:tcPr>
            <w:tcW w:w="750" w:type="dxa"/>
            <w:shd w:val="clear" w:color="auto" w:fill="FFFFFF"/>
            <w:noWrap/>
            <w:tcMar>
              <w:top w:w="75" w:type="dxa"/>
              <w:left w:w="75" w:type="dxa"/>
              <w:bottom w:w="75" w:type="dxa"/>
              <w:right w:w="75" w:type="dxa"/>
            </w:tcMar>
            <w:vAlign w:val="center"/>
          </w:tcPr>
          <w:p w14:paraId="0ECCEE05"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66D3F4AE" w14:textId="4C6D56A9" w:rsidR="001571BA" w:rsidRDefault="001571BA" w:rsidP="001571BA">
            <w:pPr>
              <w:jc w:val="left"/>
            </w:pPr>
            <w:r w:rsidRPr="00B61CA3">
              <w:t xml:space="preserve">Biedrība Zemnieku </w:t>
            </w:r>
            <w:r w:rsidRPr="00B61CA3">
              <w:lastRenderedPageBreak/>
              <w:t>saeima</w:t>
            </w:r>
          </w:p>
        </w:tc>
        <w:tc>
          <w:tcPr>
            <w:tcW w:w="4536" w:type="dxa"/>
            <w:shd w:val="clear" w:color="auto" w:fill="FFFFFF"/>
            <w:noWrap/>
            <w:tcMar>
              <w:top w:w="75" w:type="dxa"/>
              <w:left w:w="75" w:type="dxa"/>
              <w:bottom w:w="75" w:type="dxa"/>
              <w:right w:w="75" w:type="dxa"/>
            </w:tcMar>
            <w:vAlign w:val="center"/>
          </w:tcPr>
          <w:p w14:paraId="6C5EA042" w14:textId="743595ED" w:rsidR="001571BA" w:rsidRDefault="001571BA" w:rsidP="001571BA">
            <w:pPr>
              <w:jc w:val="left"/>
            </w:pPr>
            <w:r>
              <w:lastRenderedPageBreak/>
              <w:t xml:space="preserve">Aicinām atkārtoti virzīt KLP Stratēģiskā plāna grozījumus, kas </w:t>
            </w:r>
            <w:r>
              <w:lastRenderedPageBreak/>
              <w:t>paredzētu vispārīgu atbrīvojumus kukurūzai no augu maiņas prasības, lai varētu kukurūzu audzēt vairāk kā 3 gadus pēc kārtas vienā laukā.</w:t>
            </w:r>
            <w:r>
              <w:br/>
              <w:t>Atgādinām, ka kukurūza ir viens no retajiem kultūraugiem, kuras audzēšana vienā un tajā pašā platībā ir iespējama vairākus gadu pēc kārtas</w:t>
            </w:r>
            <w:r>
              <w:br/>
              <w:t xml:space="preserve">Jebkādu </w:t>
            </w:r>
            <w:proofErr w:type="spellStart"/>
            <w:r>
              <w:t>starpkultūru</w:t>
            </w:r>
            <w:proofErr w:type="spellEnd"/>
            <w:r>
              <w:t xml:space="preserve"> augu segumu ierīkošana kukurūzas platībās agronomiski nav iespējama dēļ novēlotajiem sējas termiņiem, </w:t>
            </w:r>
            <w:proofErr w:type="spellStart"/>
            <w:r>
              <w:t>starpkultūru</w:t>
            </w:r>
            <w:proofErr w:type="spellEnd"/>
            <w:r>
              <w:t xml:space="preserve"> novēlota sēja pēc kukurūzas novākšanas radīs tikai papildus izdevumus lopkopības saimniecībām, bet jebkāda pienesuma. Zālāju pasēja ierīkošanai kukurūzas </w:t>
            </w:r>
            <w:proofErr w:type="spellStart"/>
            <w:r>
              <w:t>starprindās</w:t>
            </w:r>
            <w:proofErr w:type="spellEnd"/>
            <w:r>
              <w:t xml:space="preserve"> ir nepieciešams aprīkojums, kuru Latvijas lauksaimnieki nelieto.</w:t>
            </w:r>
            <w:r>
              <w:br/>
              <w:t xml:space="preserve">Ja </w:t>
            </w:r>
            <w:proofErr w:type="spellStart"/>
            <w:r>
              <w:t>starpkultūru</w:t>
            </w:r>
            <w:proofErr w:type="spellEnd"/>
            <w:r>
              <w:t xml:space="preserve"> mērķis ir "neturēt augsni tukšu", lai maksimāli tiktu saistīts CO2, tad rudens periodā kukurūza to nodrošina pilnībā, jo tiek novākta beidzoties veģetācijas periodam.</w:t>
            </w:r>
            <w:r>
              <w:br/>
              <w:t xml:space="preserve"> Būtiski, ka lielākajā daļā saimniecību tikai daļa no </w:t>
            </w:r>
            <w:proofErr w:type="spellStart"/>
            <w:r>
              <w:t>liz</w:t>
            </w:r>
            <w:proofErr w:type="spellEnd"/>
            <w:r>
              <w:t xml:space="preserve"> ir piemērota kukurūzas </w:t>
            </w:r>
            <w:r>
              <w:lastRenderedPageBreak/>
              <w:t>audzēšanai, daļā platības tas nav iespējams dēļ reljefa, augsnes nestspējas, meliorācijas sistēmu vecuma, kvalitatīviem piebraucamajiem ceļiem, meža dzīvnieku lielajiem postījumiem, daļa platības rudens periodā ir pārmitras, applūstošas, kur ir apgrūtināta kukurūzas novākšana. Daļā gadījumu, zemes īpašnieki nevēlas, ka viņu platībās tiek audzēta kukurūza.</w:t>
            </w:r>
            <w:r>
              <w:br/>
              <w:t>Tanī pat laikā daļā platību lauksaimniekiem piespiedu kārtā ir jāsaglabā ilggadīgie zālāji. Lai mazinātu savvaļas dzīvnieku radītos postījumus lauksaimnieki mēdz ierīkot arī žogus apkārt tiem laukiem, kur tiek audzēta kukurūza, žogus nav iespējams ierīkot ap visiem saimniecības laukiem.</w:t>
            </w:r>
          </w:p>
        </w:tc>
        <w:tc>
          <w:tcPr>
            <w:tcW w:w="1418" w:type="dxa"/>
            <w:shd w:val="clear" w:color="auto" w:fill="FFFFFF"/>
            <w:noWrap/>
            <w:tcMar>
              <w:top w:w="75" w:type="dxa"/>
              <w:left w:w="75" w:type="dxa"/>
              <w:bottom w:w="75" w:type="dxa"/>
              <w:right w:w="75" w:type="dxa"/>
            </w:tcMar>
            <w:vAlign w:val="center"/>
          </w:tcPr>
          <w:p w14:paraId="0536F725" w14:textId="1E80D0C7" w:rsidR="001571BA" w:rsidRDefault="001571BA" w:rsidP="001571BA">
            <w:pPr>
              <w:jc w:val="left"/>
            </w:pPr>
            <w:r w:rsidRPr="00767698">
              <w:lastRenderedPageBreak/>
              <w:t>Nav ņemts vērā</w:t>
            </w:r>
          </w:p>
        </w:tc>
        <w:tc>
          <w:tcPr>
            <w:tcW w:w="5953" w:type="dxa"/>
            <w:shd w:val="clear" w:color="auto" w:fill="FFFFFF"/>
            <w:noWrap/>
            <w:tcMar>
              <w:top w:w="75" w:type="dxa"/>
              <w:left w:w="75" w:type="dxa"/>
              <w:bottom w:w="75" w:type="dxa"/>
              <w:right w:w="75" w:type="dxa"/>
            </w:tcMar>
            <w:vAlign w:val="center"/>
          </w:tcPr>
          <w:p w14:paraId="7297F20B" w14:textId="38072C09" w:rsidR="00395C01" w:rsidRDefault="00395C01" w:rsidP="00395C01">
            <w:pPr>
              <w:jc w:val="left"/>
            </w:pPr>
            <w:r>
              <w:t xml:space="preserve">Šāds </w:t>
            </w:r>
            <w:r>
              <w:t>priekšlikums jau tiek virzīts</w:t>
            </w:r>
            <w:r>
              <w:t xml:space="preserve"> ar</w:t>
            </w:r>
            <w:r>
              <w:t xml:space="preserve"> KLP Stratēģisk</w:t>
            </w:r>
            <w:r>
              <w:t>ā</w:t>
            </w:r>
            <w:r>
              <w:t xml:space="preserve"> plān</w:t>
            </w:r>
            <w:r>
              <w:t>a</w:t>
            </w:r>
            <w:r>
              <w:t xml:space="preserve"> grozījum</w:t>
            </w:r>
            <w:r>
              <w:t>iem</w:t>
            </w:r>
            <w:r>
              <w:t xml:space="preserve">, tomēr ir saņemti </w:t>
            </w:r>
            <w:r>
              <w:lastRenderedPageBreak/>
              <w:t>EK apsvērumi, kas iebilst pret vispārēju atbrīvojumu kukurūzai.</w:t>
            </w:r>
          </w:p>
          <w:p w14:paraId="28B400F6" w14:textId="4A2D8A81" w:rsidR="001571BA" w:rsidRDefault="00395C01" w:rsidP="00395C01">
            <w:pPr>
              <w:jc w:val="left"/>
            </w:pPr>
            <w:r>
              <w:t>Eiropas Komisija nepiekrīt šādam grozījumam par vispārīgu atbrīvojumu un norāda, ka “ierosinātais atbrīvojums kukurūzai no augu maiņas prasībām saskaņā ar 7. LLVS, šķiet, neatbilst Regulas (ES) 2021/2115 13. panta 1. punktā noteiktajiem kritērijiem īpašiem atbrīvojumiem. Jo īpaši dalībvalstīm ir jāpierāda, ka īpašais atbrīvojums ir nepieciešams, lai risinātu konkrētu problēmu, kas saistīta ar standarta piemērošanu. Īpašu atbrīvojumu var noteikt tikai tiktāl, ciktāl tas ir nepieciešams, un tas nedrīkst būtiski kavēt standarta ieguldījumu tā galvenā mērķa sasniegšanā, kā uzskaitīts Regulas (ES) 2021/2115 III pielikumā. Arī zinātniskie pētījumi liecina, ka augu maiņa sniedz ievērojamas priekšrocības augsnes aizsardzībā un aizsardzības pret kaitēkļiem un slimībām ziņā, tostarp attiecībā uz kukurūzu. Tāpēc Latvija tiek aicināta izpētīt alternatīvas īpašā atbrīvojuma noteikšanai saskaņā ar Regulas (ES) 2021/2115 13. panta 1. punktu.”</w:t>
            </w:r>
          </w:p>
        </w:tc>
      </w:tr>
      <w:tr w:rsidR="001571BA" w14:paraId="5B8D85A3" w14:textId="77777777" w:rsidTr="00395C01">
        <w:tc>
          <w:tcPr>
            <w:tcW w:w="750" w:type="dxa"/>
            <w:shd w:val="clear" w:color="auto" w:fill="FFFFFF"/>
            <w:noWrap/>
            <w:tcMar>
              <w:top w:w="75" w:type="dxa"/>
              <w:left w:w="75" w:type="dxa"/>
              <w:bottom w:w="75" w:type="dxa"/>
              <w:right w:w="75" w:type="dxa"/>
            </w:tcMar>
            <w:vAlign w:val="center"/>
          </w:tcPr>
          <w:p w14:paraId="23F7414C" w14:textId="77777777" w:rsidR="001571BA" w:rsidRDefault="001571BA" w:rsidP="001571BA">
            <w:pPr>
              <w:pStyle w:val="ListParagraph"/>
              <w:numPr>
                <w:ilvl w:val="0"/>
                <w:numId w:val="1"/>
              </w:numPr>
              <w:jc w:val="center"/>
            </w:pPr>
          </w:p>
        </w:tc>
        <w:tc>
          <w:tcPr>
            <w:tcW w:w="2019" w:type="dxa"/>
            <w:shd w:val="clear" w:color="auto" w:fill="FFFFFF"/>
            <w:noWrap/>
            <w:tcMar>
              <w:top w:w="75" w:type="dxa"/>
              <w:left w:w="75" w:type="dxa"/>
              <w:bottom w:w="75" w:type="dxa"/>
              <w:right w:w="75" w:type="dxa"/>
            </w:tcMar>
            <w:vAlign w:val="center"/>
          </w:tcPr>
          <w:p w14:paraId="5F90D38E" w14:textId="19A276A0" w:rsidR="001571BA" w:rsidRDefault="001571BA" w:rsidP="001571BA">
            <w:pPr>
              <w:jc w:val="left"/>
            </w:pPr>
            <w:r w:rsidRPr="00B61CA3">
              <w:t>Biedrība Zemnieku saeima</w:t>
            </w:r>
          </w:p>
        </w:tc>
        <w:tc>
          <w:tcPr>
            <w:tcW w:w="4536" w:type="dxa"/>
            <w:shd w:val="clear" w:color="auto" w:fill="FFFFFF"/>
            <w:noWrap/>
            <w:tcMar>
              <w:top w:w="75" w:type="dxa"/>
              <w:left w:w="75" w:type="dxa"/>
              <w:bottom w:w="75" w:type="dxa"/>
              <w:right w:w="75" w:type="dxa"/>
            </w:tcMar>
            <w:vAlign w:val="center"/>
          </w:tcPr>
          <w:p w14:paraId="5210CB59" w14:textId="20FC1EB9" w:rsidR="001571BA" w:rsidRDefault="001571BA" w:rsidP="001571BA">
            <w:pPr>
              <w:jc w:val="left"/>
            </w:pPr>
            <w:r>
              <w:t xml:space="preserve">Aicinām noteikt, ka uz </w:t>
            </w:r>
            <w:proofErr w:type="spellStart"/>
            <w:r>
              <w:t>starpkultūras</w:t>
            </w:r>
            <w:proofErr w:type="spellEnd"/>
            <w:r>
              <w:t xml:space="preserve"> atbalstu ir iespējams pieteikt visu lauku ar, piemēram 10ha platību, neskatoties uz to, ka </w:t>
            </w:r>
            <w:proofErr w:type="spellStart"/>
            <w:r>
              <w:t>atbalsttiesīgā</w:t>
            </w:r>
            <w:proofErr w:type="spellEnd"/>
            <w:r>
              <w:t xml:space="preserve"> platība šajā laukā, ko ir iespējams pieteikt </w:t>
            </w:r>
            <w:proofErr w:type="spellStart"/>
            <w:r>
              <w:t>starpkultūru</w:t>
            </w:r>
            <w:proofErr w:type="spellEnd"/>
            <w:r>
              <w:t xml:space="preserve"> atbalstam, ir 5ha, atbalstu aicinām izmaksāt par 5ha, bet </w:t>
            </w:r>
            <w:r>
              <w:lastRenderedPageBreak/>
              <w:t>nenoteikt, ka lauksaimniekam ir atsevišķi jāsadala lauks 2 daļās.</w:t>
            </w:r>
          </w:p>
        </w:tc>
        <w:tc>
          <w:tcPr>
            <w:tcW w:w="1418" w:type="dxa"/>
            <w:shd w:val="clear" w:color="auto" w:fill="FFFFFF"/>
            <w:noWrap/>
            <w:tcMar>
              <w:top w:w="75" w:type="dxa"/>
              <w:left w:w="75" w:type="dxa"/>
              <w:bottom w:w="75" w:type="dxa"/>
              <w:right w:w="75" w:type="dxa"/>
            </w:tcMar>
            <w:vAlign w:val="center"/>
          </w:tcPr>
          <w:p w14:paraId="6955EA39" w14:textId="4ED61565" w:rsidR="001571BA" w:rsidRDefault="001571BA" w:rsidP="001571BA">
            <w:pPr>
              <w:jc w:val="left"/>
            </w:pPr>
            <w:r w:rsidRPr="00767698">
              <w:lastRenderedPageBreak/>
              <w:t>Nav ņemts vērā</w:t>
            </w:r>
          </w:p>
        </w:tc>
        <w:tc>
          <w:tcPr>
            <w:tcW w:w="5953" w:type="dxa"/>
            <w:shd w:val="clear" w:color="auto" w:fill="FFFFFF"/>
            <w:noWrap/>
            <w:tcMar>
              <w:top w:w="75" w:type="dxa"/>
              <w:left w:w="75" w:type="dxa"/>
              <w:bottom w:w="75" w:type="dxa"/>
              <w:right w:w="75" w:type="dxa"/>
            </w:tcMar>
            <w:vAlign w:val="center"/>
          </w:tcPr>
          <w:p w14:paraId="2C40322C" w14:textId="3525E373" w:rsidR="001571BA" w:rsidRDefault="00395C01" w:rsidP="001571BA">
            <w:pPr>
              <w:jc w:val="left"/>
            </w:pPr>
            <w:bookmarkStart w:id="5" w:name="OLE_LINK28"/>
            <w:r w:rsidRPr="00395C01">
              <w:t>Ministru kabineta 2023. gada 18. aprīļa noteikum</w:t>
            </w:r>
            <w:r>
              <w:t>u</w:t>
            </w:r>
            <w:r w:rsidRPr="00395C01">
              <w:t xml:space="preserve"> Nr. 198 "Tiešo maksājumu piešķiršanas kārtība lauksaimniekiem"</w:t>
            </w:r>
            <w:r>
              <w:t xml:space="preserve"> </w:t>
            </w:r>
            <w:bookmarkEnd w:id="5"/>
            <w:r w:rsidRPr="00395C01">
              <w:t>248. punkts nosaka pazīmes vienam lauksaimniecības zemes nogabalam (laukam), kam ir jābūt vienlaidu lauksaimniecības zemes platībai un ko aizņem tikai viens kultūraugs vai kam ir tikai viens zemes izmantošanas veids.</w:t>
            </w:r>
            <w:r w:rsidR="008A089D">
              <w:t xml:space="preserve"> </w:t>
            </w:r>
          </w:p>
          <w:p w14:paraId="20078532" w14:textId="3107569A" w:rsidR="008A089D" w:rsidRDefault="008A089D" w:rsidP="008A089D">
            <w:pPr>
              <w:jc w:val="left"/>
            </w:pPr>
            <w:r>
              <w:lastRenderedPageBreak/>
              <w:t xml:space="preserve">Šāds nodalījums nepieciešams, lai precīzi varētu noteikt atbalstāmo platību, kā arī lai pārbaudes laikā varētu konstatēt, kurā laukā tiek audzēta </w:t>
            </w:r>
            <w:proofErr w:type="spellStart"/>
            <w:r>
              <w:t>starpkultūra</w:t>
            </w:r>
            <w:proofErr w:type="spellEnd"/>
            <w:r>
              <w:t>.</w:t>
            </w:r>
          </w:p>
        </w:tc>
      </w:tr>
    </w:tbl>
    <w:p w14:paraId="5F21BDFC" w14:textId="30C84AA5" w:rsidR="003E52C2" w:rsidRDefault="00A73899">
      <w:r>
        <w:lastRenderedPageBreak/>
        <w:tab/>
      </w:r>
      <w:r>
        <w:tab/>
      </w:r>
    </w:p>
    <w:sectPr w:rsidR="0000000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72A2" w14:textId="77777777" w:rsidR="003E52C2" w:rsidRDefault="003E52C2">
      <w:r>
        <w:separator/>
      </w:r>
    </w:p>
  </w:endnote>
  <w:endnote w:type="continuationSeparator" w:id="0">
    <w:p w14:paraId="2C91F543" w14:textId="77777777" w:rsidR="003E52C2" w:rsidRDefault="003E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418D" w14:textId="77777777" w:rsidR="008255BA" w:rsidRDefault="003E52C2">
    <w:pPr>
      <w:jc w:val="right"/>
    </w:pPr>
    <w:r>
      <w:rPr>
        <w:sz w:val="24"/>
        <w:szCs w:val="24"/>
      </w:rPr>
      <w:fldChar w:fldCharType="begin"/>
    </w:r>
    <w:r>
      <w:rPr>
        <w:sz w:val="24"/>
        <w:szCs w:val="24"/>
      </w:rPr>
      <w:instrText>PAGE</w:instrText>
    </w:r>
    <w:r w:rsidR="00977698">
      <w:rPr>
        <w:sz w:val="24"/>
        <w:szCs w:val="24"/>
      </w:rPr>
      <w:fldChar w:fldCharType="separate"/>
    </w:r>
    <w:r w:rsidR="0097769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396B" w14:textId="77777777" w:rsidR="003E52C2" w:rsidRDefault="003E52C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254A0" w14:textId="77777777" w:rsidR="003E52C2" w:rsidRDefault="003E52C2">
      <w:r>
        <w:separator/>
      </w:r>
    </w:p>
  </w:footnote>
  <w:footnote w:type="continuationSeparator" w:id="0">
    <w:p w14:paraId="41347ED5" w14:textId="77777777" w:rsidR="003E52C2" w:rsidRDefault="003E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FE24" w14:textId="77777777" w:rsidR="008255BA" w:rsidRDefault="003E52C2">
    <w:pPr>
      <w:pStyle w:val="Header"/>
      <w:contextualSpacing w:val="0"/>
    </w:pPr>
    <w:r>
      <w:t>Viedokļu pārskats 24-TA-1632</w:t>
    </w:r>
    <w:r>
      <w:br/>
    </w:r>
    <w:r>
      <w:t>Izdrukāts 19.08.2024. 09.48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898B" w14:textId="77777777" w:rsidR="008255BA" w:rsidRDefault="003E52C2">
    <w:pPr>
      <w:pStyle w:val="Header"/>
      <w:contextualSpacing w:val="0"/>
    </w:pPr>
    <w:r>
      <w:t>Viedokļu pārskats 24-TA-1632</w:t>
    </w:r>
    <w:r>
      <w:br/>
    </w:r>
    <w:r>
      <w:t>Izdrukāts 19.08.2024. 09.48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C72B5"/>
    <w:multiLevelType w:val="hybridMultilevel"/>
    <w:tmpl w:val="9BD60D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8492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BA"/>
    <w:rsid w:val="001571BA"/>
    <w:rsid w:val="001A5EA4"/>
    <w:rsid w:val="001B2C72"/>
    <w:rsid w:val="002343E9"/>
    <w:rsid w:val="00263176"/>
    <w:rsid w:val="00395C01"/>
    <w:rsid w:val="003E52C2"/>
    <w:rsid w:val="008255BA"/>
    <w:rsid w:val="008A089D"/>
    <w:rsid w:val="00977698"/>
    <w:rsid w:val="00A322B7"/>
    <w:rsid w:val="00A626C9"/>
    <w:rsid w:val="00A73899"/>
    <w:rsid w:val="00C13DF4"/>
    <w:rsid w:val="00DE6F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1B65"/>
  <w15:docId w15:val="{2CEC1EC5-3E04-4D0F-AF1A-D2BE46F8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34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13504">
      <w:bodyDiv w:val="1"/>
      <w:marLeft w:val="0"/>
      <w:marRight w:val="0"/>
      <w:marTop w:val="0"/>
      <w:marBottom w:val="0"/>
      <w:divBdr>
        <w:top w:val="none" w:sz="0" w:space="0" w:color="auto"/>
        <w:left w:val="none" w:sz="0" w:space="0" w:color="auto"/>
        <w:bottom w:val="none" w:sz="0" w:space="0" w:color="auto"/>
        <w:right w:val="none" w:sz="0" w:space="0" w:color="auto"/>
      </w:divBdr>
      <w:divsChild>
        <w:div w:id="411706803">
          <w:marLeft w:val="0"/>
          <w:marRight w:val="0"/>
          <w:marTop w:val="0"/>
          <w:marBottom w:val="0"/>
          <w:divBdr>
            <w:top w:val="none" w:sz="0" w:space="0" w:color="auto"/>
            <w:left w:val="none" w:sz="0" w:space="0" w:color="auto"/>
            <w:bottom w:val="none" w:sz="0" w:space="0" w:color="auto"/>
            <w:right w:val="none" w:sz="0" w:space="0" w:color="auto"/>
          </w:divBdr>
        </w:div>
        <w:div w:id="11485211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6242</Words>
  <Characters>3559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viedoklu_parskats_24-TA-1632.docx</vt:lpstr>
    </vt:vector>
  </TitlesOfParts>
  <Company>Zemkopības Ministrija</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viedoklu_parskats_24-TA-1632.docx</dc:title>
  <dc:creator>Andris Orlovskis</dc:creator>
  <cp:lastModifiedBy>Andris Orlovskis</cp:lastModifiedBy>
  <cp:revision>2</cp:revision>
  <dcterms:created xsi:type="dcterms:W3CDTF">2024-08-21T10:42:00Z</dcterms:created>
  <dcterms:modified xsi:type="dcterms:W3CDTF">2024-08-21T10:42:00Z</dcterms:modified>
</cp:coreProperties>
</file>