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26-TA-1074: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izstrādātajiem priekšlikumiem CEF10G finansēšanas līguma grozījumiem, kas tiks iesniegti izskatīšanai CINEA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14:34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projektā paredzēta publisko līdzekļu piešķiršana (pārdalīšana) SIA “Eiropas dzelzceļa līnijas” protokollēmuma 2.punktā minētajām jaunajām aktivitātēm, tas ir, dzīvnieku pārvada būvniecībai BP9 un dzelzceļa pievedceļa 1435/1520 mm izbūvei Rail Baltica infrastruktūras uzturēšanas bāzei Iecavā, kā arī šo darbu būvuzraudzībai (ja tiks panākta attiecīgā vienošanās par grozījumiem līgumā ar CINEA), lūdzam papildināt informatīvo ziņojumu ar informāciju komercdarbības atbalsta kontroles kontekstā, sniedzot argumentus, vai un kāpēc plānotais atbalsta pasākums nekvalificējas kā komercdarbības atbalsts saskaņā ar Komercdarbības atbalsta kontroles likuma 5.pantu.  Papildus lūdzam papildināt  informatīvo ziņojumu ar informāciju komercdarbības atbalsta kontroles kontekstā arī attiecībā uz publisko līdzekļu piešķiršanu AS “RB Rail”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2026.gada 30.martā ir stājies spēkā Komisijas paziņojums "Vadlīnijas valsts atbalstam sauszemes un multimodālajiem pārvadājumiem” (C/2026/1656) (turpmāk – Komisijas paziņojums), kas atceļ Komisijas 2008.gada 22.jūlija paziņojumu “Kopienas vadlīnijas valsts atbalstam dzelzceļa uzņēmumiem” (2008/C 184/07), līdz ar to komercdarbības atbalsta neesamības publiskās lietošanas dzelzceļa infrastruktūrai pamatošanai lūdzam izvērtēt, vai publisko līdzekļu piešķīrums šādai infrastruktūrai atbilst Komisijas paziņojuma 99. punkta zemsvītras piezīmē ietvertajām prasībām, proti, vai attiecībā uz infrastruktūras būvniecību ietekme uz tirdzniecību starp dalībvalstīm vai konkurences izkropļojumu iespēja parasti ir izslēgta, jo ir izpildīti visi šie nosacījumi: i) šai infrastruktūrai parasti nav tiešu konkurentu, ii) privātais finansējums attiecīgajā nozarē un dalībvalstī ir nebūtisks un iii) infrastruktūra nav paredzēta, lai radītu selektīvas priekšrocības konkrētam uzņēmumam vai nozarei, bet gan dod labumu visai sabiedrībai, un lūdzam atbilstoši papildināt informatīvo ziņojumu ar izvērtējumu, kas pamato komercdarbības atbalsta izslēgšanu.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papildināts ar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CEF10G līguma grozījumiem tiks iekļautas divas jaunas aktivitātes un to būvuzraudzība (Dzīvnieku pārvada būvniecība BP9 (darba uzdevums T.4.1) un 2.2.2. Dzelzceļa pievedceļu 1435/1520 mm izbūve Rail Baltica infrastruktūras uzturēšanas bāzei Iecavā (darba uzdevums T.4.2)), tad virzot Ministru kabinetā informatīvo ziņojumu par precizētajām CEF10G līguma summām, tajā tiks iekļauta informācija komercdarbības atbalsta kontroles kontekstā, sniedzot argumentus, vai un kāpēc plānotais atbalsta pasākums nekvalificējas kā komercdarbības atbalsts saskaņā ar Komercdarbības atbalsta kontroles likuma 5.pantu.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lai nodrošinātu NoBo un AsBo novērtējumus, laboratorijas pakalpojumus un citus obligātos uzdevumus, kas nepieciešami būvdarbu kvalitātes un sistēminženierijas nodrošināšanai, kā arī atbilstībai nacionālajam un Eiropas Savienības normatīvajam regulējumam, finansējumu 1 776 436 euro apmērā no Latvijas būvniecības aktivitātēm (EDZL) ir plānots pārvirzīt AS “RB Rail” darba uzdevumu īstenošanai, tomēr 1.tabulā, kurā sniegts apkopojums par piedāvātajām pārdalēm, šāda informācija nav iekļauta. Lūdzam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ja šī finansējuma pārdale nav norādīta 1.tabulā, tad nav skaidrs, kā veidojas 1.tabulā norādītais apmērs ailē “Līdzekļu atgriešana CINEA” 23 770 000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precizēts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NoBo un AsBo novērtējumus, laboratorijas pakalpojumus un citus obligātos uzdevumus, kas nepieciešami būvdarbu kvalitātes un sistēminženierijas nodrošināšanai, kā arī atbilstībai nacionālajam un Eiropas Savienības normatīvajam regulējumam, finansējumu 1 776 436 euro apmērā no Latvijas būvniecības aktivitātēm (EDZL) ir plānots pārvirzīt AS “RB Rail” darba uzdevumu īstenošanai,</w:t>
            </w:r>
            <w:r w:rsidR="00000000" w:rsidRPr="00000000" w:rsidDel="00000000">
              <w:rPr>
                <w:u w:val="single"/>
                <w:rtl w:val="0"/>
              </w:rPr>
              <w:t xml:space="preserve"> kas arī ir saistīti ar būvniecības aktivitātēm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izmaiņas ir iekšēju pārdaļu formā - mērķis nemainās, mainās ieviesējs.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aiz 1.tabulas norādīt, ka situācijā, ja ar CEF-10 līguma grozījumiem tiks samazināts finansējums, tad attiecīgi virzot Ministru kabinetā informatīvo ziņojumu par precizētajām CEF-10 līguma summām, ir jāprecizē arī PVN izmaksas un tām paredzētais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vēra, IZ papildināts ar FM komentārā minēto norādi.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ziņojuma 1.tabulā ailes “Līdzekļu atgriešana CINEA” nosaukums un arī ziņojuma noslēgumā sniegtā norāde “Paredzot līdzekļu atgriešana CINEA” ir korekta, proti, vai CEF-10 līguma ietvaros jau ir faktiski saņemts viss finansējums, kas nozīmētu līdzekļu atgriešanu, vai tomēr tā vietā nosakāms, ka tiek paredzēta CEF-10 līguma summas samazināšana, atbrīvojot sākotnēji apstiprināto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ka CEF10G līguma ietvaros nav jāveic līdzekļu atgriešana. Ir jāveic CEF10G līguma summas samazināšana, atbrīvojot sākotnēji apstiprināto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izstrādātajiem priekšlikumiem CEF10G finansēšanas līguma grozījumiem, kas tiks iesniegti izskatīšanai CINEA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1.tabulā pievienot norādi, ka aktivitāšu finansējums norādīts bez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protokollēmuma projekta 1.punktā noteikto un piedāvāt Ministru kabinetam atbalstīšanai vienu no turpmākās rīcības variantiem, jo šobrīd no formulētā uzdevuma nav skaidrs, kāda būs Satiksmes ministrijas rīcība pēc tā. Ja tomēr Satiksmes ministrijas ieskatā Ministru kabineta protokollēmumā jāuzrādās abiem iespējamiem rīcības variantiem, tad lūdzam izvērtēt, vai attiecīgi nav jāparedz uzdevums turpināt sarunas ar CINEA par divu jaunu aktivitāšu un to būvuzraudzību izkļaušanu CEF-10 līgumā, un ja gadījumā sarunas ar CINEA ir nesekmīgas, vienoties ar CINEA par CEF-10 līguma grozījumiem, kas paredz finansējuma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atbilstoši FM komentāram.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26-TA-1074</w:t>
    </w:r>
    <w:r>
      <w:br/>
    </w:r>
    <w:r w:rsidR="00000000" w:rsidRPr="00000000" w:rsidDel="00000000">
      <w:rPr>
        <w:rtl w:val="0"/>
      </w:rPr>
      <w:t xml:space="preserve">24.07.2026. 18.01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26-TA-1074</w:t>
    </w:r>
    <w:r>
      <w:br/>
    </w:r>
    <w:r w:rsidR="00000000" w:rsidRPr="00000000" w:rsidDel="00000000">
      <w:rPr>
        <w:rtl w:val="0"/>
      </w:rPr>
      <w:t xml:space="preserve">24.07.2026. 18.01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Izziņa_26-TA-1074.docx</dc:title>
</cp:coreProperties>
</file>

<file path=docProps/custom.xml><?xml version="1.0" encoding="utf-8"?>
<Properties xmlns="http://schemas.openxmlformats.org/officeDocument/2006/custom-properties" xmlns:vt="http://schemas.openxmlformats.org/officeDocument/2006/docPropsVTypes"/>
</file>