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98440A3" w14:textId="77777777" w:rsidR="00954D22" w:rsidRDefault="00D73A65">
      <w:pPr>
        <w:spacing w:after="240"/>
        <w:jc w:val="center"/>
        <w:rPr>
          <w:b/>
        </w:rPr>
      </w:pPr>
      <w:r>
        <w:rPr>
          <w:b/>
        </w:rPr>
        <w:t>“Publiskās apspriešanas laikā 03.09.2026. - 17.09.2026. saņemto viedokļu, priekšlikumu un iebildumu apkopojums par Grozījumi Ministru kabineta 2021. gada 22. jūnija noteikumos Nr.&amp;nbsp;397 "Noteikumi par atkritumu apsaimniekošanas valsts un reģionālajiem plāniem un atkritumu rašanās novēršanas valsts programmu"”</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954D22" w14:paraId="60858C28" w14:textId="77777777">
        <w:tc>
          <w:tcPr>
            <w:tcW w:w="750" w:type="dxa"/>
            <w:shd w:val="clear" w:color="auto" w:fill="FFFFFF"/>
            <w:noWrap/>
            <w:tcMar>
              <w:top w:w="75" w:type="dxa"/>
              <w:left w:w="75" w:type="dxa"/>
              <w:bottom w:w="75" w:type="dxa"/>
              <w:right w:w="75" w:type="dxa"/>
            </w:tcMar>
            <w:vAlign w:val="center"/>
          </w:tcPr>
          <w:p w14:paraId="71B08F12" w14:textId="77777777" w:rsidR="00954D22" w:rsidRDefault="00D73A65">
            <w:pPr>
              <w:jc w:val="center"/>
            </w:pPr>
            <w:proofErr w:type="spellStart"/>
            <w:r>
              <w:rPr>
                <w:b/>
              </w:rPr>
              <w:t>Nr.p.k</w:t>
            </w:r>
            <w:proofErr w:type="spellEnd"/>
            <w:r>
              <w:rPr>
                <w:b/>
              </w:rPr>
              <w:t>.</w:t>
            </w:r>
          </w:p>
        </w:tc>
        <w:tc>
          <w:tcPr>
            <w:tcW w:w="4055" w:type="dxa"/>
            <w:shd w:val="clear" w:color="auto" w:fill="FFFFFF"/>
            <w:noWrap/>
            <w:tcMar>
              <w:top w:w="75" w:type="dxa"/>
              <w:left w:w="75" w:type="dxa"/>
              <w:bottom w:w="75" w:type="dxa"/>
              <w:right w:w="75" w:type="dxa"/>
            </w:tcMar>
            <w:vAlign w:val="center"/>
          </w:tcPr>
          <w:p w14:paraId="1D6D87EC" w14:textId="77777777" w:rsidR="00954D22" w:rsidRDefault="00D73A65">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0E042F3F" w14:textId="77777777" w:rsidR="00954D22" w:rsidRDefault="00D73A65" w:rsidP="001C2992">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51953471" w14:textId="77777777" w:rsidR="00954D22" w:rsidRDefault="00D73A65" w:rsidP="001C2992">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6409A180" w14:textId="77777777" w:rsidR="00954D22" w:rsidRDefault="00D73A65" w:rsidP="001C2992">
            <w:r>
              <w:rPr>
                <w:b/>
              </w:rPr>
              <w:t>Skaidrojums, kādā veidā viedoklis / priekšlikums / iebildums ir ņemts vērā vai ņemts vērā daļēji, vai pamatojums, ja viedoklis / priekšlikums / iebildums nav ņemts vērā</w:t>
            </w:r>
          </w:p>
        </w:tc>
      </w:tr>
      <w:tr w:rsidR="00954D22" w14:paraId="6FC70BDF" w14:textId="77777777" w:rsidTr="002956E0">
        <w:tc>
          <w:tcPr>
            <w:tcW w:w="750" w:type="dxa"/>
            <w:shd w:val="clear" w:color="auto" w:fill="FFFFFF"/>
            <w:noWrap/>
            <w:tcMar>
              <w:top w:w="75" w:type="dxa"/>
              <w:left w:w="75" w:type="dxa"/>
              <w:bottom w:w="75" w:type="dxa"/>
              <w:right w:w="75" w:type="dxa"/>
            </w:tcMar>
            <w:vAlign w:val="center"/>
          </w:tcPr>
          <w:p w14:paraId="7E5EC081" w14:textId="77777777" w:rsidR="00954D22" w:rsidRDefault="00D73A65">
            <w:pPr>
              <w:jc w:val="center"/>
            </w:pPr>
            <w:r>
              <w:t>1.</w:t>
            </w:r>
          </w:p>
        </w:tc>
        <w:tc>
          <w:tcPr>
            <w:tcW w:w="4055" w:type="dxa"/>
            <w:shd w:val="clear" w:color="auto" w:fill="FFFFFF"/>
            <w:noWrap/>
            <w:tcMar>
              <w:top w:w="75" w:type="dxa"/>
              <w:left w:w="75" w:type="dxa"/>
              <w:bottom w:w="75" w:type="dxa"/>
              <w:right w:w="75" w:type="dxa"/>
            </w:tcMar>
            <w:vAlign w:val="center"/>
          </w:tcPr>
          <w:p w14:paraId="140C1D3C" w14:textId="77777777" w:rsidR="00954D22" w:rsidRDefault="00D73A65">
            <w:pPr>
              <w:jc w:val="left"/>
            </w:pPr>
            <w:r>
              <w:t>Fiziska persona</w:t>
            </w:r>
          </w:p>
        </w:tc>
        <w:tc>
          <w:tcPr>
            <w:tcW w:w="4056" w:type="dxa"/>
            <w:shd w:val="clear" w:color="auto" w:fill="FFFFFF"/>
            <w:noWrap/>
            <w:tcMar>
              <w:top w:w="75" w:type="dxa"/>
              <w:left w:w="75" w:type="dxa"/>
              <w:bottom w:w="75" w:type="dxa"/>
              <w:right w:w="75" w:type="dxa"/>
            </w:tcMar>
            <w:vAlign w:val="center"/>
          </w:tcPr>
          <w:p w14:paraId="2FCA50C1" w14:textId="77777777" w:rsidR="00954D22" w:rsidRDefault="00D73A65" w:rsidP="001C2992">
            <w:r>
              <w:rPr>
                <w:b/>
              </w:rPr>
              <w:t>Latvijas Lielo pilsētu asociācija</w:t>
            </w:r>
            <w:r>
              <w:br/>
            </w:r>
            <w:r>
              <w:br/>
              <w:t>1) Eiropā arvien lielāku politisko nozīmi iegūst pāreja no vienreizlietojamā iepakojuma uz atkārtoti izmantojama pārtikas līdzņemšanas iepakojuma sistēmām. Jaunais regulējums, jo īpaši</w:t>
            </w:r>
            <w:r>
              <w:rPr>
                <w:i/>
              </w:rPr>
              <w:t xml:space="preserve"> Eiropas Parlamenta un Padomes Regula (ES) 2025/40 (2024. gada 19. decembris) par iepakojumu un iepakojuma atkritumiem, ar ko groza Regulu (ES) 2019/1020 un Direktīvu (ES) 2019/904 un atceļ Direktīvu 94/62/EK </w:t>
            </w:r>
            <w:r>
              <w:t xml:space="preserve">nosaka konkrētus </w:t>
            </w:r>
            <w:r>
              <w:lastRenderedPageBreak/>
              <w:t xml:space="preserve">iepakojuma atkritumu apjoma samazināšanas </w:t>
            </w:r>
            <w:proofErr w:type="spellStart"/>
            <w:r>
              <w:t>mērķrādītājus</w:t>
            </w:r>
            <w:proofErr w:type="spellEnd"/>
            <w:r>
              <w:t xml:space="preserve"> dalībvalstīm un pakāpeniski ievieš prasības, kuru mērķis ir paplašināt </w:t>
            </w:r>
            <w:proofErr w:type="spellStart"/>
            <w:r>
              <w:t>atkalizmantojama</w:t>
            </w:r>
            <w:proofErr w:type="spellEnd"/>
            <w:r>
              <w:t xml:space="preserve"> iepakojuma un </w:t>
            </w:r>
            <w:proofErr w:type="spellStart"/>
            <w:r>
              <w:t>atkalizmantošanas</w:t>
            </w:r>
            <w:proofErr w:type="spellEnd"/>
            <w:r>
              <w:t xml:space="preserve"> sistēmu ieviešanu, tostarp līdzņemšanas pārtikas un dzērienu nozarē. Tomēr praksē šo sistēmu ieviešana joprojām ir sadrumstalota. Neraugoties uz daudziem pilotprojektiem un pieaugošu sabiedrības informētību, atkārtotas izmantošanas iepakojuma sistēmas vēl nav kļuvušas par pašsaprotamu ikdienas izvēli.</w:t>
            </w:r>
            <w:r>
              <w:br/>
              <w:t>Lai veidotu vienotu politikas plānošanas ietvaru un izstrādātu atbalsta mehānismus vienreizlietojamā pārtikas līdzņemšanas iepakojuma samazināšanai, nepieciešams noteikt konkrētus pasākumus Atkritumu rašanās novēršanas valsts programmā.</w:t>
            </w:r>
            <w:r>
              <w:br/>
            </w:r>
            <w:r>
              <w:br/>
              <w:t xml:space="preserve">Priekšlikums izteikt noteikumu projekta 3.3. apakšpunktu šādā </w:t>
            </w:r>
            <w:r>
              <w:lastRenderedPageBreak/>
              <w:t>redakcijā:</w:t>
            </w:r>
            <w:r>
              <w:br/>
            </w:r>
            <w:r>
              <w:br/>
            </w:r>
            <w:r>
              <w:rPr>
                <w:b/>
                <w:i/>
                <w:u w:val="single"/>
              </w:rPr>
              <w:t>3.3. atkritumu rašanās novēršanas valsts programmu, ietverot pasākumus, kā arī ekonomikas instrumentu, iepirkuma kritēriju, kvantitatīvu mērķu vai citu pasākumu izmantošanu, lai veicinātu pāreju no vienreizlietojamā iepakojuma uz atkārtoti izmantojama pārtikas iepakojuma sistēmām un atkritumu sagatavošanu atkārtotai izmantošanai, tajā skaitā, veicinot sagatavošanas atkārtotai izmantošanai un remontu tīklu izveidi un atbalstu tiem, kā arī atvieglojot šiem tīkliem piekļuvi tādiem atkritumu savākšanas sistēmu vai iekārtu operatoru īpašumā esošiem atkritumiem, kurus var sagatavot atkārtotai izmantošanai, bet ko minētie operatori neparedz sagatavot atkārtotai izmantošanai;</w:t>
            </w:r>
            <w:r>
              <w:br/>
            </w:r>
            <w:r>
              <w:br/>
            </w:r>
            <w:r>
              <w:br/>
            </w:r>
            <w:r>
              <w:lastRenderedPageBreak/>
              <w:t xml:space="preserve">2) Noteikumu projekta anotācijā ir atzīts:  </w:t>
            </w:r>
            <w:r>
              <w:rPr>
                <w:i/>
              </w:rPr>
              <w:t>Klimata un enerģētikas ministrija konstatēja, ka kvantitatīvie indikatori, kuri raksturo bīstamos atkritumus, faktiski svārstās atkarībā no tirgus situācijas un komersantu saimnieciskās aktivitātes</w:t>
            </w:r>
            <w:r>
              <w:t xml:space="preserve">, kas kopā ar faktu, ka </w:t>
            </w:r>
            <w:r>
              <w:rPr>
                <w:i/>
              </w:rPr>
              <w:t>ES normatīvajos aktos nav noteikti mērķi bīstamo atkritumu pārstrādei un apglabāšanai</w:t>
            </w:r>
            <w:r>
              <w:t>, sniegts pamatojums grozījumam svītrot atkritumu rašanās novēršanas pasākumu efektivitātes izvērtēšanas kvantitatīvos indikatorus attiecībā uz bīstamo atkritumu rašanos, pārstrādi un apglabāšanu.</w:t>
            </w:r>
            <w:r>
              <w:br/>
              <w:t xml:space="preserve">Ņemot vērā Atkritumu apsaimniekošanas likuma (turpmāk - AAL) 8.pantā noteikto pašvaldību kompetenci (savā teritorijā organizē visu sadzīves atkritumu, tai skaitā sadzīvē radušos bīstamo atkritumu un mājsaimniecībās radītos būvniecības atkritumus apsaimniekošanu), kā arī AAL </w:t>
            </w:r>
            <w:r>
              <w:lastRenderedPageBreak/>
              <w:t xml:space="preserve">10.panta otrās daļas nosacījumu par to, ka reģionālos plānus izstrādā pašvaldības, </w:t>
            </w:r>
            <w:r>
              <w:rPr>
                <w:b/>
                <w:u w:val="single"/>
              </w:rPr>
              <w:t>ir nepieciešams atbilstoši pašvaldību noteiktajai kompetencei pašvaldībām izstrādājamā reģionālā plāna saturā sašaurināt šo noteikumu  2.2.2. punktā ietverto atkritumu veidu tvērumu</w:t>
            </w:r>
            <w:r>
              <w:t>, iekļaujot tajā tikai tos atkritumu veidus, kas ir pašvaldību kompetencē. Tādējādi, ievērojot samērības principu, no reģionālo plānu satura būtu svītrojami tie atkritumu veidi, kas ir ārpus pašvaldību kompetences un par ko atbildība ar AAL 7.panta pirmās daļas 3.apakšpunktu ir noteikta Klimata un enerģētikas ministrijai un AAL 7.panta otro daļu - Valsts kapitālsabiedrībai “Latvijas Vides, ģeoloģijas un meteoroloģijas centrs”. Lai arī noteikumu projekts to neparedz, lūdzam to iekļaut veikt atbilstošus grozījumus. </w:t>
            </w:r>
          </w:p>
        </w:tc>
        <w:tc>
          <w:tcPr>
            <w:tcW w:w="1650" w:type="dxa"/>
            <w:shd w:val="clear" w:color="auto" w:fill="FFFFFF"/>
            <w:noWrap/>
            <w:tcMar>
              <w:top w:w="75" w:type="dxa"/>
              <w:left w:w="75" w:type="dxa"/>
              <w:bottom w:w="75" w:type="dxa"/>
              <w:right w:w="75" w:type="dxa"/>
            </w:tcMar>
          </w:tcPr>
          <w:p w14:paraId="72182B4F" w14:textId="77777777" w:rsidR="00954D22" w:rsidRDefault="005B38B1" w:rsidP="001C2992">
            <w:pPr>
              <w:pStyle w:val="ListParagraph"/>
              <w:numPr>
                <w:ilvl w:val="0"/>
                <w:numId w:val="2"/>
              </w:numPr>
              <w:ind w:left="357" w:firstLine="0"/>
            </w:pPr>
            <w:r>
              <w:lastRenderedPageBreak/>
              <w:t>Ņemts vērā</w:t>
            </w:r>
            <w:r w:rsidR="002956E0">
              <w:t xml:space="preserve">; </w:t>
            </w:r>
          </w:p>
          <w:p w14:paraId="7F88BA4D" w14:textId="36F183BA" w:rsidR="00D2218F" w:rsidRDefault="00D2218F" w:rsidP="001C2992">
            <w:pPr>
              <w:pStyle w:val="ListParagraph"/>
              <w:numPr>
                <w:ilvl w:val="0"/>
                <w:numId w:val="2"/>
              </w:numPr>
              <w:ind w:left="357" w:firstLine="0"/>
            </w:pPr>
            <w:r>
              <w:t>Ņemts vērā daļēji.</w:t>
            </w:r>
          </w:p>
        </w:tc>
        <w:tc>
          <w:tcPr>
            <w:tcW w:w="4056" w:type="dxa"/>
            <w:shd w:val="clear" w:color="auto" w:fill="FFFFFF"/>
            <w:noWrap/>
            <w:tcMar>
              <w:top w:w="75" w:type="dxa"/>
              <w:left w:w="75" w:type="dxa"/>
              <w:bottom w:w="75" w:type="dxa"/>
              <w:right w:w="75" w:type="dxa"/>
            </w:tcMar>
          </w:tcPr>
          <w:p w14:paraId="2E0949F7" w14:textId="1D3E3597" w:rsidR="00954D22" w:rsidRDefault="002956E0" w:rsidP="001C2992">
            <w:pPr>
              <w:pStyle w:val="ListParagraph"/>
              <w:numPr>
                <w:ilvl w:val="0"/>
                <w:numId w:val="3"/>
              </w:numPr>
              <w:ind w:left="357" w:firstLine="0"/>
            </w:pPr>
            <w:r>
              <w:t>Precizēt</w:t>
            </w:r>
            <w:r w:rsidR="00BF20E3">
              <w:t>a</w:t>
            </w:r>
            <w:r>
              <w:t xml:space="preserve"> noteikumu projekta </w:t>
            </w:r>
            <w:r w:rsidR="00236A17" w:rsidRPr="00236A17">
              <w:t>1</w:t>
            </w:r>
            <w:r w:rsidRPr="00236A17">
              <w:t>.</w:t>
            </w:r>
            <w:r w:rsidR="00236A17">
              <w:t xml:space="preserve"> p</w:t>
            </w:r>
            <w:r>
              <w:t xml:space="preserve">unkta redakcijā izteiktā </w:t>
            </w:r>
            <w:r w:rsidR="00236A17">
              <w:t xml:space="preserve">noteikumu </w:t>
            </w:r>
            <w:r>
              <w:t>3.3.apakšpunkta redakcija;</w:t>
            </w:r>
          </w:p>
          <w:p w14:paraId="1219767A" w14:textId="77777777" w:rsidR="002956E0" w:rsidRDefault="00D2218F" w:rsidP="001C2992">
            <w:pPr>
              <w:pStyle w:val="ListParagraph"/>
              <w:numPr>
                <w:ilvl w:val="0"/>
                <w:numId w:val="3"/>
              </w:numPr>
              <w:ind w:left="357" w:firstLine="0"/>
            </w:pPr>
            <w:r>
              <w:t>KEM piekrīt, ka atbilstoši Atkritumu a</w:t>
            </w:r>
            <w:r w:rsidR="00057D22">
              <w:t xml:space="preserve">psaimniekošanas likuma </w:t>
            </w:r>
            <w:r w:rsidR="00405F1F">
              <w:t>10</w:t>
            </w:r>
            <w:r w:rsidR="00057D22">
              <w:t xml:space="preserve">.panta </w:t>
            </w:r>
            <w:r w:rsidR="0074539D">
              <w:t>otrajai</w:t>
            </w:r>
            <w:r w:rsidR="00057D22">
              <w:t xml:space="preserve"> daļai atkritumu apsaimniekošanas reģionā </w:t>
            </w:r>
            <w:r w:rsidR="00194258">
              <w:t xml:space="preserve">ietilpstošās pašvaldības nodrošina </w:t>
            </w:r>
            <w:r w:rsidR="00A70C06">
              <w:t xml:space="preserve">reģionālā atkritumu apsaimniekošanas plāna izstrādi un apstiprināšanu. Vienlaikus ir jāņem vērā, ka dažādus atkritumu apsaimniekošanas pasākumus atkritumu apsaimniekošanas </w:t>
            </w:r>
            <w:r w:rsidR="00A70C06">
              <w:lastRenderedPageBreak/>
              <w:t xml:space="preserve">reģionos realizē arī citas atkritumu apsaimniekošanā iesaistītas puses, piemēram, komersanti, kuru saimnieciskā darbība rada atkritumus, ražotāju atbildības sistēmas, </w:t>
            </w:r>
            <w:r w:rsidR="00E81EE2">
              <w:t xml:space="preserve">komersanti, kuriem ir nepieciešams nodrošināt noteiktu veidu atkritumu savākšanu atbilstoši normatīvajos aktos noteiktajam (piemēram, tirdzniecības vietas, kurām ir jānodrošina savākšanas iespējas </w:t>
            </w:r>
            <w:r w:rsidR="00F75A47">
              <w:t xml:space="preserve">bateriju atkritumiem un elektrisko un elektronisko iekārtu atkritumiem). </w:t>
            </w:r>
            <w:r w:rsidR="00E02ED4">
              <w:t xml:space="preserve">Vienlaikus ir jāņem vērā, ka atkritumu apsaimniekošanas komersanti vai citi uzņēmēji var realizēt tādus </w:t>
            </w:r>
            <w:r w:rsidR="00A47CEB">
              <w:t>projektus, kuru rezultātā radītie atkritumi var būtiski ietekmēt atkritumu apsaimniekošanu reģionālā līmenī (piemēram, nepieciešama cita veida infrastruktūra</w:t>
            </w:r>
            <w:r w:rsidR="00A25674">
              <w:t xml:space="preserve"> vai papildus infrastruktūra radīto atkritumu </w:t>
            </w:r>
            <w:r w:rsidR="00A25674">
              <w:lastRenderedPageBreak/>
              <w:t>apsaimniekošanai), un attiecīgo pasākumu iekļaušana reģionālos plānos varētu veicināt piekļuvi attiecīgā finansējuma saņemšanai</w:t>
            </w:r>
            <w:r w:rsidR="000F3612">
              <w:t xml:space="preserve">. </w:t>
            </w:r>
            <w:r w:rsidR="00F403BB">
              <w:t xml:space="preserve">Tāpēc noteikumu 2.2.2.punkts ir precizēts šādā redakcijā: </w:t>
            </w:r>
          </w:p>
          <w:p w14:paraId="3B601309" w14:textId="6B8AAFAD" w:rsidR="009867EF" w:rsidRDefault="009867EF" w:rsidP="009867EF">
            <w:pPr>
              <w:pStyle w:val="ListParagraph"/>
              <w:ind w:left="357"/>
            </w:pPr>
            <w:r>
              <w:t>“</w:t>
            </w:r>
            <w:r>
              <w:t xml:space="preserve">pastāvošās atkritumu reģenerācijas vietas un iekārtas un atkritumu apglabāšanas vietas un iekārtas (it īpaši attiecībā uz šo noteikumu </w:t>
            </w:r>
            <w:r w:rsidRPr="00080A47">
              <w:rPr>
                <w:highlight w:val="yellow"/>
              </w:rPr>
              <w:t>2.2.2.1.,</w:t>
            </w:r>
            <w:r>
              <w:t xml:space="preserve"> </w:t>
            </w:r>
            <w:r w:rsidRPr="00080A47">
              <w:rPr>
                <w:strike/>
              </w:rPr>
              <w:t>2.2.2.3.,</w:t>
            </w:r>
            <w:r>
              <w:t xml:space="preserve"> </w:t>
            </w:r>
            <w:r w:rsidRPr="00443047">
              <w:rPr>
                <w:strike/>
              </w:rPr>
              <w:t>2.2.2.4.,</w:t>
            </w:r>
            <w:r>
              <w:t xml:space="preserve"> </w:t>
            </w:r>
            <w:r w:rsidRPr="00443047">
              <w:t>2.2.2.5.,</w:t>
            </w:r>
            <w:r>
              <w:t xml:space="preserve"> </w:t>
            </w:r>
            <w:r w:rsidRPr="00443047">
              <w:t>2.2.2.6</w:t>
            </w:r>
            <w:r>
              <w:t xml:space="preserve">., 2.2.2.7., </w:t>
            </w:r>
            <w:r w:rsidRPr="00395DF1">
              <w:rPr>
                <w:strike/>
              </w:rPr>
              <w:t>2.2.2.9</w:t>
            </w:r>
            <w:r>
              <w:t xml:space="preserve">., 2.2.2.10. un </w:t>
            </w:r>
            <w:r w:rsidRPr="009867EF">
              <w:rPr>
                <w:color w:val="auto"/>
              </w:rPr>
              <w:t>2.2.2.12.</w:t>
            </w:r>
            <w:r w:rsidRPr="00395DF1">
              <w:rPr>
                <w:strike/>
              </w:rPr>
              <w:t>2.2.2.11.</w:t>
            </w:r>
            <w:r>
              <w:t> apakšpunktā minētajiem atkritumiem.</w:t>
            </w:r>
            <w:r>
              <w:t>”</w:t>
            </w:r>
          </w:p>
        </w:tc>
      </w:tr>
      <w:tr w:rsidR="0011485D" w14:paraId="1454906D" w14:textId="77777777" w:rsidTr="00227B31">
        <w:tc>
          <w:tcPr>
            <w:tcW w:w="750" w:type="dxa"/>
            <w:shd w:val="clear" w:color="auto" w:fill="FFFFFF"/>
            <w:noWrap/>
            <w:tcMar>
              <w:top w:w="75" w:type="dxa"/>
              <w:left w:w="75" w:type="dxa"/>
              <w:bottom w:w="75" w:type="dxa"/>
              <w:right w:w="75" w:type="dxa"/>
            </w:tcMar>
          </w:tcPr>
          <w:p w14:paraId="7D2B17A7" w14:textId="47EDEDAF" w:rsidR="0011485D" w:rsidRDefault="0011485D" w:rsidP="00227B31">
            <w:pPr>
              <w:jc w:val="left"/>
            </w:pPr>
            <w:r>
              <w:lastRenderedPageBreak/>
              <w:t xml:space="preserve">2. </w:t>
            </w:r>
          </w:p>
        </w:tc>
        <w:tc>
          <w:tcPr>
            <w:tcW w:w="4055" w:type="dxa"/>
            <w:shd w:val="clear" w:color="auto" w:fill="FFFFFF"/>
            <w:noWrap/>
            <w:tcMar>
              <w:top w:w="75" w:type="dxa"/>
              <w:left w:w="75" w:type="dxa"/>
              <w:bottom w:w="75" w:type="dxa"/>
              <w:right w:w="75" w:type="dxa"/>
            </w:tcMar>
          </w:tcPr>
          <w:p w14:paraId="793760F8" w14:textId="0DDFF1F5" w:rsidR="0011485D" w:rsidRDefault="0011485D" w:rsidP="00227B31">
            <w:pPr>
              <w:jc w:val="left"/>
            </w:pPr>
            <w:r>
              <w:t>Rīgas valstspilsētas Mājokļu un vides departaments</w:t>
            </w:r>
          </w:p>
        </w:tc>
        <w:tc>
          <w:tcPr>
            <w:tcW w:w="4056" w:type="dxa"/>
            <w:shd w:val="clear" w:color="auto" w:fill="FFFFFF"/>
            <w:noWrap/>
            <w:tcMar>
              <w:top w:w="75" w:type="dxa"/>
              <w:left w:w="75" w:type="dxa"/>
              <w:bottom w:w="75" w:type="dxa"/>
              <w:right w:w="75" w:type="dxa"/>
            </w:tcMar>
            <w:vAlign w:val="center"/>
          </w:tcPr>
          <w:p w14:paraId="749722B2" w14:textId="77777777" w:rsidR="00227B31" w:rsidRPr="00227B31" w:rsidRDefault="00227B31" w:rsidP="00227B31">
            <w:pPr>
              <w:pStyle w:val="CommentText"/>
              <w:spacing w:after="0"/>
              <w:jc w:val="both"/>
              <w:rPr>
                <w:rFonts w:ascii="Times New Roman" w:hAnsi="Times New Roman"/>
                <w:sz w:val="28"/>
                <w:szCs w:val="28"/>
              </w:rPr>
            </w:pPr>
            <w:r w:rsidRPr="00227B31">
              <w:rPr>
                <w:rFonts w:ascii="Times New Roman" w:hAnsi="Times New Roman"/>
                <w:sz w:val="28"/>
                <w:szCs w:val="28"/>
              </w:rPr>
              <w:t xml:space="preserve">Eiropā arvien lielāku politisko nozīmi iegūst pāreja no vienreizlietojamā iepakojuma uz atkārtoti izmantojama pārtikas līdzņemšanas iepakojuma sistēmām. Jaunais regulējums, jo īpaši </w:t>
            </w:r>
            <w:r w:rsidRPr="00227B31">
              <w:rPr>
                <w:rFonts w:ascii="Times New Roman" w:hAnsi="Times New Roman"/>
                <w:i/>
                <w:iCs/>
                <w:sz w:val="28"/>
                <w:szCs w:val="28"/>
              </w:rPr>
              <w:t>Eiropas Parlamenta un Padomes Regula (ES) 2025/40 (2024. gada 19. decembris) par iepakojumu un iepakojuma atkritumiem, ar ko groza Regulu (ES) 2019/1020 un Direktīvu (ES) 2019/904 un atceļ Direktīvu 94/62/EK</w:t>
            </w:r>
            <w:r w:rsidRPr="00227B31">
              <w:rPr>
                <w:rFonts w:ascii="Times New Roman" w:hAnsi="Times New Roman"/>
                <w:sz w:val="28"/>
                <w:szCs w:val="28"/>
              </w:rPr>
              <w:t xml:space="preserve"> nosaka konkrētus iepakojuma atkritumu apjoma samazināšanas </w:t>
            </w:r>
            <w:proofErr w:type="spellStart"/>
            <w:r w:rsidRPr="00227B31">
              <w:rPr>
                <w:rFonts w:ascii="Times New Roman" w:hAnsi="Times New Roman"/>
                <w:sz w:val="28"/>
                <w:szCs w:val="28"/>
              </w:rPr>
              <w:t>mērķrādītājus</w:t>
            </w:r>
            <w:proofErr w:type="spellEnd"/>
            <w:r w:rsidRPr="00227B31">
              <w:rPr>
                <w:rFonts w:ascii="Times New Roman" w:hAnsi="Times New Roman"/>
                <w:sz w:val="28"/>
                <w:szCs w:val="28"/>
              </w:rPr>
              <w:t xml:space="preserve"> dalībvalstīm un pakāpeniski ievieš prasības, kuru mērķis ir paplašināt </w:t>
            </w:r>
            <w:proofErr w:type="spellStart"/>
            <w:r w:rsidRPr="00227B31">
              <w:rPr>
                <w:rFonts w:ascii="Times New Roman" w:hAnsi="Times New Roman"/>
                <w:sz w:val="28"/>
                <w:szCs w:val="28"/>
              </w:rPr>
              <w:t>atkalizmantojama</w:t>
            </w:r>
            <w:proofErr w:type="spellEnd"/>
            <w:r w:rsidRPr="00227B31">
              <w:rPr>
                <w:rFonts w:ascii="Times New Roman" w:hAnsi="Times New Roman"/>
                <w:sz w:val="28"/>
                <w:szCs w:val="28"/>
              </w:rPr>
              <w:t xml:space="preserve"> iepakojuma un </w:t>
            </w:r>
            <w:proofErr w:type="spellStart"/>
            <w:r w:rsidRPr="00227B31">
              <w:rPr>
                <w:rFonts w:ascii="Times New Roman" w:hAnsi="Times New Roman"/>
                <w:sz w:val="28"/>
                <w:szCs w:val="28"/>
              </w:rPr>
              <w:t>atkalizmantošanas</w:t>
            </w:r>
            <w:proofErr w:type="spellEnd"/>
            <w:r w:rsidRPr="00227B31">
              <w:rPr>
                <w:rFonts w:ascii="Times New Roman" w:hAnsi="Times New Roman"/>
                <w:sz w:val="28"/>
                <w:szCs w:val="28"/>
              </w:rPr>
              <w:t xml:space="preserve"> sistēmu ieviešanu, tostarp līdzņemšanas pārtikas un dzērienu nozarē. Tomēr praksē šo sistēmu ieviešana joprojām ir sadrumstalota. Neraugoties uz daudziem pilotprojektiem un pieaugošu sabiedrības informētību, atkārtotas izmantošanas iepakojuma sistēmas </w:t>
            </w:r>
            <w:r w:rsidRPr="00227B31">
              <w:rPr>
                <w:rFonts w:ascii="Times New Roman" w:hAnsi="Times New Roman"/>
                <w:sz w:val="28"/>
                <w:szCs w:val="28"/>
              </w:rPr>
              <w:lastRenderedPageBreak/>
              <w:t>vēl nav kļuvušas par pašsaprotamu ikdienas izvēli.</w:t>
            </w:r>
          </w:p>
          <w:p w14:paraId="651AF63B" w14:textId="77777777" w:rsidR="00227B31" w:rsidRPr="00227B31" w:rsidRDefault="00227B31" w:rsidP="00227B31">
            <w:pPr>
              <w:pStyle w:val="CommentText"/>
              <w:spacing w:after="0"/>
              <w:jc w:val="both"/>
              <w:rPr>
                <w:rFonts w:ascii="Times New Roman" w:hAnsi="Times New Roman"/>
                <w:sz w:val="28"/>
                <w:szCs w:val="28"/>
              </w:rPr>
            </w:pPr>
            <w:r w:rsidRPr="00227B31">
              <w:rPr>
                <w:rFonts w:ascii="Times New Roman" w:hAnsi="Times New Roman"/>
                <w:sz w:val="28"/>
                <w:szCs w:val="28"/>
              </w:rPr>
              <w:t>Lai veidotu vienotu politikas plānošanas ietvaru un izstrādātu atbalsta mehānismus vienreizlietojamā pārtikas līdzņemšanas iepakojuma samazināšanai, nepieciešams noteikt konkrētus pasākumus Atkritumu rašanās novēršanas valsts programmā.</w:t>
            </w:r>
          </w:p>
          <w:p w14:paraId="5665211B" w14:textId="77777777" w:rsidR="00227B31" w:rsidRPr="00227B31" w:rsidRDefault="00227B31" w:rsidP="00227B31">
            <w:pPr>
              <w:pStyle w:val="CommentText"/>
              <w:spacing w:after="0"/>
              <w:jc w:val="both"/>
              <w:rPr>
                <w:rFonts w:ascii="Times New Roman" w:hAnsi="Times New Roman"/>
                <w:b/>
                <w:bCs/>
                <w:sz w:val="28"/>
                <w:szCs w:val="28"/>
              </w:rPr>
            </w:pPr>
          </w:p>
          <w:p w14:paraId="00B3E353" w14:textId="77777777" w:rsidR="00227B31" w:rsidRPr="00227B31" w:rsidRDefault="00227B31" w:rsidP="00227B31">
            <w:pPr>
              <w:pStyle w:val="CommentText"/>
              <w:spacing w:after="0"/>
              <w:jc w:val="both"/>
              <w:rPr>
                <w:rFonts w:ascii="Times New Roman" w:hAnsi="Times New Roman"/>
                <w:sz w:val="28"/>
                <w:szCs w:val="28"/>
              </w:rPr>
            </w:pPr>
            <w:r w:rsidRPr="00227B31">
              <w:rPr>
                <w:rFonts w:ascii="Times New Roman" w:hAnsi="Times New Roman"/>
                <w:b/>
                <w:bCs/>
                <w:sz w:val="28"/>
                <w:szCs w:val="28"/>
              </w:rPr>
              <w:t>Priekšlikums</w:t>
            </w:r>
          </w:p>
          <w:p w14:paraId="1024AAD1" w14:textId="77777777" w:rsidR="00227B31" w:rsidRPr="00227B31" w:rsidRDefault="00227B31" w:rsidP="00227B31">
            <w:pPr>
              <w:pStyle w:val="CommentText"/>
              <w:spacing w:after="0"/>
              <w:jc w:val="both"/>
              <w:rPr>
                <w:rFonts w:ascii="Times New Roman" w:hAnsi="Times New Roman"/>
                <w:sz w:val="28"/>
                <w:szCs w:val="28"/>
              </w:rPr>
            </w:pPr>
            <w:r w:rsidRPr="00227B31">
              <w:rPr>
                <w:rFonts w:ascii="Times New Roman" w:hAnsi="Times New Roman"/>
                <w:sz w:val="28"/>
                <w:szCs w:val="28"/>
              </w:rPr>
              <w:t>Izteikt 3.3. apakšpunktu šādā redakcijā:</w:t>
            </w:r>
          </w:p>
          <w:p w14:paraId="5C8FFB4F" w14:textId="69B9C83A" w:rsidR="0011485D" w:rsidRPr="00227B31" w:rsidRDefault="00227B31" w:rsidP="00227B31">
            <w:pPr>
              <w:rPr>
                <w:b/>
                <w:szCs w:val="28"/>
              </w:rPr>
            </w:pPr>
            <w:r w:rsidRPr="00227B31">
              <w:rPr>
                <w:szCs w:val="28"/>
              </w:rPr>
              <w:t xml:space="preserve">3.3. atkritumu rašanās novēršanas valsts programmu, ietverot pasākumus, kā arī ekonomikas instrumentu, iepirkuma kritēriju, kvantitatīvu mērķu vai citu pasākumu izmantošanu, lai veicinātu pāreju no vienreizlietojamā iepakojuma uz atkārtoti izmantojama pārtikas iepakojuma sistēmām un atkritumu sagatavošanu atkārtotai izmantošanai, tajā skaitā, veicinot sagatavošanas atkārtotai </w:t>
            </w:r>
            <w:r w:rsidRPr="00227B31">
              <w:rPr>
                <w:szCs w:val="28"/>
              </w:rPr>
              <w:lastRenderedPageBreak/>
              <w:t>izmantošanai un remontu tīklu izveidi un atbalstu tiem, kā arī atvieglojot šiem tīkliem piekļuvi tādiem atkritumu savākšanas sistēmu vai iekārtu operatoru īpašumā esošiem atkritumiem, kurus var sagatavot atkārtotai izmantošanai, bet ko minētie operatori neparedz sagatavot atkārtotai izmantošanai;</w:t>
            </w:r>
          </w:p>
        </w:tc>
        <w:tc>
          <w:tcPr>
            <w:tcW w:w="1650" w:type="dxa"/>
            <w:shd w:val="clear" w:color="auto" w:fill="FFFFFF"/>
            <w:noWrap/>
            <w:tcMar>
              <w:top w:w="75" w:type="dxa"/>
              <w:left w:w="75" w:type="dxa"/>
              <w:bottom w:w="75" w:type="dxa"/>
              <w:right w:w="75" w:type="dxa"/>
            </w:tcMar>
          </w:tcPr>
          <w:p w14:paraId="1AA8F139" w14:textId="71572FE2" w:rsidR="0011485D" w:rsidRDefault="00BF20E3" w:rsidP="0011485D">
            <w:pPr>
              <w:pStyle w:val="ListParagraph"/>
              <w:ind w:left="357"/>
            </w:pPr>
            <w:r>
              <w:lastRenderedPageBreak/>
              <w:t>Ņemts vērā.</w:t>
            </w:r>
          </w:p>
        </w:tc>
        <w:tc>
          <w:tcPr>
            <w:tcW w:w="4056" w:type="dxa"/>
            <w:shd w:val="clear" w:color="auto" w:fill="FFFFFF"/>
            <w:noWrap/>
            <w:tcMar>
              <w:top w:w="75" w:type="dxa"/>
              <w:left w:w="75" w:type="dxa"/>
              <w:bottom w:w="75" w:type="dxa"/>
              <w:right w:w="75" w:type="dxa"/>
            </w:tcMar>
          </w:tcPr>
          <w:p w14:paraId="22BD4970" w14:textId="4D5FE98A" w:rsidR="008413A9" w:rsidRDefault="008413A9" w:rsidP="008413A9">
            <w:r>
              <w:t xml:space="preserve">Precizēta noteikumu projekta </w:t>
            </w:r>
            <w:r w:rsidRPr="00236A17">
              <w:t>1.</w:t>
            </w:r>
            <w:r>
              <w:t xml:space="preserve"> punkta redakcijā izteiktā noteikumu 3.3.apakšpunkta redakcija</w:t>
            </w:r>
            <w:r>
              <w:t>.</w:t>
            </w:r>
          </w:p>
          <w:p w14:paraId="5E3AE448" w14:textId="77777777" w:rsidR="0011485D" w:rsidRDefault="0011485D" w:rsidP="008413A9"/>
        </w:tc>
      </w:tr>
      <w:tr w:rsidR="00954D22" w14:paraId="62A39781" w14:textId="77777777" w:rsidTr="00DC06EB">
        <w:tc>
          <w:tcPr>
            <w:tcW w:w="750" w:type="dxa"/>
            <w:shd w:val="clear" w:color="auto" w:fill="FFFFFF"/>
            <w:noWrap/>
            <w:tcMar>
              <w:top w:w="75" w:type="dxa"/>
              <w:left w:w="75" w:type="dxa"/>
              <w:bottom w:w="75" w:type="dxa"/>
              <w:right w:w="75" w:type="dxa"/>
            </w:tcMar>
            <w:vAlign w:val="center"/>
          </w:tcPr>
          <w:p w14:paraId="421F4E6A" w14:textId="77777777" w:rsidR="00954D22" w:rsidRDefault="00D73A65">
            <w:pPr>
              <w:jc w:val="center"/>
            </w:pPr>
            <w:r>
              <w:lastRenderedPageBreak/>
              <w:t>2.</w:t>
            </w:r>
          </w:p>
        </w:tc>
        <w:tc>
          <w:tcPr>
            <w:tcW w:w="4055" w:type="dxa"/>
            <w:shd w:val="clear" w:color="auto" w:fill="FFFFFF"/>
            <w:noWrap/>
            <w:tcMar>
              <w:top w:w="75" w:type="dxa"/>
              <w:left w:w="75" w:type="dxa"/>
              <w:bottom w:w="75" w:type="dxa"/>
              <w:right w:w="75" w:type="dxa"/>
            </w:tcMar>
            <w:vAlign w:val="center"/>
          </w:tcPr>
          <w:p w14:paraId="461021A2" w14:textId="77777777" w:rsidR="00954D22" w:rsidRDefault="00D73A65">
            <w:pPr>
              <w:jc w:val="left"/>
            </w:pPr>
            <w:r>
              <w:t>Latvijas Degvielas tirgotāju asociācija</w:t>
            </w:r>
          </w:p>
        </w:tc>
        <w:tc>
          <w:tcPr>
            <w:tcW w:w="4056" w:type="dxa"/>
            <w:shd w:val="clear" w:color="auto" w:fill="FFFFFF"/>
            <w:noWrap/>
            <w:tcMar>
              <w:top w:w="75" w:type="dxa"/>
              <w:left w:w="75" w:type="dxa"/>
              <w:bottom w:w="75" w:type="dxa"/>
              <w:right w:w="75" w:type="dxa"/>
            </w:tcMar>
            <w:vAlign w:val="center"/>
          </w:tcPr>
          <w:p w14:paraId="73E7179E" w14:textId="77777777" w:rsidR="00954D22" w:rsidRDefault="00D73A65" w:rsidP="001C2992">
            <w:r>
              <w:t>7.4.4. Pārtikas produktu ziedošana un pārdale</w:t>
            </w:r>
            <w:r>
              <w:br/>
              <w:t>Atšķirībā no sausajiem un iepakotajiem pārtikas produktiem mazumtirdzniecībā, ēdināšanas un kulinārijas nozarē ražotajiem produktiem (sviestmaizēm, gatavajiem ēdieniem, konditorejas izstrādājumiem u. c.) ir ļoti īss realizācijas termiņš.</w:t>
            </w:r>
            <w:r>
              <w:br/>
              <w:t>Priekšlikums:</w:t>
            </w:r>
            <w:r>
              <w:br/>
              <w:t xml:space="preserve">Sadarbībā ar PVD izstrādāt skaidrus, vienkāršotus un praktiski piemērojamus standartus gatavās, ātri bojājošās pārtikas nodošanai no </w:t>
            </w:r>
            <w:proofErr w:type="spellStart"/>
            <w:r>
              <w:t>HoReCa</w:t>
            </w:r>
            <w:proofErr w:type="spellEnd"/>
            <w:r>
              <w:t xml:space="preserve"> sektora labdarības organizācijām un citiem pārtikas </w:t>
            </w:r>
            <w:r>
              <w:lastRenderedPageBreak/>
              <w:t>pārdales operatoriem.</w:t>
            </w:r>
            <w:r>
              <w:br/>
              <w:t>Normatīvajā regulējumā paredzēt, ka pēc pārtikas produktu nodošanas labdarības organizācijai vai pārtikas pārdales operatoram atbildība par produktu drošumu pāriet saņēmējam, ja nodošanas brīdī ir ievērotas visas noteiktās pārtikas nekaitīguma un uzglabāšanas prasības. </w:t>
            </w:r>
            <w:r>
              <w:br/>
              <w:t>Lūdzam skaidrot ziedošanas būtību pārtikas atkritumu jomā.</w:t>
            </w:r>
            <w:r>
              <w:br/>
              <w:t xml:space="preserve">7.4.3. Negodīga </w:t>
            </w:r>
            <w:proofErr w:type="spellStart"/>
            <w:r>
              <w:t>komercprakse</w:t>
            </w:r>
            <w:proofErr w:type="spellEnd"/>
            <w:r>
              <w:t xml:space="preserve"> un piegādes ķēde</w:t>
            </w:r>
            <w:r>
              <w:br/>
              <w:t>Būtisku daļu pārtikas norakstījumu ēdināšanas uzņēmumos un tirdzniecības vietās rada lielie minimālie pasūtījuma apjomi, ko nosaka lielie ražotāji un vairumtirgotāji, kā arī nepietiekami elastīgi preču atgriešanas vai nomaiņas nosacījumi.</w:t>
            </w:r>
            <w:r>
              <w:br/>
              <w:t>Šāda prakse īpaši ietekmē uzņēmumus ar daudzām mazām tirdzniecības vietām, kur pieprasījums pēc konkrētiem produktiem var būtiski atšķirties.</w:t>
            </w:r>
            <w:r>
              <w:br/>
            </w:r>
            <w:r>
              <w:lastRenderedPageBreak/>
              <w:t>Priekšlikums:</w:t>
            </w:r>
            <w:r>
              <w:br/>
              <w:t>Programmas pasākumos paredzēt ražotāju un vairumtirgotāju stimulēšanu ieviest elastīgākus un samērīgākus minimālos pasūtījuma apjomus gan gatavajai produkcijai, gan izejvielām un pusfabrikātiem, kas tiek izmantoti ēdināšanas uzņēmumos.</w:t>
            </w:r>
            <w:r>
              <w:br/>
              <w:t>7.4.6. un 7.4.7. Finansējums, tehnoloģijas un iepakojums</w:t>
            </w:r>
            <w:r>
              <w:br/>
              <w:t xml:space="preserve">Tehnoloģiju ieviešana pārtikas norakstījumu un atkritumu samazināšanai, piemēram, viedo uzglabāšanas skapju, automātisko svaru un norakstījumu uzskaites sistēmu, </w:t>
            </w:r>
            <w:proofErr w:type="spellStart"/>
            <w:r>
              <w:t>vakuumēšanas</w:t>
            </w:r>
            <w:proofErr w:type="spellEnd"/>
            <w:r>
              <w:t xml:space="preserve"> iekārtu vai šoka saldēšanas iekārtu izmantošana, prasa būtiskus ieguldījumus uzņēmuma iekšējā infrastruktūrā.</w:t>
            </w:r>
            <w:r>
              <w:br/>
              <w:t>Īpaši tas attiecas uz ēdināšanas uzņēmumiem ar lielu tirdzniecības vietu skaitu, kuriem šādu risinājumu ieviešana jāveic vairākās lokācijās.</w:t>
            </w:r>
            <w:r>
              <w:br/>
              <w:t>Priekšlikums:</w:t>
            </w:r>
            <w:r>
              <w:br/>
              <w:t xml:space="preserve">Paredzēt mērķētus valsts un </w:t>
            </w:r>
            <w:r>
              <w:lastRenderedPageBreak/>
              <w:t xml:space="preserve">Eiropas Savienības finansējuma un </w:t>
            </w:r>
            <w:proofErr w:type="spellStart"/>
            <w:r>
              <w:t>grantu</w:t>
            </w:r>
            <w:proofErr w:type="spellEnd"/>
            <w:r>
              <w:t xml:space="preserve"> instrumentus uzņēmumiem, lai atbalstītu investīcijas tehnoloģijās, iekārtās un infrastruktūrā, kas tieši veicina pārtikas atkritumu rašanās novēršanu un pārtikas norakstījumu samazināšanu.</w:t>
            </w:r>
            <w:r>
              <w:br/>
              <w:t>3.5. un 7.4.5. Bioloģiskie atkritumi un darbinieku apmācība</w:t>
            </w:r>
            <w:r>
              <w:br/>
            </w:r>
            <w:proofErr w:type="spellStart"/>
            <w:r>
              <w:t>HoReCa</w:t>
            </w:r>
            <w:proofErr w:type="spellEnd"/>
            <w:r>
              <w:t xml:space="preserve"> sektoru raksturo salīdzinoši augsta darbinieku mainība. Prasības attiecībā uz bioloģisko atkritumu šķirošanu virtuvēs un klientu apkalpošanas zonās nozīmē nepieciešamību regulāri apmācīt jaunos darbiniekus, kā arī rada uzņēmumiem papildu administratīvās un atkritumu apsaimniekošanas izmaksas.</w:t>
            </w:r>
            <w:r>
              <w:br/>
              <w:t>Priekšlikums:</w:t>
            </w:r>
            <w:r>
              <w:br/>
              <w:t xml:space="preserve">Izstrādāt vienotus valsts līmeņa mācību materiālus, praktiskās vadlīnijas un video kursus ēdināšanas nozares darbiniekiem par bioloģisko atkritumu pareizas šķirošanas un apsaimniekošanas </w:t>
            </w:r>
            <w:r>
              <w:lastRenderedPageBreak/>
              <w:t>standartiem.</w:t>
            </w:r>
            <w:r>
              <w:br/>
              <w:t>Ieviest ekonomiskus stimulus uzņēmumiem, kas nodrošina kvalitatīvu bioloģisko atkritumu dalīto vākšanu, piemēram, noteikt minimālus vai samazinātus tarifus dalīti savāktu bioloģisko atkritumu izvešanai ēdināšanas uzņēmumiem.</w:t>
            </w:r>
            <w:r>
              <w:br/>
              <w:t>Veicināt vienotu un praktiski saprotamu prasību piemērošanu visā nozarē, lai samazinātu administratīvo slogu un atšķirīgu prasību interpretāciju dažādās pašvaldībās un uzņēmumos.</w:t>
            </w:r>
            <w:r>
              <w:br/>
            </w:r>
          </w:p>
        </w:tc>
        <w:tc>
          <w:tcPr>
            <w:tcW w:w="1650" w:type="dxa"/>
            <w:shd w:val="clear" w:color="auto" w:fill="FFFFFF"/>
            <w:noWrap/>
            <w:tcMar>
              <w:top w:w="75" w:type="dxa"/>
              <w:left w:w="75" w:type="dxa"/>
              <w:bottom w:w="75" w:type="dxa"/>
              <w:right w:w="75" w:type="dxa"/>
            </w:tcMar>
          </w:tcPr>
          <w:p w14:paraId="03820B74" w14:textId="6F3910A9" w:rsidR="00954D22" w:rsidRDefault="00FD3BED" w:rsidP="001C2992">
            <w:r>
              <w:lastRenderedPageBreak/>
              <w:t xml:space="preserve">Ņemts vērā daļēji. </w:t>
            </w:r>
          </w:p>
        </w:tc>
        <w:tc>
          <w:tcPr>
            <w:tcW w:w="4056" w:type="dxa"/>
            <w:shd w:val="clear" w:color="auto" w:fill="FFFFFF"/>
            <w:noWrap/>
            <w:tcMar>
              <w:top w:w="75" w:type="dxa"/>
              <w:left w:w="75" w:type="dxa"/>
              <w:bottom w:w="75" w:type="dxa"/>
              <w:right w:w="75" w:type="dxa"/>
            </w:tcMar>
          </w:tcPr>
          <w:p w14:paraId="2EFE08C7" w14:textId="2AF0BD06" w:rsidR="00954D22" w:rsidRDefault="00DC06EB" w:rsidP="001C2992">
            <w:r>
              <w:t xml:space="preserve">Ministrija pateicas par iesniegtajiem priekšlikumiem, kurus ir </w:t>
            </w:r>
            <w:r w:rsidR="0091036B">
              <w:t>vis</w:t>
            </w:r>
            <w:r w:rsidR="00960FF5">
              <w:t>lietderīg</w:t>
            </w:r>
            <w:r w:rsidR="0091036B">
              <w:t>āk un efektīvāk būtu</w:t>
            </w:r>
            <w:r w:rsidR="00960FF5">
              <w:t xml:space="preserve"> iekļaut pārtikas atkritumu rašanās nov</w:t>
            </w:r>
            <w:r w:rsidR="00174E73">
              <w:t>ēršanas programmā, kurā tiks ietverti pasā</w:t>
            </w:r>
            <w:r w:rsidR="00FD3BED">
              <w:t xml:space="preserve">kumi, par to izpildi atbildīgās institūcijas un izpildes termiņi. Noteikumu projekta anotācija ir papildināta ar atzinumā minētajiem pārtikas atkritumu rašanās novēršanas pasākumu piemēriem. </w:t>
            </w:r>
          </w:p>
        </w:tc>
      </w:tr>
      <w:tr w:rsidR="000A4871" w14:paraId="5102202F" w14:textId="77777777" w:rsidTr="00351962">
        <w:tc>
          <w:tcPr>
            <w:tcW w:w="750" w:type="dxa"/>
            <w:shd w:val="clear" w:color="auto" w:fill="FFFFFF"/>
            <w:noWrap/>
            <w:tcMar>
              <w:top w:w="75" w:type="dxa"/>
              <w:left w:w="75" w:type="dxa"/>
              <w:bottom w:w="75" w:type="dxa"/>
              <w:right w:w="75" w:type="dxa"/>
            </w:tcMar>
            <w:vAlign w:val="center"/>
          </w:tcPr>
          <w:p w14:paraId="644D2723" w14:textId="524BCB1C" w:rsidR="000A4871" w:rsidRDefault="000A4871">
            <w:pPr>
              <w:jc w:val="center"/>
            </w:pPr>
            <w:r>
              <w:lastRenderedPageBreak/>
              <w:t xml:space="preserve">3. </w:t>
            </w:r>
          </w:p>
        </w:tc>
        <w:tc>
          <w:tcPr>
            <w:tcW w:w="4055" w:type="dxa"/>
            <w:shd w:val="clear" w:color="auto" w:fill="FFFFFF"/>
            <w:noWrap/>
            <w:tcMar>
              <w:top w:w="75" w:type="dxa"/>
              <w:left w:w="75" w:type="dxa"/>
              <w:bottom w:w="75" w:type="dxa"/>
              <w:right w:w="75" w:type="dxa"/>
            </w:tcMar>
            <w:vAlign w:val="center"/>
          </w:tcPr>
          <w:p w14:paraId="7EE366D7" w14:textId="1800EF14" w:rsidR="000A4871" w:rsidRDefault="00160F99">
            <w:pPr>
              <w:jc w:val="left"/>
            </w:pPr>
            <w:r>
              <w:t>Atkritumu apsaimniekošanas reģionālais centrs “ Getliņi”</w:t>
            </w:r>
          </w:p>
        </w:tc>
        <w:tc>
          <w:tcPr>
            <w:tcW w:w="4056" w:type="dxa"/>
            <w:shd w:val="clear" w:color="auto" w:fill="FFFFFF"/>
            <w:noWrap/>
            <w:tcMar>
              <w:top w:w="75" w:type="dxa"/>
              <w:left w:w="75" w:type="dxa"/>
              <w:bottom w:w="75" w:type="dxa"/>
              <w:right w:w="75" w:type="dxa"/>
            </w:tcMar>
            <w:vAlign w:val="center"/>
          </w:tcPr>
          <w:p w14:paraId="1C68A7D7" w14:textId="77777777" w:rsidR="00160F99" w:rsidRPr="00160F99" w:rsidRDefault="00160F99" w:rsidP="001C2992">
            <w:r w:rsidRPr="00160F99">
              <w:rPr>
                <w:b/>
                <w:bCs/>
              </w:rPr>
              <w:t xml:space="preserve">Atkritumu apsaimniekošanas likuma (AAL) 8.pantā noteikta pašvaldību kompetence (savā teritorijā organizēt visu sadzīves atkritumu, </w:t>
            </w:r>
            <w:r w:rsidRPr="00160F99">
              <w:t xml:space="preserve">tai skaitā sadzīvē radušos bīstamo atkritumu un mājsaimniecībās radītos būvniecības atkritumus apsaimniekošanu), kā arī AAL 10.panta 2.daļa nosaka, </w:t>
            </w:r>
            <w:r w:rsidRPr="00160F99">
              <w:rPr>
                <w:b/>
                <w:bCs/>
              </w:rPr>
              <w:t xml:space="preserve">ka reģionālos plānus izstrādā </w:t>
            </w:r>
            <w:r w:rsidRPr="00160F99">
              <w:rPr>
                <w:b/>
                <w:bCs/>
              </w:rPr>
              <w:lastRenderedPageBreak/>
              <w:t>pašvaldības</w:t>
            </w:r>
            <w:r w:rsidRPr="00160F99">
              <w:t>. Tādēļ lūdzam  Noteikumu grozījumus sagatavot atbilstoši pašvaldību noteiktajai kompetencei:</w:t>
            </w:r>
          </w:p>
          <w:p w14:paraId="75FBAFD4" w14:textId="7C8641DC" w:rsidR="00160F99" w:rsidRPr="00160F99" w:rsidRDefault="00160F99" w:rsidP="002F64E7">
            <w:pPr>
              <w:pStyle w:val="ListParagraph"/>
              <w:numPr>
                <w:ilvl w:val="0"/>
                <w:numId w:val="1"/>
              </w:numPr>
            </w:pPr>
            <w:r w:rsidRPr="00160F99">
              <w:t xml:space="preserve">4.4.1.p.precizēt, ka pašvaldībām no 2.2.2. punktā ietvertajiem atkritumu veidiem jāiekļauj tikai tos atkritumu veidus, kas ir pašvaldību kompetencē (iebildums) </w:t>
            </w:r>
          </w:p>
          <w:p w14:paraId="53955838" w14:textId="77777777" w:rsidR="00160F99" w:rsidRPr="00160F99" w:rsidRDefault="00160F99" w:rsidP="001C2992">
            <w:pPr>
              <w:numPr>
                <w:ilvl w:val="0"/>
                <w:numId w:val="1"/>
              </w:numPr>
            </w:pPr>
            <w:r w:rsidRPr="00160F99">
              <w:t xml:space="preserve"> Vienlaikus lūdzam papildināt projektu ar nosacījumiem, kas nodrošina novērtēšanas praktisku </w:t>
            </w:r>
            <w:proofErr w:type="spellStart"/>
            <w:r w:rsidRPr="00160F99">
              <w:t>izpildāmību</w:t>
            </w:r>
            <w:proofErr w:type="spellEnd"/>
            <w:r w:rsidRPr="00160F99">
              <w:t xml:space="preserve"> un datu salīdzināmību. Pirms pienākuma noteikšanas AARC vai pašvaldībām nepieciešams šajos vai citos MK noteikumos izstrādāt vienotu, juridiski saistošu plānu rādītāju un </w:t>
            </w:r>
            <w:proofErr w:type="spellStart"/>
            <w:r w:rsidRPr="00160F99">
              <w:t>mērķrādītāju</w:t>
            </w:r>
            <w:proofErr w:type="spellEnd"/>
            <w:r w:rsidRPr="00160F99">
              <w:t xml:space="preserve"> aprēķināšanas metodiku. Katram rādītājam nosakāma definīcija, aprēķina formula, datu avots, datu sniedzējs, </w:t>
            </w:r>
            <w:r w:rsidRPr="00160F99">
              <w:lastRenderedPageBreak/>
              <w:t>teritoriālā un laika detalizācija, iesniegšanas periodiskums un kvalitātes kontroles kārtība.</w:t>
            </w:r>
          </w:p>
          <w:p w14:paraId="23662E18" w14:textId="77777777" w:rsidR="00160F99" w:rsidRPr="00160F99" w:rsidRDefault="00160F99" w:rsidP="001C2992">
            <w:pPr>
              <w:numPr>
                <w:ilvl w:val="0"/>
                <w:numId w:val="1"/>
              </w:numPr>
            </w:pPr>
            <w:r w:rsidRPr="00160F99">
              <w:t>Vienlaikus jānodrošina AARC juridiski un tehniski pamatota piekļuve APUS un citās valsts informācijas sistēmās esošajiem datiem pašvaldību un AARC griezumā. Nav pieļaujama situācija, kad AARC tiek uzlikts pienākums novērtēt reģionālā plāna izpildi, bet nav pieejami šim novērtējumam nepieciešamie dati pašvaldību griezumā.</w:t>
            </w:r>
          </w:p>
          <w:p w14:paraId="220308B7" w14:textId="77777777" w:rsidR="00160F99" w:rsidRPr="00160F99" w:rsidRDefault="00160F99" w:rsidP="001C2992">
            <w:pPr>
              <w:numPr>
                <w:ilvl w:val="0"/>
                <w:numId w:val="1"/>
              </w:numPr>
            </w:pPr>
            <w:r w:rsidRPr="00160F99">
              <w:t xml:space="preserve">Metodikā nepieciešams nodalīt reģionā radītos atkritumus no reģiona iekārtās pieņemtajiem atkritumiem, kā arī noteikt ievesto un izvesto atkritumu, pāršķiroto plūsmu, apstrādes atlikumu un atkritumu kodu maiņas uzskaiti. Jāparedz masas </w:t>
            </w:r>
            <w:r w:rsidRPr="00160F99">
              <w:lastRenderedPageBreak/>
              <w:t>bilances princips un jānovērš viena atkritumu daudzuma vairākkārtēja ieskaitīšana.</w:t>
            </w:r>
          </w:p>
          <w:p w14:paraId="69721E95" w14:textId="77777777" w:rsidR="00160F99" w:rsidRPr="00160F99" w:rsidRDefault="00160F99" w:rsidP="001C2992">
            <w:pPr>
              <w:numPr>
                <w:ilvl w:val="0"/>
                <w:numId w:val="1"/>
              </w:numPr>
            </w:pPr>
            <w:r w:rsidRPr="00160F99">
              <w:t>No APUS un citās valsts informācijas sistēmās esošajiem datiem iegūstamie standartizētie rādītāji būtu aprēķināmi centralizēti un publicējami pašvaldību, AARC un valsts griezumā mašīnlasāmā formātā. AARC uzdevumam jābūt datu analīzei, noviržu identificēšanai un plāna pasākumu efektivitātes izvērtēšanai nevis valsts rīcībā jau esošo datu atkārtotai manuālai apkopošanai.</w:t>
            </w:r>
          </w:p>
          <w:p w14:paraId="5A0C2C9E" w14:textId="77777777" w:rsidR="00160F99" w:rsidRPr="00160F99" w:rsidRDefault="00160F99" w:rsidP="001C2992">
            <w:pPr>
              <w:numPr>
                <w:ilvl w:val="0"/>
                <w:numId w:val="1"/>
              </w:numPr>
            </w:pPr>
            <w:r w:rsidRPr="00160F99">
              <w:t xml:space="preserve">Lūdzam arī precizēt pašvaldību, AARC, Ražotāju atbildības sistēmas, depozīta sistēmas u.c. institūciju, Valsts vides dienesta un Klimata un enerģētikas ministrijas </w:t>
            </w:r>
            <w:r w:rsidRPr="00160F99">
              <w:lastRenderedPageBreak/>
              <w:t>kompetenci, datu sniegšanas pienākumus un atbildību par primāro datu kvalitāti. Pretējā gadījumā, ja grozījumi rada jaunus pienākumus AARC vai pašvaldībām, anotācijā nepieciešams novērtēt administratīvo slogu, cilvēkresursu un informācijas sistēmu izmaksas, kā arī norādīt finansējuma avotu.</w:t>
            </w:r>
          </w:p>
          <w:p w14:paraId="20189838" w14:textId="77777777" w:rsidR="00160F99" w:rsidRPr="00160F99" w:rsidRDefault="00160F99" w:rsidP="001C2992">
            <w:pPr>
              <w:numPr>
                <w:ilvl w:val="0"/>
                <w:numId w:val="1"/>
              </w:numPr>
            </w:pPr>
            <w:r w:rsidRPr="00160F99">
              <w:t>Tāpat ierosinām atbalstīt Rīgas domes priekšlikumu- izteikt 3.3. apakšpunktu šādā redakcijā:</w:t>
            </w:r>
          </w:p>
          <w:p w14:paraId="6A94689E" w14:textId="77777777" w:rsidR="00160F99" w:rsidRPr="00160F99" w:rsidRDefault="00160F99" w:rsidP="001C2992">
            <w:r w:rsidRPr="00160F99">
              <w:t xml:space="preserve">“ 3.3. atkritumu rašanās novēršanas valsts programmu, ietverot pasākumus, kā arī ekonomikas instrumentu, iepirkuma kritēriju, kvantitatīvu mērķu vai citu pasākumu izmantošanu, lai veicinātu pāreju no vienreizlietojamā iepakojuma uz atkārtoti izmantojama pārtikas iepakojuma sistēmām un atkritumu sagatavošanu atkārtotai </w:t>
            </w:r>
            <w:r w:rsidRPr="00160F99">
              <w:lastRenderedPageBreak/>
              <w:t xml:space="preserve">izmantošanai, tajā skaitā, veicinot sagatavošanas atkārtotai izmantošanai un remontu tīklu izveidi un atbalstu tiem, kā arī atvieglojot šiem tīkliem piekļuvi tādiem atkritumu savākšanas sistēmu vai iekārtu operatoru īpašumā esošiem atkritumiem, kurus var sagatavot atkārtotai izmantošanai, bet ko minētie operatori neparedz sagatavot atkārtotai izmantošanai” </w:t>
            </w:r>
          </w:p>
          <w:p w14:paraId="74ED5358" w14:textId="77777777" w:rsidR="000A4871" w:rsidRDefault="000A4871" w:rsidP="001C2992"/>
        </w:tc>
        <w:tc>
          <w:tcPr>
            <w:tcW w:w="1650" w:type="dxa"/>
            <w:shd w:val="clear" w:color="auto" w:fill="FFFFFF"/>
            <w:noWrap/>
            <w:tcMar>
              <w:top w:w="75" w:type="dxa"/>
              <w:left w:w="75" w:type="dxa"/>
              <w:bottom w:w="75" w:type="dxa"/>
              <w:right w:w="75" w:type="dxa"/>
            </w:tcMar>
          </w:tcPr>
          <w:p w14:paraId="05704332" w14:textId="77777777" w:rsidR="000C1048" w:rsidRDefault="00883699" w:rsidP="00883699">
            <w:pPr>
              <w:pStyle w:val="ListParagraph"/>
              <w:numPr>
                <w:ilvl w:val="0"/>
                <w:numId w:val="4"/>
              </w:numPr>
              <w:jc w:val="left"/>
            </w:pPr>
            <w:r>
              <w:lastRenderedPageBreak/>
              <w:t>Ņemts vērā daļēji.</w:t>
            </w:r>
          </w:p>
          <w:p w14:paraId="62F4D2DD" w14:textId="2D5C6906" w:rsidR="00D54D29" w:rsidRDefault="00961CAF" w:rsidP="00883699">
            <w:pPr>
              <w:pStyle w:val="ListParagraph"/>
              <w:numPr>
                <w:ilvl w:val="0"/>
                <w:numId w:val="4"/>
              </w:numPr>
              <w:jc w:val="left"/>
            </w:pPr>
            <w:r>
              <w:t>u</w:t>
            </w:r>
            <w:r w:rsidR="00111905">
              <w:t xml:space="preserve">n 3) </w:t>
            </w:r>
            <w:r w:rsidR="000C1048">
              <w:t>Ņemts vērā daļēji.</w:t>
            </w:r>
          </w:p>
          <w:p w14:paraId="660AB312" w14:textId="77777777" w:rsidR="000A4871" w:rsidRDefault="00D54D29" w:rsidP="00D54D29">
            <w:pPr>
              <w:pStyle w:val="ListParagraph"/>
              <w:jc w:val="left"/>
            </w:pPr>
            <w:r>
              <w:t>4), 5)</w:t>
            </w:r>
            <w:r w:rsidR="00961CAF">
              <w:t xml:space="preserve"> – nav ņemts vērā.</w:t>
            </w:r>
            <w:r w:rsidR="00883699">
              <w:t xml:space="preserve"> </w:t>
            </w:r>
          </w:p>
          <w:p w14:paraId="4FA33FF1" w14:textId="14AF3E74" w:rsidR="00C162D2" w:rsidRDefault="00C162D2" w:rsidP="00D54D29">
            <w:pPr>
              <w:pStyle w:val="ListParagraph"/>
              <w:jc w:val="left"/>
            </w:pPr>
            <w:r>
              <w:lastRenderedPageBreak/>
              <w:t xml:space="preserve">7)  - ņemts vērā. </w:t>
            </w:r>
          </w:p>
        </w:tc>
        <w:tc>
          <w:tcPr>
            <w:tcW w:w="4056" w:type="dxa"/>
            <w:shd w:val="clear" w:color="auto" w:fill="FFFFFF"/>
            <w:noWrap/>
            <w:tcMar>
              <w:top w:w="75" w:type="dxa"/>
              <w:left w:w="75" w:type="dxa"/>
              <w:bottom w:w="75" w:type="dxa"/>
              <w:right w:w="75" w:type="dxa"/>
            </w:tcMar>
          </w:tcPr>
          <w:p w14:paraId="0445CF8F" w14:textId="77777777" w:rsidR="000A4871" w:rsidRDefault="00351962" w:rsidP="00351962">
            <w:pPr>
              <w:pStyle w:val="ListParagraph"/>
              <w:numPr>
                <w:ilvl w:val="0"/>
                <w:numId w:val="5"/>
              </w:numPr>
              <w:jc w:val="left"/>
            </w:pPr>
            <w:r>
              <w:lastRenderedPageBreak/>
              <w:t>Sk. atbildi uz viedokļu pārskata 1.punkta 2.apakšpunktu;</w:t>
            </w:r>
          </w:p>
          <w:p w14:paraId="754DC918" w14:textId="2186D941" w:rsidR="00351962" w:rsidRDefault="00951FAE" w:rsidP="00351962">
            <w:pPr>
              <w:pStyle w:val="ListParagraph"/>
              <w:numPr>
                <w:ilvl w:val="0"/>
                <w:numId w:val="5"/>
              </w:numPr>
              <w:jc w:val="left"/>
            </w:pPr>
            <w:r>
              <w:t>u</w:t>
            </w:r>
            <w:r w:rsidR="00111905">
              <w:t xml:space="preserve">n 3) </w:t>
            </w:r>
            <w:r w:rsidR="000C1048">
              <w:t xml:space="preserve">Atkritumu apsaimniekošanas likuma </w:t>
            </w:r>
            <w:r>
              <w:t>9.panta ceturtajā</w:t>
            </w:r>
            <w:r w:rsidR="000C1048">
              <w:t xml:space="preserve"> daļā ietvertais deleģējums noteikumu projekta izstrādei neparedz deleģējumu noteikt </w:t>
            </w:r>
            <w:r w:rsidR="0014260C" w:rsidRPr="00160F99">
              <w:t xml:space="preserve">vienotu, juridiski saistošu plānu </w:t>
            </w:r>
            <w:r w:rsidR="0014260C" w:rsidRPr="00160F99">
              <w:lastRenderedPageBreak/>
              <w:t xml:space="preserve">rādītāju un </w:t>
            </w:r>
            <w:proofErr w:type="spellStart"/>
            <w:r w:rsidR="0014260C" w:rsidRPr="00160F99">
              <w:t>mērķrādītāju</w:t>
            </w:r>
            <w:proofErr w:type="spellEnd"/>
            <w:r w:rsidR="0014260C" w:rsidRPr="00160F99">
              <w:t xml:space="preserve"> aprēķināšanas metodiku</w:t>
            </w:r>
            <w:r w:rsidR="00A351B5">
              <w:t xml:space="preserve">. </w:t>
            </w:r>
            <w:r w:rsidR="005E7E44">
              <w:t>Informējam, ka</w:t>
            </w:r>
            <w:r>
              <w:t xml:space="preserve"> sadzīves</w:t>
            </w:r>
            <w:r w:rsidR="005E7E44">
              <w:t xml:space="preserve"> </w:t>
            </w:r>
            <w:r>
              <w:t xml:space="preserve">atkritumu pārstrādes un sadzīves atkritumu apglabāšanas </w:t>
            </w:r>
            <w:proofErr w:type="spellStart"/>
            <w:r w:rsidR="005E7E44">
              <w:t>mērķrādītāju</w:t>
            </w:r>
            <w:proofErr w:type="spellEnd"/>
            <w:r w:rsidR="005E7E44">
              <w:t xml:space="preserve"> aprēķināšanas metodika jau ir noteikta M</w:t>
            </w:r>
            <w:r w:rsidR="006C0D70">
              <w:t xml:space="preserve">inistru kabineta 2021.gada </w:t>
            </w:r>
            <w:r w:rsidR="003E327B">
              <w:t xml:space="preserve">26.oktobra </w:t>
            </w:r>
            <w:r w:rsidR="005E7E44">
              <w:t xml:space="preserve"> noteikumos Nr.712</w:t>
            </w:r>
            <w:r w:rsidR="003E327B">
              <w:t xml:space="preserve"> “</w:t>
            </w:r>
            <w:r w:rsidR="003E327B" w:rsidRPr="003E327B">
              <w:t>Atkritumu dalītas savākšanas, sagatavošanas atkārtotai izmantošanai, pārstrādes un materiālu reģenerācijas noteikumi</w:t>
            </w:r>
            <w:r w:rsidR="003E327B">
              <w:t>”</w:t>
            </w:r>
            <w:r w:rsidR="005E7E44">
              <w:t xml:space="preserve"> un M</w:t>
            </w:r>
            <w:r w:rsidR="003E327B">
              <w:t>inistru kabineta 2011.gada 27.decembra noteikumos Nr.</w:t>
            </w:r>
            <w:r w:rsidR="005E7E44">
              <w:t xml:space="preserve"> 1032</w:t>
            </w:r>
            <w:r w:rsidR="003E327B">
              <w:t xml:space="preserve"> </w:t>
            </w:r>
            <w:r w:rsidR="00D751AF">
              <w:t>“Atkritumu poligonu noteikumi”</w:t>
            </w:r>
            <w:r w:rsidR="005E7E44">
              <w:t xml:space="preserve">. </w:t>
            </w:r>
            <w:r w:rsidR="00111905">
              <w:t xml:space="preserve">Jautājumi par </w:t>
            </w:r>
            <w:r w:rsidR="007F53DE">
              <w:t>atkritumu apsaimniekošanas reģionālo centru</w:t>
            </w:r>
            <w:r w:rsidR="00111905">
              <w:t xml:space="preserve"> piekļuvi </w:t>
            </w:r>
            <w:r w:rsidR="007F53DE">
              <w:t xml:space="preserve">atkritumu apsaimniekošanas </w:t>
            </w:r>
            <w:r w:rsidR="00111905">
              <w:t xml:space="preserve">datiem ir </w:t>
            </w:r>
            <w:r w:rsidR="007F53DE">
              <w:t>jā</w:t>
            </w:r>
            <w:r w:rsidR="00111905">
              <w:t>regulē M</w:t>
            </w:r>
            <w:r w:rsidR="007F53DE">
              <w:t xml:space="preserve">inistru kabineta </w:t>
            </w:r>
            <w:r w:rsidR="00C52EEE">
              <w:t xml:space="preserve">2021.gada 18.februāra noteikumos Nr. </w:t>
            </w:r>
            <w:r w:rsidR="00111905">
              <w:t>113</w:t>
            </w:r>
            <w:r w:rsidR="00C52EEE">
              <w:t xml:space="preserve"> “</w:t>
            </w:r>
            <w:r w:rsidR="000451F1" w:rsidRPr="000451F1">
              <w:t xml:space="preserve">Atkritumu un to </w:t>
            </w:r>
            <w:r w:rsidR="000451F1" w:rsidRPr="000451F1">
              <w:lastRenderedPageBreak/>
              <w:t>pārvadājumu uzskaites kārtība</w:t>
            </w:r>
            <w:r w:rsidR="000451F1">
              <w:t>”</w:t>
            </w:r>
            <w:r w:rsidR="00111905">
              <w:t>.</w:t>
            </w:r>
          </w:p>
          <w:p w14:paraId="31ADC98A" w14:textId="27E6A689" w:rsidR="00D54D29" w:rsidRDefault="00961CAF" w:rsidP="00D54D29">
            <w:pPr>
              <w:pStyle w:val="ListParagraph"/>
              <w:jc w:val="left"/>
            </w:pPr>
            <w:r>
              <w:t>4, 5)</w:t>
            </w:r>
            <w:r w:rsidR="00CC65F5">
              <w:t>, 6)</w:t>
            </w:r>
            <w:r>
              <w:t xml:space="preserve"> </w:t>
            </w:r>
            <w:r w:rsidR="002642A6">
              <w:t>–</w:t>
            </w:r>
            <w:r>
              <w:t xml:space="preserve"> </w:t>
            </w:r>
            <w:r w:rsidR="002642A6">
              <w:t xml:space="preserve">uz šiem jautājumiem neattiecas Atkritumu apsaimniekošanas likuma </w:t>
            </w:r>
            <w:r w:rsidR="000451F1">
              <w:t>9.panta ceturtajā</w:t>
            </w:r>
            <w:r w:rsidR="002642A6">
              <w:t xml:space="preserve"> daļā noteiktais deleģējums</w:t>
            </w:r>
            <w:r w:rsidR="000451F1">
              <w:t xml:space="preserve"> noteikumu projekta izstrādei</w:t>
            </w:r>
            <w:r w:rsidR="002556D1">
              <w:t xml:space="preserve">. Šādi priekšlikumi </w:t>
            </w:r>
            <w:r w:rsidR="00E51DE8">
              <w:t>varētu tikt iekļauti Atkritumu apsaimniekošanas valsts plānā nākošajam plānošanas periodam;</w:t>
            </w:r>
          </w:p>
          <w:p w14:paraId="44D8ECD2" w14:textId="568F9DA0" w:rsidR="00E51DE8" w:rsidRDefault="00C162D2" w:rsidP="00C162D2">
            <w:pPr>
              <w:pStyle w:val="ListParagraph"/>
              <w:ind w:left="765"/>
              <w:jc w:val="left"/>
            </w:pPr>
            <w:r>
              <w:t>7)sk.</w:t>
            </w:r>
            <w:r w:rsidR="000451F1">
              <w:t xml:space="preserve"> </w:t>
            </w:r>
            <w:proofErr w:type="spellStart"/>
            <w:r>
              <w:t>atbildi</w:t>
            </w:r>
            <w:proofErr w:type="spellEnd"/>
            <w:r>
              <w:t xml:space="preserve"> viedokļu apkopojuma 1.punktā. </w:t>
            </w:r>
          </w:p>
        </w:tc>
      </w:tr>
    </w:tbl>
    <w:p w14:paraId="38F80834" w14:textId="77777777" w:rsidR="00954D22" w:rsidRDefault="00954D22"/>
    <w:tbl>
      <w:tblPr>
        <w:tblStyle w:val="a"/>
        <w:tblW w:w="14567" w:type="dxa"/>
        <w:tblLayout w:type="fixed"/>
        <w:tblLook w:val="0600" w:firstRow="0" w:lastRow="0" w:firstColumn="0" w:lastColumn="0" w:noHBand="1" w:noVBand="1"/>
      </w:tblPr>
      <w:tblGrid>
        <w:gridCol w:w="4855"/>
        <w:gridCol w:w="4856"/>
        <w:gridCol w:w="4856"/>
      </w:tblGrid>
      <w:tr w:rsidR="00954D22" w14:paraId="5AAAD345" w14:textId="77777777">
        <w:tc>
          <w:tcPr>
            <w:tcW w:w="4855" w:type="dxa"/>
            <w:shd w:val="clear" w:color="auto" w:fill="FFFFFF"/>
            <w:noWrap/>
            <w:tcMar>
              <w:top w:w="75" w:type="dxa"/>
              <w:left w:w="75" w:type="dxa"/>
              <w:bottom w:w="75" w:type="dxa"/>
              <w:right w:w="75" w:type="dxa"/>
            </w:tcMar>
            <w:vAlign w:val="center"/>
          </w:tcPr>
          <w:p w14:paraId="1E5F92A7" w14:textId="77777777" w:rsidR="00954D22" w:rsidRDefault="00D73A65">
            <w:pPr>
              <w:jc w:val="left"/>
            </w:pPr>
            <w:r>
              <w:t>Datums**</w:t>
            </w:r>
          </w:p>
        </w:tc>
        <w:tc>
          <w:tcPr>
            <w:tcW w:w="4856" w:type="dxa"/>
            <w:shd w:val="clear" w:color="auto" w:fill="FFFFFF"/>
            <w:noWrap/>
            <w:tcMar>
              <w:top w:w="75" w:type="dxa"/>
              <w:left w:w="75" w:type="dxa"/>
              <w:bottom w:w="75" w:type="dxa"/>
              <w:right w:w="75" w:type="dxa"/>
            </w:tcMar>
            <w:vAlign w:val="center"/>
          </w:tcPr>
          <w:p w14:paraId="5389C963" w14:textId="747C77C5" w:rsidR="00954D22" w:rsidRDefault="00AC17BC">
            <w:pPr>
              <w:pBdr>
                <w:bottom w:val="single" w:sz="10" w:space="1" w:color="000000"/>
              </w:pBdr>
            </w:pPr>
            <w:r>
              <w:t>30.09.2026.</w:t>
            </w:r>
          </w:p>
        </w:tc>
        <w:tc>
          <w:tcPr>
            <w:tcW w:w="4856" w:type="dxa"/>
            <w:shd w:val="clear" w:color="auto" w:fill="FFFFFF"/>
            <w:noWrap/>
            <w:tcMar>
              <w:top w:w="75" w:type="dxa"/>
              <w:left w:w="75" w:type="dxa"/>
              <w:bottom w:w="75" w:type="dxa"/>
              <w:right w:w="75" w:type="dxa"/>
            </w:tcMar>
            <w:vAlign w:val="center"/>
          </w:tcPr>
          <w:p w14:paraId="67FFC80F" w14:textId="77777777" w:rsidR="00954D22" w:rsidRDefault="00954D22"/>
        </w:tc>
      </w:tr>
      <w:tr w:rsidR="00954D22" w14:paraId="4E8ACAAC" w14:textId="77777777">
        <w:tc>
          <w:tcPr>
            <w:tcW w:w="4855" w:type="dxa"/>
            <w:shd w:val="clear" w:color="auto" w:fill="FFFFFF"/>
            <w:noWrap/>
            <w:tcMar>
              <w:top w:w="75" w:type="dxa"/>
              <w:left w:w="75" w:type="dxa"/>
              <w:bottom w:w="75" w:type="dxa"/>
              <w:right w:w="75" w:type="dxa"/>
            </w:tcMar>
            <w:vAlign w:val="center"/>
          </w:tcPr>
          <w:p w14:paraId="6677E684" w14:textId="77777777" w:rsidR="00954D22" w:rsidRDefault="00954D22"/>
        </w:tc>
        <w:tc>
          <w:tcPr>
            <w:tcW w:w="4856" w:type="dxa"/>
            <w:shd w:val="clear" w:color="auto" w:fill="FFFFFF"/>
            <w:noWrap/>
            <w:tcMar>
              <w:top w:w="75" w:type="dxa"/>
              <w:left w:w="75" w:type="dxa"/>
              <w:bottom w:w="75" w:type="dxa"/>
              <w:right w:w="75" w:type="dxa"/>
            </w:tcMar>
            <w:vAlign w:val="center"/>
          </w:tcPr>
          <w:p w14:paraId="20D337BD" w14:textId="77777777" w:rsidR="00954D22" w:rsidRDefault="00D73A65">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620E02B5" w14:textId="77777777" w:rsidR="00954D22" w:rsidRDefault="00954D22"/>
        </w:tc>
      </w:tr>
      <w:tr w:rsidR="00954D22" w14:paraId="06563372" w14:textId="77777777">
        <w:tc>
          <w:tcPr>
            <w:tcW w:w="4855" w:type="dxa"/>
            <w:shd w:val="clear" w:color="auto" w:fill="FFFFFF"/>
            <w:noWrap/>
            <w:tcMar>
              <w:top w:w="75" w:type="dxa"/>
              <w:left w:w="75" w:type="dxa"/>
              <w:bottom w:w="75" w:type="dxa"/>
              <w:right w:w="75" w:type="dxa"/>
            </w:tcMar>
            <w:vAlign w:val="center"/>
          </w:tcPr>
          <w:p w14:paraId="3D8DF80F" w14:textId="77777777" w:rsidR="00954D22" w:rsidRDefault="00D73A65">
            <w:pPr>
              <w:jc w:val="left"/>
            </w:pPr>
            <w:r>
              <w:t>Atbildīgā persona</w:t>
            </w:r>
          </w:p>
        </w:tc>
        <w:tc>
          <w:tcPr>
            <w:tcW w:w="4856" w:type="dxa"/>
            <w:shd w:val="clear" w:color="auto" w:fill="FFFFFF"/>
            <w:noWrap/>
            <w:tcMar>
              <w:top w:w="75" w:type="dxa"/>
              <w:left w:w="75" w:type="dxa"/>
              <w:bottom w:w="75" w:type="dxa"/>
              <w:right w:w="75" w:type="dxa"/>
            </w:tcMar>
            <w:vAlign w:val="center"/>
          </w:tcPr>
          <w:p w14:paraId="0A722D8C" w14:textId="094B16CF" w:rsidR="00954D22" w:rsidRDefault="00AC17BC">
            <w:pPr>
              <w:pBdr>
                <w:bottom w:val="single" w:sz="10" w:space="1" w:color="000000"/>
              </w:pBdr>
            </w:pPr>
            <w:r>
              <w:t>Ilze Doniņa</w:t>
            </w:r>
          </w:p>
        </w:tc>
        <w:tc>
          <w:tcPr>
            <w:tcW w:w="4856" w:type="dxa"/>
            <w:shd w:val="clear" w:color="auto" w:fill="FFFFFF"/>
            <w:noWrap/>
            <w:tcMar>
              <w:top w:w="75" w:type="dxa"/>
              <w:left w:w="75" w:type="dxa"/>
              <w:bottom w:w="75" w:type="dxa"/>
              <w:right w:w="75" w:type="dxa"/>
            </w:tcMar>
            <w:vAlign w:val="center"/>
          </w:tcPr>
          <w:p w14:paraId="5949FC05" w14:textId="77777777" w:rsidR="00954D22" w:rsidRDefault="00954D22"/>
        </w:tc>
      </w:tr>
      <w:tr w:rsidR="00954D22" w14:paraId="026A70C1" w14:textId="77777777">
        <w:tc>
          <w:tcPr>
            <w:tcW w:w="4855" w:type="dxa"/>
            <w:shd w:val="clear" w:color="auto" w:fill="FFFFFF"/>
            <w:noWrap/>
            <w:tcMar>
              <w:top w:w="75" w:type="dxa"/>
              <w:left w:w="75" w:type="dxa"/>
              <w:bottom w:w="75" w:type="dxa"/>
              <w:right w:w="75" w:type="dxa"/>
            </w:tcMar>
            <w:vAlign w:val="center"/>
          </w:tcPr>
          <w:p w14:paraId="340057E8" w14:textId="77777777" w:rsidR="00954D22" w:rsidRDefault="00954D22"/>
        </w:tc>
        <w:tc>
          <w:tcPr>
            <w:tcW w:w="4856" w:type="dxa"/>
            <w:shd w:val="clear" w:color="auto" w:fill="FFFFFF"/>
            <w:noWrap/>
            <w:tcMar>
              <w:top w:w="75" w:type="dxa"/>
              <w:left w:w="75" w:type="dxa"/>
              <w:bottom w:w="75" w:type="dxa"/>
              <w:right w:w="75" w:type="dxa"/>
            </w:tcMar>
            <w:vAlign w:val="center"/>
          </w:tcPr>
          <w:p w14:paraId="0C3941AA" w14:textId="77777777" w:rsidR="00954D22" w:rsidRDefault="00D73A65">
            <w:pPr>
              <w:jc w:val="center"/>
            </w:pPr>
            <w:r>
              <w:t>(vārds, uzvārds, paraksts**)</w:t>
            </w:r>
          </w:p>
        </w:tc>
        <w:tc>
          <w:tcPr>
            <w:tcW w:w="4856" w:type="dxa"/>
            <w:shd w:val="clear" w:color="auto" w:fill="FFFFFF"/>
            <w:noWrap/>
            <w:tcMar>
              <w:top w:w="75" w:type="dxa"/>
              <w:left w:w="75" w:type="dxa"/>
              <w:bottom w:w="75" w:type="dxa"/>
              <w:right w:w="75" w:type="dxa"/>
            </w:tcMar>
            <w:vAlign w:val="center"/>
          </w:tcPr>
          <w:p w14:paraId="0B98DD32" w14:textId="77777777" w:rsidR="00954D22" w:rsidRDefault="00954D22"/>
        </w:tc>
      </w:tr>
    </w:tbl>
    <w:p w14:paraId="48744852" w14:textId="77777777" w:rsidR="00954D22" w:rsidRDefault="00954D22"/>
    <w:p w14:paraId="30075213" w14:textId="77777777" w:rsidR="00954D22" w:rsidRDefault="00D73A65">
      <w:r>
        <w:t>Piezīmes.</w:t>
      </w:r>
    </w:p>
    <w:p w14:paraId="23E47D0B" w14:textId="77777777" w:rsidR="00954D22" w:rsidRDefault="00D73A65">
      <w:r>
        <w:t>* Iesniedzējs (fiziskai personai – vārds, uzvārds, juridiskai personai – nosaukums) var tikt publiskots, ja viņš tam ir piekritis. Ja attiecināms, iesniedzējs norāda interešu pārstāvja reģistrācijas numuru.</w:t>
      </w:r>
    </w:p>
    <w:p w14:paraId="0F9DD62E" w14:textId="77777777" w:rsidR="00954D22" w:rsidRDefault="00D73A65">
      <w:r>
        <w:t>** Dokumenta rekvizītus "datums" un "paraksts" neaizpilda, ja elektroniskais dokuments ir sagatavots atbilstoši normatīvajiem aktiem par elektronisko dokumentu noformēšanu.</w:t>
      </w:r>
    </w:p>
    <w:sectPr w:rsidR="00954D22">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BD811" w14:textId="77777777" w:rsidR="00B97CDC" w:rsidRDefault="00B97CDC">
      <w:r>
        <w:separator/>
      </w:r>
    </w:p>
  </w:endnote>
  <w:endnote w:type="continuationSeparator" w:id="0">
    <w:p w14:paraId="796924C8" w14:textId="77777777" w:rsidR="00B97CDC" w:rsidRDefault="00B97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83108" w14:textId="77777777" w:rsidR="00954D22" w:rsidRDefault="00D73A65">
    <w:pPr>
      <w:jc w:val="right"/>
    </w:pPr>
    <w:r>
      <w:rPr>
        <w:sz w:val="24"/>
        <w:szCs w:val="24"/>
      </w:rPr>
      <w:fldChar w:fldCharType="begin"/>
    </w:r>
    <w:r>
      <w:rPr>
        <w:sz w:val="24"/>
        <w:szCs w:val="24"/>
      </w:rPr>
      <w:instrText>PAGE</w:instrText>
    </w:r>
    <w:r>
      <w:rPr>
        <w:sz w:val="24"/>
        <w:szCs w:val="24"/>
      </w:rPr>
      <w:fldChar w:fldCharType="separate"/>
    </w:r>
    <w:r w:rsidR="00530532">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C020C" w14:textId="77777777" w:rsidR="00D73A65" w:rsidRDefault="00D73A65">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2BFB9" w14:textId="77777777" w:rsidR="00B97CDC" w:rsidRDefault="00B97CDC">
      <w:r>
        <w:separator/>
      </w:r>
    </w:p>
  </w:footnote>
  <w:footnote w:type="continuationSeparator" w:id="0">
    <w:p w14:paraId="4E285E8B" w14:textId="77777777" w:rsidR="00B97CDC" w:rsidRDefault="00B97C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95A15" w14:textId="77777777" w:rsidR="00954D22" w:rsidRDefault="00D73A65">
    <w:pPr>
      <w:pStyle w:val="Header"/>
      <w:contextualSpacing w:val="0"/>
    </w:pPr>
    <w:r>
      <w:t>Viedokļu pārskats 26-TA-500</w:t>
    </w:r>
    <w:r>
      <w:br/>
      <w:t>Izdrukāts 24.09.2026. 09.21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20EFF" w14:textId="77777777" w:rsidR="00954D22" w:rsidRDefault="00D73A65">
    <w:pPr>
      <w:pStyle w:val="Header"/>
      <w:contextualSpacing w:val="0"/>
    </w:pPr>
    <w:r>
      <w:t>Viedokļu pārskats 26-TA-500</w:t>
    </w:r>
    <w:r>
      <w:br/>
      <w:t>Izdrukāts 24.09.2026. 09.21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A6FA4"/>
    <w:multiLevelType w:val="hybridMultilevel"/>
    <w:tmpl w:val="BBCCF71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CAD6E72"/>
    <w:multiLevelType w:val="hybridMultilevel"/>
    <w:tmpl w:val="216C905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4883483"/>
    <w:multiLevelType w:val="hybridMultilevel"/>
    <w:tmpl w:val="A7E0BA2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80A7C0F"/>
    <w:multiLevelType w:val="hybridMultilevel"/>
    <w:tmpl w:val="F73EC2A6"/>
    <w:lvl w:ilvl="0" w:tplc="0AE2BE58">
      <w:start w:val="1"/>
      <w:numFmt w:val="decimal"/>
      <w:lvlText w:val="%1)"/>
      <w:lvlJc w:val="left"/>
      <w:pPr>
        <w:ind w:left="765" w:hanging="360"/>
      </w:pPr>
      <w:rPr>
        <w:rFonts w:ascii="Times New Roman" w:eastAsia="Times New Roman" w:hAnsi="Times New Roman" w:cs="Times New Roman"/>
      </w:rPr>
    </w:lvl>
    <w:lvl w:ilvl="1" w:tplc="04260003">
      <w:start w:val="1"/>
      <w:numFmt w:val="bullet"/>
      <w:lvlText w:val="o"/>
      <w:lvlJc w:val="left"/>
      <w:pPr>
        <w:ind w:left="1485" w:hanging="360"/>
      </w:pPr>
      <w:rPr>
        <w:rFonts w:ascii="Courier New" w:hAnsi="Courier New" w:cs="Courier New" w:hint="default"/>
      </w:rPr>
    </w:lvl>
    <w:lvl w:ilvl="2" w:tplc="04260005">
      <w:start w:val="1"/>
      <w:numFmt w:val="bullet"/>
      <w:lvlText w:val=""/>
      <w:lvlJc w:val="left"/>
      <w:pPr>
        <w:ind w:left="2205" w:hanging="360"/>
      </w:pPr>
      <w:rPr>
        <w:rFonts w:ascii="Wingdings" w:hAnsi="Wingdings" w:hint="default"/>
      </w:rPr>
    </w:lvl>
    <w:lvl w:ilvl="3" w:tplc="04260001">
      <w:start w:val="1"/>
      <w:numFmt w:val="bullet"/>
      <w:lvlText w:val=""/>
      <w:lvlJc w:val="left"/>
      <w:pPr>
        <w:ind w:left="2925" w:hanging="360"/>
      </w:pPr>
      <w:rPr>
        <w:rFonts w:ascii="Symbol" w:hAnsi="Symbol" w:hint="default"/>
      </w:rPr>
    </w:lvl>
    <w:lvl w:ilvl="4" w:tplc="04260003">
      <w:start w:val="1"/>
      <w:numFmt w:val="bullet"/>
      <w:lvlText w:val="o"/>
      <w:lvlJc w:val="left"/>
      <w:pPr>
        <w:ind w:left="3645" w:hanging="360"/>
      </w:pPr>
      <w:rPr>
        <w:rFonts w:ascii="Courier New" w:hAnsi="Courier New" w:cs="Courier New" w:hint="default"/>
      </w:rPr>
    </w:lvl>
    <w:lvl w:ilvl="5" w:tplc="04260005">
      <w:start w:val="1"/>
      <w:numFmt w:val="bullet"/>
      <w:lvlText w:val=""/>
      <w:lvlJc w:val="left"/>
      <w:pPr>
        <w:ind w:left="4365" w:hanging="360"/>
      </w:pPr>
      <w:rPr>
        <w:rFonts w:ascii="Wingdings" w:hAnsi="Wingdings" w:hint="default"/>
      </w:rPr>
    </w:lvl>
    <w:lvl w:ilvl="6" w:tplc="04260001">
      <w:start w:val="1"/>
      <w:numFmt w:val="bullet"/>
      <w:lvlText w:val=""/>
      <w:lvlJc w:val="left"/>
      <w:pPr>
        <w:ind w:left="5085" w:hanging="360"/>
      </w:pPr>
      <w:rPr>
        <w:rFonts w:ascii="Symbol" w:hAnsi="Symbol" w:hint="default"/>
      </w:rPr>
    </w:lvl>
    <w:lvl w:ilvl="7" w:tplc="04260003">
      <w:start w:val="1"/>
      <w:numFmt w:val="bullet"/>
      <w:lvlText w:val="o"/>
      <w:lvlJc w:val="left"/>
      <w:pPr>
        <w:ind w:left="5805" w:hanging="360"/>
      </w:pPr>
      <w:rPr>
        <w:rFonts w:ascii="Courier New" w:hAnsi="Courier New" w:cs="Courier New" w:hint="default"/>
      </w:rPr>
    </w:lvl>
    <w:lvl w:ilvl="8" w:tplc="04260005">
      <w:start w:val="1"/>
      <w:numFmt w:val="bullet"/>
      <w:lvlText w:val=""/>
      <w:lvlJc w:val="left"/>
      <w:pPr>
        <w:ind w:left="6525" w:hanging="360"/>
      </w:pPr>
      <w:rPr>
        <w:rFonts w:ascii="Wingdings" w:hAnsi="Wingdings" w:hint="default"/>
      </w:rPr>
    </w:lvl>
  </w:abstractNum>
  <w:abstractNum w:abstractNumId="4" w15:restartNumberingAfterBreak="0">
    <w:nsid w:val="4DC25D1E"/>
    <w:multiLevelType w:val="hybridMultilevel"/>
    <w:tmpl w:val="F986250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624433364">
    <w:abstractNumId w:val="3"/>
    <w:lvlOverride w:ilvl="0"/>
    <w:lvlOverride w:ilvl="1"/>
    <w:lvlOverride w:ilvl="2"/>
    <w:lvlOverride w:ilvl="3"/>
    <w:lvlOverride w:ilvl="4"/>
    <w:lvlOverride w:ilvl="5"/>
    <w:lvlOverride w:ilvl="6"/>
    <w:lvlOverride w:ilvl="7"/>
    <w:lvlOverride w:ilvl="8"/>
  </w:num>
  <w:num w:numId="2" w16cid:durableId="1167861797">
    <w:abstractNumId w:val="0"/>
  </w:num>
  <w:num w:numId="3" w16cid:durableId="351954420">
    <w:abstractNumId w:val="1"/>
  </w:num>
  <w:num w:numId="4" w16cid:durableId="1141967024">
    <w:abstractNumId w:val="4"/>
  </w:num>
  <w:num w:numId="5" w16cid:durableId="11666311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D22"/>
    <w:rsid w:val="000451F1"/>
    <w:rsid w:val="00057D22"/>
    <w:rsid w:val="000A4871"/>
    <w:rsid w:val="000C1048"/>
    <w:rsid w:val="000F3612"/>
    <w:rsid w:val="00111905"/>
    <w:rsid w:val="0011485D"/>
    <w:rsid w:val="0014260C"/>
    <w:rsid w:val="00160F99"/>
    <w:rsid w:val="00174E73"/>
    <w:rsid w:val="00194258"/>
    <w:rsid w:val="001C2992"/>
    <w:rsid w:val="00227B31"/>
    <w:rsid w:val="00236A17"/>
    <w:rsid w:val="002556D1"/>
    <w:rsid w:val="002642A6"/>
    <w:rsid w:val="002956E0"/>
    <w:rsid w:val="002F64E7"/>
    <w:rsid w:val="00336237"/>
    <w:rsid w:val="00351962"/>
    <w:rsid w:val="003E327B"/>
    <w:rsid w:val="003F209E"/>
    <w:rsid w:val="00405F1F"/>
    <w:rsid w:val="00530532"/>
    <w:rsid w:val="005B38B1"/>
    <w:rsid w:val="005E7E44"/>
    <w:rsid w:val="006C0D70"/>
    <w:rsid w:val="0074539D"/>
    <w:rsid w:val="007C7CB5"/>
    <w:rsid w:val="007F53DE"/>
    <w:rsid w:val="008413A9"/>
    <w:rsid w:val="00883699"/>
    <w:rsid w:val="0091036B"/>
    <w:rsid w:val="00951FAE"/>
    <w:rsid w:val="00954D22"/>
    <w:rsid w:val="00960FF5"/>
    <w:rsid w:val="00961CAF"/>
    <w:rsid w:val="009867EF"/>
    <w:rsid w:val="00A25674"/>
    <w:rsid w:val="00A351B5"/>
    <w:rsid w:val="00A47CEB"/>
    <w:rsid w:val="00A70C06"/>
    <w:rsid w:val="00AC17BC"/>
    <w:rsid w:val="00B97CDC"/>
    <w:rsid w:val="00BB1C76"/>
    <w:rsid w:val="00BF20E3"/>
    <w:rsid w:val="00C162D2"/>
    <w:rsid w:val="00C3143B"/>
    <w:rsid w:val="00C52EEE"/>
    <w:rsid w:val="00CC65F5"/>
    <w:rsid w:val="00D2218F"/>
    <w:rsid w:val="00D54D29"/>
    <w:rsid w:val="00D73A65"/>
    <w:rsid w:val="00D751AF"/>
    <w:rsid w:val="00DB51DF"/>
    <w:rsid w:val="00DC06EB"/>
    <w:rsid w:val="00E02ED4"/>
    <w:rsid w:val="00E25309"/>
    <w:rsid w:val="00E51DE8"/>
    <w:rsid w:val="00E81EE2"/>
    <w:rsid w:val="00F056E0"/>
    <w:rsid w:val="00F403BB"/>
    <w:rsid w:val="00F75A47"/>
    <w:rsid w:val="00FD3BE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CDA8E"/>
  <w15:docId w15:val="{DCE0EE41-FFC5-4D4D-B4C8-6E8B80761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5B38B1"/>
    <w:pPr>
      <w:ind w:left="720"/>
      <w:contextualSpacing/>
    </w:pPr>
  </w:style>
  <w:style w:type="paragraph" w:styleId="EndnoteText">
    <w:name w:val="endnote text"/>
    <w:basedOn w:val="Normal"/>
    <w:link w:val="EndnoteTextChar"/>
    <w:uiPriority w:val="99"/>
    <w:semiHidden/>
    <w:unhideWhenUsed/>
    <w:rsid w:val="00A70C06"/>
    <w:rPr>
      <w:sz w:val="20"/>
    </w:rPr>
  </w:style>
  <w:style w:type="character" w:customStyle="1" w:styleId="EndnoteTextChar">
    <w:name w:val="Endnote Text Char"/>
    <w:basedOn w:val="DefaultParagraphFont"/>
    <w:link w:val="EndnoteText"/>
    <w:uiPriority w:val="99"/>
    <w:semiHidden/>
    <w:rsid w:val="00A70C06"/>
    <w:rPr>
      <w:sz w:val="20"/>
    </w:rPr>
  </w:style>
  <w:style w:type="character" w:styleId="EndnoteReference">
    <w:name w:val="endnote reference"/>
    <w:basedOn w:val="DefaultParagraphFont"/>
    <w:uiPriority w:val="99"/>
    <w:semiHidden/>
    <w:unhideWhenUsed/>
    <w:rsid w:val="00A70C06"/>
    <w:rPr>
      <w:vertAlign w:val="superscript"/>
    </w:rPr>
  </w:style>
  <w:style w:type="paragraph" w:styleId="CommentText">
    <w:name w:val="annotation text"/>
    <w:basedOn w:val="Normal"/>
    <w:link w:val="CommentTextChar"/>
    <w:unhideWhenUsed/>
    <w:rsid w:val="00227B31"/>
    <w:pPr>
      <w:spacing w:after="160"/>
      <w:jc w:val="left"/>
    </w:pPr>
    <w:rPr>
      <w:rFonts w:ascii="Calibri" w:eastAsia="Calibri" w:hAnsi="Calibri"/>
      <w:color w:val="auto"/>
      <w:sz w:val="20"/>
      <w:lang w:eastAsia="en-US"/>
    </w:rPr>
  </w:style>
  <w:style w:type="character" w:customStyle="1" w:styleId="CommentTextChar">
    <w:name w:val="Comment Text Char"/>
    <w:basedOn w:val="DefaultParagraphFont"/>
    <w:link w:val="CommentText"/>
    <w:rsid w:val="00227B31"/>
    <w:rPr>
      <w:rFonts w:ascii="Calibri" w:eastAsia="Calibri" w:hAnsi="Calibri"/>
      <w:color w:val="auto"/>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116</TotalTime>
  <Pages>17</Pages>
  <Words>10648</Words>
  <Characters>6070</Characters>
  <Application>Microsoft Office Word</Application>
  <DocSecurity>0</DocSecurity>
  <Lines>50</Lines>
  <Paragraphs>33</Paragraphs>
  <ScaleCrop>false</ScaleCrop>
  <Company/>
  <LinksUpToDate>false</LinksUpToDate>
  <CharactersWithSpaces>16685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viedoklu_parskats_26-TA-500.docx</dc:title>
  <dc:creator>Ilze Doniņa</dc:creator>
  <cp:lastModifiedBy>Ilze Doniņa</cp:lastModifiedBy>
  <cp:revision>60</cp:revision>
  <dcterms:created xsi:type="dcterms:W3CDTF">2026-09-24T12:13:00Z</dcterms:created>
  <dcterms:modified xsi:type="dcterms:W3CDTF">2026-09-30T12:02:00Z</dcterms:modified>
</cp:coreProperties>
</file>