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24-TA-1650: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Oficiālās statistikas programmu 2025.–2027.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Oficiālās statistikas programmu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Statistikas likuma 6. panta otro daļu oficiālās statistikas programma ir plānošanas periodā nodrošināmās oficiālās statistikas saraksts. Oficiālās statistikas programmu apstiprina Ministru kabinets, izdodot noteikumus. Ņemot vērā minēto un to, ka pilnvarojums pēc būtības neparedz uzdevumu Ministru kabinetam katru gadu pieņemt jaunu oficiālās statistikas programmu, lūdzam izvērtēt iespēju izstrādāt vispārīgu vai ilgākam laika periodam paredzētu oficiālās statistikas programmu, samazinot normatīvo aktu apjomu, kā arī tā rezultātā radīto administratīvo slogu gan saskaņošanas, gan piemērošanas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Statistikas likuma 6.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Oficiālās statistikas nodrošināšanu valsts institūcija plāno</w:t>
            </w:r>
            <w:r w:rsidR="00000000" w:rsidRPr="00000000" w:rsidDel="00000000">
              <w:rPr>
                <w:b w:val="1"/>
                <w:i w:val="1"/>
                <w:rtl w:val="0"/>
              </w:rPr>
              <w:t xml:space="preserve"> </w:t>
            </w:r>
            <w:r w:rsidR="00000000" w:rsidRPr="00000000" w:rsidDel="00000000">
              <w:rPr>
                <w:b w:val="1"/>
                <w:i w:val="1"/>
                <w:u w:val="single"/>
                <w:rtl w:val="0"/>
              </w:rPr>
              <w:t xml:space="preserve">triju gadu periodam</w:t>
            </w:r>
            <w:r w:rsidR="00000000" w:rsidRPr="00000000" w:rsidDel="00000000">
              <w:rPr>
                <w:i w:val="1"/>
                <w:rtl w:val="0"/>
              </w:rPr>
              <w:t xml:space="preserve"> (turpmāk — plānošanas periods), ņemot vērā esošās vai plānotās aktivitātes šā likuma 5. panta pirmajā daļā noteikto mērķu sasniegšanai, statistikas lietotāju vajadzības un statistikas nodrošināšanas lietderību.” </w:t>
            </w:r>
            <w:r w:rsidR="00000000" w:rsidRPr="00000000" w:rsidDel="00000000">
              <w:rPr>
                <w:rtl w:val="0"/>
              </w:rPr>
              <w:t xml:space="preserve">Ikgadējo Ministru kabineta noteikumu neizdošana nenodrošina pastāvīgu trīs gadu plānošanu uz priekšu, kā nosaka Statistikas likums. Tikai grozījumu veikšana, būtu normatīvā akta lasītājam neuztverami un sagādātu daudz lielāku birokrātisko slogu izmaiņu administrēšanā. Centrālā statistikas pārvalde (turpmāk – CSP) un datu lietotāju ieskatos šis ir optimālākais veids kā grozīt Oficiālo statistikas programmu (turpmāk – OSP). Līdzīgs regulējums ir valsts budžeta jomā, kad vienlaicīgi spēkā ir trīs budžeta ietvara likumi, tikai tāpēc, lai nodrošinātu informāciju par trīs gadu budžeta ietvaru, skaitot no katra konkrētā budžeta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papildus iepriekš minētajam, OSP tajā detalizācijas pakāpē, kādā tas tiek sagatavots, ir pamats CSP budžeta pieprasījumiem.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CSP, uzaicinot Tieslietu ministriju izteikt savu viedokli par konkrētiem risinājumiem, izvērtēs iespēju grozīt Statistikas likumu tā, lai nākamajos gados, izstrādājot Ministru kabineta noteikumus par OSP, mazinātu normatīvo aktu apjomu, kā arī tā rezultātā radīto administratīvo slogu gan saskaņošanas, gan piemērošanas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Oficiālās statistikas programmu 2025.–2027.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apstiprina Oficiālās statistikas programmu 2025.–2027. gadam (</w:t>
            </w:r>
            <w:r w:rsidR="00000000" w:rsidRPr="00000000" w:rsidDel="00000000">
              <w:rPr>
                <w:rtl w:val="0"/>
              </w:rPr>
              <w:t xml:space="preserve">​</w:t>
            </w:r>
            <w:r w:rsidR="00000000" w:rsidRPr="00000000" w:rsidDel="00000000">
              <w:rPr>
                <w:rtl w:val="0"/>
              </w:rPr>
              <w:t xml:space="preserve">pielikumu</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Oficiālās statistikas programmas 3. tabulā "1. tabulas 5. ailes "Datu iegūšanas veids un avoti" detalizēts apraksts" 33. punktā minētie personas datu veidi tiek izmantoti 1. tabulas apakšpunktos "9.8. Pašvaldību sociālās palīdzības pabalsti" un "9.13. Operatīvie dati par trūcīgo un maznodrošināto personu skaitu pašvaldībās un pašvaldību sniegto sociālo palīdzību" noteiktās statistikas izstrādei. Lūdzam atbilstoši precizēt informāciju 3.tabulas 33. rindas 4.ailē.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3.tabulas 33. rindas 4.ailē: 9.8., 9.13.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OSP 2025. – 2027. gadam pielikuma 3. tabulas 33. rindas 4. aile uz  "</w:t>
            </w:r>
            <w:r w:rsidR="00000000" w:rsidRPr="00000000" w:rsidDel="00000000">
              <w:rPr>
                <w:i w:val="1"/>
                <w:rtl w:val="0"/>
              </w:rPr>
              <w:t xml:space="preserve">9.8., 9.13.</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apstiprina Oficiālās statistikas programmu 2025.–2027. gadam (</w:t>
            </w:r>
            <w:r w:rsidR="00000000" w:rsidRPr="00000000" w:rsidDel="00000000">
              <w:rPr>
                <w:rtl w:val="0"/>
              </w:rPr>
              <w:t xml:space="preserve">​</w:t>
            </w:r>
            <w:r w:rsidR="00000000" w:rsidRPr="00000000" w:rsidDel="00000000">
              <w:rPr>
                <w:rtl w:val="0"/>
              </w:rPr>
              <w:t xml:space="preserve">pielikumu</w:t>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Oficiālās statistikas programma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(turpmāk - KEM) uztur 26.09.2024. izteikto iebildumu par publisko sektoru, jo saskaņā ar Eiropas Parlamenta un Padomes 2023. gada 13. septembra Direktīvu 2023/1791 par energoefektivitāti un ar ko groza Regulu (ES) 2023/955 (pārstrādāta redakcija) (turpmāk -  Direktīva 2023/1791) tiek noteikti pienākumi publiskajam sektoram. Līdz ar to KEM ieskatā "OSP1.tabula" tabula ir papildināma ar KEM iebildumā minētajām datu rindām.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publiskais sektors Valsts pārvaldes iekārtas likuma izpratnē ir publiska persona un atvasināta publiska persona. Līdz ar to KEM strādās pie jaunas likumdošanas izstrādes, lai transponētu Direktīvu 2023/1791, tai skaitā, pārskatot pienākumus, atbildīgās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KEM ieskatā diskusijas ar Centrālo statistikas pārvaldi ir turpināmas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AER statistikas datu vākšanas pilnveidošanu un verifikāciju, ņemot vērā jaunākās attīstības;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Energoefektivitātes mērķu progresa novērtēšanu, tai skaitā, ēku sektorā, publiskā sektora patēriņa uzskaiti, tai skaitā, sadalījumā pa energoresursu veidiem, iekļaujot arī transporta enerģiju;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Enerģētikas datu vākšanu, uzskaiti un analīzi, kvalitāti un formātu, kā to prasa Eiropas Parlamenta un Padomes 2018. gada 11. decembra Regulas (ES) 2018/1999 par enerģētikas savienības un rīcības klimata politikas jomā pārvaldību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 525/2013 4. nodaļa (17. - 27. pants), kas nosaka pienākumus Eiropas Savienības dalībvalstīm iesniegt ziņojumus par Nacionālā enerģētikas un klimata plāna mērķu sasniegšanas progresu, un Komisijas 2022. gada 15. novembra Īstenošanas Regula 2022/2299 ar ko paredz noteikumus par to, kā piemērot Eiropas Parlamenta un Padomes Regulu (ES) 2018/1999 attiecībā uz integrēto nacionālo enerģētikas un klimata progresa ziņojumu struktūru, formātu, tehniskajiem aspektiem un procesu un tās attiecīgie pielikumi;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biežāku regularitāti statistikai "Energoresursu apsekojums mājsaimniecībās”, to pielāgojot enerģētikas progresa ziņojuma periodiskumam;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statistikas iegūšanu elektroenerģijas uzkrātuvēm, kas pēc atļaujas jaunas elektroenerģijas iekārtas ieviešanai izsniegšanas uzstādītas gan individuāli, gan kopā ar vēja vai saules elektrostacijām, kā arī  attiecībā uz uzkrātuvēm ar jaudu līdz 500 kW par iespēju ietvert mājsaimniecību apsekojumā rādītājus par 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pieļauj "OSP1.tabula" 2) “publiskā sektora īpašumā esošo ēku platība (m</w:t>
            </w:r>
            <w:r w:rsidR="00000000" w:rsidRPr="00000000" w:rsidDel="00000000">
              <w:rPr>
                <w:vertAlign w:val="superscript"/>
                <w:rtl w:val="0"/>
              </w:rPr>
              <w:t xml:space="preserve">2</w:t>
            </w:r>
            <w:r w:rsidR="00000000" w:rsidRPr="00000000" w:rsidDel="00000000">
              <w:rPr>
                <w:rtl w:val="0"/>
              </w:rPr>
              <w:t xml:space="preserve">)” un 3) “atjaunoto publiskā sektora īpašumā esošo ēku platība (m</w:t>
            </w:r>
            <w:r w:rsidR="00000000" w:rsidRPr="00000000" w:rsidDel="00000000">
              <w:rPr>
                <w:vertAlign w:val="superscript"/>
                <w:rtl w:val="0"/>
              </w:rPr>
              <w:t xml:space="preserve">2</w:t>
            </w:r>
            <w:r w:rsidR="00000000" w:rsidRPr="00000000" w:rsidDel="00000000">
              <w:rPr>
                <w:rtl w:val="0"/>
              </w:rPr>
              <w:t xml:space="preserve">)” pārvietot, ja nepieciešams, piemērotākā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statistikas pārvalde informē, ka 13.11.2024. notika sanāksme starp Klimata un enerģētikas ministriju un Centrālo statistikas pārvaldi, kurs laikā panākta  vienošanās par turpmākajām darbībām, lai nodrošinātu datu apkopošanas, analīzes un izplatīšanas vajadzības Eiropas Parlamenta un Padomes 2023. gada 13. septembra Direktīvas 2023/1791 par energoefektivitāti un ar ko groza Regulu (ES) 2023/955 (pārstrādāta redakcija) ieviešanai. Kā arī panākta vienošanās par stratēģiju un darbībām kā apkopojami dati par AER statistiku, energoefektivitātes mērķu progresu un enerģētiku.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Oficiālās statistikas programma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pielikuma "OSP1.tabula" lapā sadaļu "20. Enerģētikas statistika" papildināt ar jaunām rindām: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“publiskā sektora enerģijas galapatēriņš”;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“publiskā sektora īpašumā esošo ēku platība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“atjaunoto publiskā sektora īpašumā esošo ēku platība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Visām minētajām rindām statistikas iestādi norādot "Centrālā statistikas pārvalde", publicēšanas periodiskumu - gads, "Datu iegūšanas veids un avoti" - aprēķini, izmantojot Centrālās statistikas pārvaldes datus, un gadus - 2025., 2026. un 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Uzskaitāmie dati nepieciešami Eiropas Parlamenta un Padomes 2023. gada 13. septembra Direktīvas 2023/1791 par energoefektivitāti un ar ko groza Regulu (ES) 2023/955 (pārstrādāta redakcija) noteikto mērķu izpildē.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(turpmāk - KEM) aicina atsākt sarunas ar Centrālo statistikas pārvaldi (turpmāk - CSP), kā pilnveidot enerģētikas datu vākšanu, uzskaiti un analīzi un starp institucionāli vienoties par datiem, to kvalitāti un formātu, kā to prasa Eiropas Parlamenta un Padomes 2018. gada 11. decembra Regulas (ES) 2018/1999 par enerģētikas savienības un rīcības klimata politikas jomā pārvaldību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 525/2013 4. nodaļa (17. - 27. pants), kas nosaka pienākumus Eiropas Savienības dalībvalstīm iesniegt ziņojumus par Nacionālā enerģētikas un klimata plāna mērķu sasniegšanas progresu, un Komisijas 2022. gada 15. novembra Īstenošanas Regula 2022/2299 ar ko paredz noteikumus par to, kā piemērot Eiropas Parlamenta un Padomes Regulu (ES) 2018/1999 attiecībā uz integrēto nacionālo enerģētikas un klimata progresa ziņojumu struktūru, formātu, tehniskajiem aspektiem un procesu un tās attiecīgie pielikumi.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CSP norāda, ka jau 2023. gada beigās tika uzsāktas sarunas ar Klimata un enerģētikas ministriju (turpmāk – KEM), Ekonomikas ministriju un Būvniecības valsts kontroles biroju (turpmāk – BVKB) par iebildumā minētājiem produktiem un to pieejamību, bet konkrēti risinājumi netika rasti. CSP aicina atsākt sarunas, un vienoties par šo produktu aprēķiniem un turpmāko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CSP norāda, ka dati par publiskā sektora īpašuma platībām un renovētajām platībām neatbilst sadaļai Enerģētikas statistika. Publiskā sektora īpašumā esošo ēku saraksts ir BVKB kompetence, un dati ir publicēti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CSP ir atvērti sarunām KEM gan vadības, gan ekspertu līmenī. Vadības līmenī 2024. gadā ir notikušas 4 sanāksmes ar mērķi pilnveidot enerģētikas datu vākšanu, uzskaiti un analīzi. Ekspertu līmenī notiek regulāras konsultācijas, gan ar KEM, tā arī ar nozares ekspertiem no BVKB, Fizikālās Enerģētikas Institūta, AS "Sadales tīkls", AS "Augstsprieguma tīkls", Valsts ieņēmumu dienesta (turpmāk – VID) un citiem ekspertiem. CSP aicina KEM iesniegt detalizētākas sarunu/diskusiju tēmas, kuras varētu izskatīt turpmākajās sanāksmēs.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Oficiālās statistikas programma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statistiku "Energoresursu apsekojums mājsaimniecībās par 2025. gadu (2025.gadā notiks sagatavošanās darbi, rezultāti 2027.gadā)" ir nepieciešams veikt biežāk nekā reizi 5 gados, piemēram, reizi 2 gados, to pielāgojot enerģētikas progresa ziņojuma periodiskumam. Iespēju robežās mājsaimniecības enerģijas patēriņu nepieciešams balstīt uz jau pieejamiem datiem no enerģijas piegādātājiem (elektroenerģijas, gāzes, siltumenerģijas tirgotāji), izņemot individuālo apkuri. Iespējams to apsekojumu vai mājsaimniecību datu sagatavošanu, ko veiktu reizi 2 gados, var veidot kā vienkāršotu datu ieguves anketu, bet reizi 5 gados saglabāt pilno mājsaimniecību apsekojumu.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CSP skaidro, ka, lai veiktu mājsaimniecību apsekojumu katru otro gadu, ir  nepieciešams papildus finansējums. Ja finansējums tiktu piešķirts, attiecīgi tiktu izvērtēta arī vienkāršotās datu ieguves anketas ieviešana un apsekojums būtu iekļaujams 2028. gada OSP (vācot datus par 2027.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CSP arī norāda, ka dati par mājsaimniecībās patērēto siltumenerģiju, elektroenerģiju un dabasgāzi tiek iegūta no enerģijas piegādātājiem kopš enerģētikas statistikas datu vākšanas sākuma.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Oficiālās statistikas programma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pielikuma "OSP1.tabula" lapā sadaļu "20. Enerģētikas statistika" papildināt ar jaunu rindu "Atjaunīgās enerģijas īpatsvars  kopējā enerģijas bruto galapatēriņā tautsaimniecības nozarē", statistikas iestādi norādot "Centrālā statistikas pārvalde", publicēšanas periodiskumu - gads, "Datu iegūšanas veids un avoti" - aprēķini, izmantojot Centrālās statistikas pārvaldes datus, un gadus - 2025., 2026. un 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Eiropas Parlamenta un Padomes 2023.gada 18.oktobra direktīva (ES) 2023/2413, ar ko attiecībā uz atjaunīgo energoresursu enerģijas izmantošanas veicināšanu groza Direktīvu (ES) 2018/2001, Regulu (ES) 2018/1999 un Direktīvu 98/70/EK un atceļ Padomes Direktīvu (ES) 2015/652, noteica jaunus atjaunīgās enerģijas īpatsvara mērķus - atjaunīgās enerģijas īpatsvars rūpniecībā (NACE2 B, C, F un J63 sadaļa), atjaunīgās enerģijas īpatsvars ēkās (kurināmā patēriņš energobilances "pārējie patērētāji" un "mājsaimniecības" sektoros un siltumenerģijas un elektroenerģijas patēriņš šajos sektoros (izdalot siltumenerģijas un elektroenerģijas atjaunīgās enerģijas apjomu), atjaunīgās enerģijas īpatsvars centralizētajā siltumapgādē un aukstumapgādē, kuru izpildes novērtēšanai nepieciešamie statistikas aprēķini netiks iekļauti Eurostat aprēķina programmā (SHARE), līdz ar to katrai Eiropas Savienības dalībvalstij ir jāizstrādā pašai savi aprēķina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CSP skaidro, ka atjaunotā Eurostat aprēķina programma (SHARE) izveidota saskaņā ar </w:t>
            </w:r>
            <w:r w:rsidR="00000000" w:rsidRPr="00000000" w:rsidDel="00000000">
              <w:rPr>
                <w:i w:val="1"/>
                <w:rtl w:val="0"/>
              </w:rPr>
              <w:t xml:space="preserve">Eiropas Parlamenta un Padomes Direktīva (ES) 2023/2413 (2023. gada 18. oktobris), ar ko attiecībā uz atjaunīgo energoresursu enerģijas izmantošanas veicināšanu groza Direktīvu (ES) 2018/2001, Regulu (ES) 2018/1999 un Direktīvu 98/70/EK un atceļ Padomes Direktīvu (ES) 2015/652</w:t>
            </w:r>
            <w:r w:rsidR="00000000" w:rsidRPr="00000000" w:rsidDel="00000000">
              <w:rPr>
                <w:rtl w:val="0"/>
              </w:rPr>
              <w:t xml:space="preserve"> prasībām un tajā jau ir iekļauts iebildumā minētais rādītājs. 2025. gada dati , izmantojot atjaunoto SHARE aprēķinu programmu, tiks aprēķināti un publicēti 2026. gadā. Līdz ar to OSP 2025. – 2027. gadam  minētais rādītājs netiks iekļauts, taču, izstrādājot nākamā perioda OSP,  CSP to iekļaus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OSP 2. tabulā par 1. tabulas produktu  "</w:t>
            </w:r>
            <w:r w:rsidR="00000000" w:rsidRPr="00000000" w:rsidDel="00000000">
              <w:rPr>
                <w:i w:val="1"/>
                <w:rtl w:val="0"/>
              </w:rPr>
              <w:t xml:space="preserve">Atjaunojamās enerģijas īpatsvars kopējā enerģijas bruto galapatēriņā</w:t>
            </w:r>
            <w:r w:rsidR="00000000" w:rsidRPr="00000000" w:rsidDel="00000000">
              <w:rPr>
                <w:rtl w:val="0"/>
              </w:rPr>
              <w:t xml:space="preserve">": pie sadaļās "</w:t>
            </w:r>
            <w:r w:rsidR="00000000" w:rsidRPr="00000000" w:rsidDel="00000000">
              <w:rPr>
                <w:i w:val="1"/>
                <w:rtl w:val="0"/>
              </w:rPr>
              <w:t xml:space="preserve">Publicējamā rādītāja detalizācija</w:t>
            </w:r>
            <w:r w:rsidR="00000000" w:rsidRPr="00000000" w:rsidDel="00000000">
              <w:rPr>
                <w:rtl w:val="0"/>
              </w:rPr>
              <w:t xml:space="preserve">" norādīs "</w:t>
            </w:r>
            <w:r w:rsidR="00000000" w:rsidRPr="00000000" w:rsidDel="00000000">
              <w:rPr>
                <w:i w:val="1"/>
                <w:rtl w:val="0"/>
              </w:rPr>
              <w:t xml:space="preserve">Kopā Latvijā, atjaunojamās enerģijas (AER) īpatsvars kopējā enerģijas bruto patēriņā; AER īpatsvars transporta sektorā; AER apsildei un dzesēšanai, elektroenerģijas patēriņā; AER īpatsvars rūpniecības sektorā, AER īpatsvars ēkās, AER īpatsvars centralizētajā siltumapgādē un aukstumapgādē</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Oficiālās statistikas programma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ir atbildīga par Nacionālā attīstības plāna 2021.-2027.gadam (NAP2027) mērķu īstenošanas uzraudzību, sekojot līdz tam, vai tiek sasniegtas/notiek virzība uz plāna noteikto mērķu indikatoru plānoto vērtību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Sagatavojot Ministru prezidentes ziņojumu par Latvijas ilgtspējīgas attīstības stratēģijas līdz 2030.gadam un NAP2027 īstenošanu un valsts ilgtspējīgu attīstību (lūdzu skatīt ziņojumu šeit: https://titania.saeima.lv/LIVS14/saeimalivs_lmp.nsf/0/4FDD51B1F61642DDC2258B3300465646?OpenDocument), tika konstatēts,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virknei NAP2027 ietverto mērķa indikatoru vairs nav pieejami dati vai salīdzināmi dati, jo šādi dati vairs netiek radīti vai ir mainījusies datu apstrādes metodoloģija vai mainījies bāzes gads pret kuru konkrētā indikatora tiek aprēķināta;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virkne mērķu indikatoru vērtību ir pieejamas tikai reizi četros gados (piemēram, 15 gadus vecu skolēnu panākumi lasīšanā, matemātikā, dabaszinātnēs), kad tiek veikti attiecīgi ESAO (Ekonomiskās  sadarbības un attīstības organizācija – angliski OECD) regulārie pētījumi izglītības jomā, līdz ar to virknei izglītības jomas mērķu indikatoru attīstības progresa regulāra novērtēšana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mainījušās plānošanas reģionu robežas, bet NAP2027 noteiktie sasniedzamie mērķi, piemēram, stratēģiskais mērķis mazināt IKP uz vienu iedzīvotāju atšķirības starp Rīgas plānošanas reģionu un pārējiem četriem plānošanas reģioniem, kā arī pārējie rādītāji rīcības virzienā “Līdzsvarota reģionālā attīstība” ir noteikti attiecībā uz plānošanas reģioniem 2020.gadā spēkā esošajās plānošanas reģionu robežās. līdz ar to ir nepieciešams saglabāt tā brīža metodoloģijai un plānošanas reģionu robežām atbilstošas šo datu laika rindas.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Situācija attiecībā uz iztrūkstošajiem (kopskaitā 16) indikatoriem ir pilnībā atspoguļota Ministru prezidentes ziņojumā par Latvijas ilgtspējīgas attīstības stratēģijas līdz 2030.gadam un NAP2027 īstenošanu un valsts ilgtspējīgu attīstību, kur katrā sadaļā pie attiecīgo rīcības virzienu datu tabulām ir norādīts, par kuru no mērķu indikatoriem dati nav pieejami. Noteikti apzināmies, ka šo datu pieejamību nav iespējams atrisināt uzreiz un iekļaut oficiālās statistikas programmā gan nepieciešamo sagatavošanās darbu, gan iespējamo izmaksu dēļ, tomēr būtu svarīgi turpināt jau Saeimas Ilgtspējīgas attīstības komisijas sēdē š.g.13.jūnijā uzsākto diskusiju par to, kā pilnvērtīgi, aptverot visus NAP2027 mērķu indikatorus, nodrošināt NAP2027 mērķu sasniegšanas izsekojamību un attiecīgo indikatoru datu aktualitāti un ticamību, ja nepieciešams izveidojot trūkstošo vai zemas regularitātes indikatoru aizstāšanai jaunus attiecīgo problemātiku raksturojošus indikatorus. Iztrūkstošie indikatori, kuru uzraudzībai ir nepieciešams rast risinājumu (izvēloties citas datu vākšanas metodes attiecīgo indikatoru datu ieguvei vai  izvēlēties līdzvērtīgus/aizstājošus indikatorus) ir sekojošie NAP2027 mērķu indikatori: [47] Apmierinātība ar dzīvi; (82) Skolēni, kuri cietuši no skolasbiedru ņirgāšanās; [99] Bērnu īpatsvars, kuri dzīvo kopā ar abiem vecākiem, %; (149) 15 gadus vecu skolēnu īpatsvars ar augstiem/zemiem mācību sasniegumiem lasīšanā, matemātikā un dabaszinātnēs; (175) Izglītojamie ar zemiem sasniegumiem zinātnē no OECD PISA sociāli ekonomiskā un kultūras statusa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indeksa (ESCS) apakšējās ceturtdaļas izglītojamiem; (178) No vardarbības izglītības iestādē vairākas reizes mēnesī cietušie 15 gadus veci bērni; [194] Zināšanu un tehnoloģiju izlaide (vieta reitingā); [195] Tirgus izsmalcinātība (Market sophistication) (vieta reitingā); [197] Eksporta vienības vērtība (SITC 5–8), 5 gadu slīdošais vidējais pieaugumatemps; (230) Institūciju rādītājs; (234) Digitālo tehnoloģiju integrācija, vidējā svērtā vērtība no 4a – uzņēmējdarbības digitalizācija – (60 %) un 4b – e-komercija (40 %); (272) CO2 piesaiste un SEG emisiju attiecība noteiktās ZIZIMM sektora zemes uzskaites kategorijās; [302] Transporta infrastruktūras indekss, vieta/ punkti; (399) Lepnums par piederību Latvijai (piekrīt, nepiekrīt), %; (404) Pieaugušo iedzīvotāju īpatsvars, kuri prot latviešu valodu un kuru dzimtā valoda nav latviešu valoda (25–64 g.v.), %; 405) Medijpratības pieredze – pārbauda, ar ko dalās sociālajos medijos, % no sociālo mediju lietotājiem / pārliecinās par informācijas avotu uzticamību), % no visiem respondentiem.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CSP ir uzsākusi un arī turpinās diskusiju ar Valsts Kanceleju (turpmāk – VK) un iesaistītajām iestādēm, lai izvērtētu iespējas un risinājumus nākotnē iekļaut norādītos rādītājus OSP. Attiecībā uz vēsturiskajiem plānošanas reģionu datiem - CSP sagatavos datus pēc VK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CSP pieejamā informācija par iztrūkstošajiem  16 NAP2027 mērķu indikatoriem, kuru uzraudzībai nepieciešams rast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[47] Apmierinātība ar dzīvi </w:t>
            </w:r>
            <w:r w:rsidR="00000000" w:rsidRPr="00000000" w:rsidDel="00000000">
              <w:rPr>
                <w:rtl w:val="0"/>
              </w:rPr>
              <w:t xml:space="preserve">- Datu avots: EU-SILC ; Ikgadējs rādītājs, skatīt Oficiālās statistikas portālā (turpmāk – OS portāls)  DKA010 (skatīt OS portālā: </w:t>
            </w:r>
            <w:r w:rsidR="00000000" w:rsidRPr="00000000" w:rsidDel="00000000">
              <w:rPr>
                <w:u w:val="single"/>
                <w:rtl w:val="0"/>
              </w:rPr>
              <w:t xml:space="preserve">https://stat.gov.lv/lv/statistikas-temas/labklajibas-un-vienlidzibas-raditaji/dzives-kvalitate/tabulas/dka010-iedzivotaju</w:t>
            </w:r>
            <w:r w:rsidR="00000000" w:rsidRPr="00000000" w:rsidDel="00000000">
              <w:rPr>
                <w:rtl w:val="0"/>
              </w:rPr>
              <w:t xml:space="preserve">) “Iedzīvotāju vecumā no 16 gadiem labsajūtas atsevišķu dimensiju raksturojums un attieksme pret pārvaldību un pamattiesībām (vidējais skalā no 0 līdz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(82) Skolēni, kuri cietuši no skolasbiedru ņirgāšanās </w:t>
            </w:r>
            <w:r w:rsidR="00000000" w:rsidRPr="00000000" w:rsidDel="00000000">
              <w:rPr>
                <w:rtl w:val="0"/>
              </w:rPr>
              <w:t xml:space="preserve">- Datu avots: IKVD monitorings iekļaujošai izglītībai (skatīt: </w:t>
            </w:r>
            <w:r w:rsidR="00000000" w:rsidRPr="00000000" w:rsidDel="00000000">
              <w:rPr>
                <w:u w:val="single"/>
                <w:rtl w:val="0"/>
              </w:rPr>
              <w:t xml:space="preserve">chrome-extension://efaidnbmnnnibpcajpcglclefindmkaj/https://centrsdardedze.lv/wp-content/uploads/2022/09/IZM-konference-Ce%CC%84sis-2022-Lauma-Tuc%CC%8Ca-Edurio-1.pdf)</w:t>
            </w:r>
            <w:r w:rsidR="00000000" w:rsidRPr="00000000" w:rsidDel="00000000">
              <w:rPr>
                <w:rtl w:val="0"/>
              </w:rPr>
              <w:t xml:space="preserve">; dati tiek atjaunināti tad, kad pieejama jaunākā informācija no Izglītības kvalitātes valsts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Sociālās iekļaušanas sadaļa, riska grupa “Vardarbībā cietušas personas”, skatīt OS portālā Vardarbībā cietušas personas (skatīt OS portālā: </w:t>
            </w:r>
            <w:r w:rsidR="00000000" w:rsidRPr="00000000" w:rsidDel="00000000">
              <w:rPr>
                <w:u w:val="single"/>
                <w:rtl w:val="0"/>
              </w:rPr>
              <w:t xml:space="preserve">https://stat.gov.lv/lv/sociala-ieklausanas-riska-grupa-vardarbiba-cietusas-personas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[99] Bērnu īpatsvars, kuri dzīvo kopā ar abiem vecākiem, % </w:t>
            </w:r>
            <w:r w:rsidR="00000000" w:rsidRPr="00000000" w:rsidDel="00000000">
              <w:rPr>
                <w:rtl w:val="0"/>
              </w:rPr>
              <w:t xml:space="preserve">- Pieejami dati pēc Tautas skaitīšanas metodoloģijas (skatīt OS portālā: </w:t>
            </w:r>
            <w:r w:rsidR="00000000" w:rsidRPr="00000000" w:rsidDel="00000000">
              <w:rPr>
                <w:u w:val="single"/>
                <w:rtl w:val="0"/>
              </w:rPr>
              <w:t xml:space="preserve">https://data.stat.gov.lv/pxweb/lv/OSP_PUB/START__POP__MV__MVG/MVG031/</w:t>
            </w:r>
            <w:r w:rsidR="00000000" w:rsidRPr="00000000" w:rsidDel="00000000">
              <w:rPr>
                <w:rtl w:val="0"/>
              </w:rPr>
              <w:t xml:space="preserve">), bet jāņem vērā, ka tie nav salīdzināmi ar iepriekš izmantotajiem OECD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(149) 15 gadus vecu skolēnu īpatsvars ar augstiem/zemiem mācību sasniegumiem lasīšanā, matemātikā un dabaszinātnēs</w:t>
            </w:r>
            <w:r w:rsidR="00000000" w:rsidRPr="00000000" w:rsidDel="00000000">
              <w:rPr>
                <w:rtl w:val="0"/>
              </w:rPr>
              <w:t xml:space="preserve"> -PISA pētījums. Jaunākais, kas ir pieejams ir par 2022. gadu. Informācija par Latviju ir</w:t>
            </w:r>
            <w:r w:rsidR="00000000" w:rsidRPr="00000000" w:rsidDel="00000000">
              <w:rPr>
                <w:i w:val="1"/>
                <w:rtl w:val="0"/>
              </w:rPr>
              <w:t xml:space="preserve"> country notes</w:t>
            </w:r>
            <w:r w:rsidR="00000000" w:rsidRPr="00000000" w:rsidDel="00000000">
              <w:rPr>
                <w:rtl w:val="0"/>
              </w:rPr>
              <w:t xml:space="preserve"> (skatīt: </w:t>
            </w:r>
            <w:r w:rsidR="00000000" w:rsidRPr="00000000" w:rsidDel="00000000">
              <w:rPr>
                <w:u w:val="single"/>
                <w:rtl w:val="0"/>
              </w:rPr>
              <w:t xml:space="preserve">https://www.oecd.org/en/publications/pisa-2022-results-volume-i-and-ii-country-notes_ed6fbcc5-en/latvia_f58bca29-en.html</w:t>
            </w:r>
            <w:r w:rsidR="00000000" w:rsidRPr="00000000" w:rsidDel="00000000">
              <w:rPr>
                <w:rtl w:val="0"/>
              </w:rPr>
              <w:t xml:space="preserve">) un statistikas datubāze (skatīt: </w:t>
            </w:r>
            <w:r w:rsidR="00000000" w:rsidRPr="00000000" w:rsidDel="00000000">
              <w:rPr>
                <w:u w:val="single"/>
                <w:rtl w:val="0"/>
              </w:rPr>
              <w:t xml:space="preserve">https://gpseducation.oecd.org/IndicatorExplorer?plotter=h5&amp;query=2</w:t>
            </w:r>
            <w:r w:rsidR="00000000" w:rsidRPr="00000000" w:rsidDel="00000000">
              <w:rPr>
                <w:rtl w:val="0"/>
              </w:rPr>
              <w:t xml:space="preserve">). Apsekojums tiek veikts reizi 4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(175) Izglītojamie ar zemiem sasniegumiem zinātnē no OECD PISA sociāli ekonomiskā un kultūras statusa</w:t>
            </w:r>
            <w:r w:rsidR="00000000" w:rsidRPr="00000000" w:rsidDel="00000000">
              <w:rPr>
                <w:b w:val="1"/>
                <w:rtl w:val="0"/>
              </w:rPr>
              <w:t xml:space="preserve">indeksa (ESCS) apakšējās ceturtdaļas izglītojamiem</w:t>
            </w:r>
            <w:r w:rsidR="00000000" w:rsidRPr="00000000" w:rsidDel="00000000">
              <w:rPr>
                <w:rtl w:val="0"/>
              </w:rPr>
              <w:t xml:space="preserve"> - PISA pētījums. Jaunākais, kas ir pieejams ir par 2022. gadu. Informācija par Latviju ir </w:t>
            </w:r>
            <w:r w:rsidR="00000000" w:rsidRPr="00000000" w:rsidDel="00000000">
              <w:rPr>
                <w:i w:val="1"/>
                <w:rtl w:val="0"/>
              </w:rPr>
              <w:t xml:space="preserve">country notes</w:t>
            </w:r>
            <w:r w:rsidR="00000000" w:rsidRPr="00000000" w:rsidDel="00000000">
              <w:rPr>
                <w:rtl w:val="0"/>
              </w:rPr>
              <w:t xml:space="preserve"> (skatīt: </w:t>
            </w:r>
            <w:r w:rsidR="00000000" w:rsidRPr="00000000" w:rsidDel="00000000">
              <w:rPr>
                <w:u w:val="single"/>
                <w:rtl w:val="0"/>
              </w:rPr>
              <w:t xml:space="preserve">https://www.oecd.org/en/publications/pisa-2022-results-volume-i-and-ii-country-notes_ed6fbcc5-en/latvia_f58bca29-en.html</w:t>
            </w:r>
            <w:r w:rsidR="00000000" w:rsidRPr="00000000" w:rsidDel="00000000">
              <w:rPr>
                <w:rtl w:val="0"/>
              </w:rPr>
              <w:t xml:space="preserve">) un statistikas datubāze (skatīt: </w:t>
            </w:r>
            <w:r w:rsidR="00000000" w:rsidRPr="00000000" w:rsidDel="00000000">
              <w:rPr>
                <w:u w:val="single"/>
                <w:rtl w:val="0"/>
              </w:rPr>
              <w:t xml:space="preserve">https://gpseducation.oecd.org/IndicatorExplorer?plotter=h5&amp;query=2</w:t>
            </w:r>
            <w:r w:rsidR="00000000" w:rsidRPr="00000000" w:rsidDel="00000000">
              <w:rPr>
                <w:rtl w:val="0"/>
              </w:rPr>
              <w:t xml:space="preserve">). Apsekojums tiek veikts reizi 4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(178) No vardarbības izglītības iestādē vairākas reizes mēnesī cietušie 15 gadus veci bērni </w:t>
            </w:r>
            <w:r w:rsidR="00000000" w:rsidRPr="00000000" w:rsidDel="00000000">
              <w:rPr>
                <w:rtl w:val="0"/>
              </w:rPr>
              <w:t xml:space="preserve">- Datu avots: </w:t>
            </w:r>
            <w:r w:rsidR="00000000" w:rsidRPr="00000000" w:rsidDel="00000000">
              <w:rPr>
                <w:i w:val="1"/>
                <w:rtl w:val="0"/>
              </w:rPr>
              <w:t xml:space="preserve">PISA 2022 Results (Volume I and II) - Country Notes: Latvia</w:t>
            </w:r>
            <w:r w:rsidR="00000000" w:rsidRPr="00000000" w:rsidDel="00000000">
              <w:rPr>
                <w:rtl w:val="0"/>
              </w:rPr>
              <w:t xml:space="preserve"> (skatīt: </w:t>
            </w:r>
            <w:r w:rsidR="00000000" w:rsidRPr="00000000" w:rsidDel="00000000">
              <w:rPr>
                <w:u w:val="single"/>
                <w:rtl w:val="0"/>
              </w:rPr>
              <w:t xml:space="preserve">https://www.oecd.org/en/publications/pisa-2022-results-volume-i-and-ii-country-notes_ed6fbcc5-en/latvia_f58bca29-en.html#section-d1e383</w:t>
            </w:r>
            <w:r w:rsidR="00000000" w:rsidRPr="00000000" w:rsidDel="00000000">
              <w:rPr>
                <w:rtl w:val="0"/>
              </w:rPr>
              <w:t xml:space="preserve">). Dati tiek atjaunināti tad, kad ir pieejams jaunākais PISA pētījums.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Sociālās iekļaušanas sadaļa, riska grupa “Vardarbībā cietušas personas”, (skatīt OS portālā: </w:t>
            </w:r>
            <w:r w:rsidR="00000000" w:rsidRPr="00000000" w:rsidDel="00000000">
              <w:rPr>
                <w:u w:val="single"/>
                <w:rtl w:val="0"/>
              </w:rPr>
              <w:t xml:space="preserve">https://stat.gov.lv/lv/sociala-ieklausanas-riska-grupa-vardarbiba-cietusas-personas</w:t>
            </w:r>
            <w:r w:rsidR="00000000" w:rsidRPr="00000000" w:rsidDel="00000000">
              <w:rPr>
                <w:rtl w:val="0"/>
              </w:rPr>
              <w:t xml:space="preserve">, Vardarbībā cietušas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[194] Zināšanu un tehnoloģiju izlaide (vieta reitingā) </w:t>
            </w:r>
            <w:r w:rsidR="00000000" w:rsidRPr="00000000" w:rsidDel="00000000">
              <w:rPr>
                <w:rtl w:val="0"/>
              </w:rPr>
              <w:t xml:space="preserve">-  CSP nav informācijas par šādas statistikas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[195] Tirgus izsmalcinātība (Market sophistication) (vieta reitingā) </w:t>
            </w:r>
            <w:r w:rsidR="00000000" w:rsidRPr="00000000" w:rsidDel="00000000">
              <w:rPr>
                <w:rtl w:val="0"/>
              </w:rPr>
              <w:t xml:space="preserve">- CSP nav informācijas par šādas statistikas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[197] Eksporta vienības vērtība (SITC 5–8), 5 gadu slīdošais vidējais pieauguma temps</w:t>
            </w:r>
            <w:r w:rsidR="00000000" w:rsidRPr="00000000" w:rsidDel="00000000">
              <w:rPr>
                <w:rtl w:val="0"/>
              </w:rPr>
              <w:t xml:space="preserve"> – CSP līdz šim, izmantojot ārējās tirdzniecības datus, ir sagatavojusi un publicējusi rādītājus par IK produktu ārējo tirdzniecību (importu, eksportu), un tie ir iekļauti OSP 2025. - 2027. gadam pielikuma 28.3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(230) Institūciju rādītājs (Globālās konkurentspējas indekss) </w:t>
            </w:r>
            <w:r w:rsidR="00000000" w:rsidRPr="00000000" w:rsidDel="00000000">
              <w:rPr>
                <w:rtl w:val="0"/>
              </w:rPr>
              <w:t xml:space="preserve">- CSP nav informācijas par šādas statistikas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(234) Digitālo tehnoloģiju integrācija, vidējā svērtā vērtība no 4a – uzņēmējdarbības digitalizācija – (60 %) un 4b – e-komercija (40 %) </w:t>
            </w:r>
            <w:r w:rsidR="00000000" w:rsidRPr="00000000" w:rsidDel="00000000">
              <w:rPr>
                <w:rtl w:val="0"/>
              </w:rPr>
              <w:t xml:space="preserve">- Dati par IKT lietošanu un e-komerciju uzņēmumos tiek un arī turpmāk tiks nodrošināti atbilstoši Eiropas savienības regulējumam, nodrošinot visus tos digitālās desmitgades programmā iekļautos mērķrādītājus, kuru datu avots ir Eiropas kopienas apsekojuma par IKT lietošanu un e-komerciju uzņēmumos, ko Latvijā veic CSP (OSP 2025. – 2027. gadam punkts 28.1). Uzņēmumu digitalizācija ir kompozīts rādītājs, kas tiek veidots no vairākiem dalībvalstu apsekojumu IKT lietošanu raksturojošiem rādītājiem, bet tiek aprēķināts centralizēti pēc vienotas metodoloģijas, kas var pa gadiem nedaudz mainīties;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(272) CO2 piesaiste un SEG emisiju attiecība noteiktās ZIZIMM sektora zemes uzskaites kategorijās </w:t>
            </w:r>
            <w:r w:rsidR="00000000" w:rsidRPr="00000000" w:rsidDel="00000000">
              <w:rPr>
                <w:rtl w:val="0"/>
              </w:rPr>
              <w:t xml:space="preserve">– CSP norāda, ka NAP 2027 par šī rādītāja nodrošināšanu ir atbildīgās – Zemkopības ministrija, LVMI “Silava”, Viedās administrācijas un reģionālās attīstības ministrija. Dati par SEG emisijām un piesaisti ir publicēti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Vides, ģeoloģijas un meteoroloģijas centra (turpmāk – LVĢMC) mājaslapā un ir publiski pieejami (skatīt: </w:t>
            </w:r>
            <w:r w:rsidR="00000000" w:rsidRPr="00000000" w:rsidDel="00000000">
              <w:rPr>
                <w:u w:val="single"/>
                <w:rtl w:val="0"/>
              </w:rPr>
              <w:t xml:space="preserve">https://videscentrs.lvgmc.lv/lapas/informacija-par-latvijas-seg-emisijam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[302] Transporta infrastruktūras indekss, vieta/ punkti </w:t>
            </w:r>
            <w:r w:rsidR="00000000" w:rsidRPr="00000000" w:rsidDel="00000000">
              <w:rPr>
                <w:rtl w:val="0"/>
              </w:rPr>
              <w:t xml:space="preserve">-  CSP norāda, ka Saskaņā ar dokumentu “Par Transporta attīstības pamatnostādnēm 2021.-2027. gadam” (skatīt: </w:t>
            </w:r>
            <w:r w:rsidR="00000000" w:rsidRPr="00000000" w:rsidDel="00000000">
              <w:rPr>
                <w:u w:val="single"/>
                <w:rtl w:val="0"/>
              </w:rPr>
              <w:t xml:space="preserve">https://likumi.lv/ta/id/327053-par-transporta-attistibas-pamatnostadnem-2021-2027-gadam</w:t>
            </w:r>
            <w:r w:rsidR="00000000" w:rsidRPr="00000000" w:rsidDel="00000000">
              <w:rPr>
                <w:rtl w:val="0"/>
              </w:rPr>
              <w:t xml:space="preserve">) un publicētajiem rādītājiem, minētā indeksa aprēķina datu avots ir Pasaules Ekonomikas Forums. Pēc publiski pieejamās informācijas par šī indeksa aprēķināšanu var vērsties pie Rīgas Ekonomikas augstskola, kas atbild par Latvijas sadaļu Pasaules Ekonomikas Foruma gada ziņojumā. Saskaņā ar publicēto metodoloģiju Transporta infrastruktūras indeksam tas ietver katrā no aprēķina sadaļām ekspertu vai viedokļu aptaujas par kuru kvalitāti un reprezentativitāti nav pieejama plašāka informācija. (skatīt: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https://www3.weforum.org/docs/WEF_GCR_2019_Appendix_A.pdf</w:t>
            </w:r>
            <w:r w:rsidR="00000000" w:rsidRPr="00000000" w:rsidDel="00000000">
              <w:rPr>
                <w:rtl w:val="0"/>
              </w:rPr>
              <w:t xml:space="preserve">). CSP arī norāda, ka daļa ir ministriju aptauju rādītāji un aptauju biežākai norisei būtu nepieciešams būtisks papildus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(399) Lepnums par piederību Latvijai (piekrīt, nepiekrīt), % </w:t>
            </w:r>
            <w:r w:rsidR="00000000" w:rsidRPr="00000000" w:rsidDel="00000000">
              <w:rPr>
                <w:rtl w:val="0"/>
              </w:rPr>
              <w:t xml:space="preserve">- CSP nav informācijas par šādas statistikas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(404) Pieaugušo iedzīvotāju īpatsvars, kuri prot latviešu valodu un kuru dzimtā valoda nav latviešu valoda (25–64 g.v.), % </w:t>
            </w:r>
            <w:r w:rsidR="00000000" w:rsidRPr="00000000" w:rsidDel="00000000">
              <w:rPr>
                <w:rtl w:val="0"/>
              </w:rPr>
              <w:t xml:space="preserve">- CSP norāda, ka šie dati ir pieejami kā Pieaugušo izglītības apsekojuma rezultāti, (skatī OS portālā: </w:t>
            </w:r>
            <w:r w:rsidR="00000000" w:rsidRPr="00000000" w:rsidDel="00000000">
              <w:rPr>
                <w:u w:val="single"/>
                <w:rtl w:val="0"/>
              </w:rPr>
              <w:t xml:space="preserve">https://data.stat.gov.lv/pxweb/lv/OSP_OD/OSP_OD__apsekojumi__pieaug_izgl/PIA74.px/</w:t>
            </w:r>
            <w:r w:rsidR="00000000" w:rsidRPr="00000000" w:rsidDel="00000000">
              <w:rPr>
                <w:rtl w:val="0"/>
              </w:rPr>
              <w:t xml:space="preserve">) tabula PIA74, Valodu zināšanas (izņemot dzimto valodu) sadalījumā pēc dzimuma, vecuma, pēc izglītības līmeņa, pēc nodarbinātības statusa 2022. gadā (25-64 gadi/ procentos no iedzīvotāju skaita attiecīgajā grupā). Apsekojums tiek veikts reizi 6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(405) Medijpratības pieredze – pārbauda, ar ko dalās sociālajos medijos, % no sociālo mediju lietotājiem / pārliecinās par informācijas avotu uzticamību), % no visiem respondentiem</w:t>
            </w:r>
            <w:r w:rsidR="00000000" w:rsidRPr="00000000" w:rsidDel="00000000">
              <w:rPr>
                <w:rtl w:val="0"/>
              </w:rPr>
              <w:t xml:space="preserve"> – CSP nav informācijas par šādas statistikas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Oficiālās statistikas programma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CSP izvērtēt iespēju Latvijas Nacionālā attīstības plāna 2021 – 2027. gadam (NAP2027) indikatorus, kuru datu avots ir CSP, kā arī iespēju robežās ANO Ilgtspējīgas attīstības apakšmērķu (ANO IAM) Globālā indikatoru saraksta indikatorus (vai tos pēc iespējas līdzvērtīgi aizvietojošus indikatorus) iekļaut Oficiālās statistikas programmā (OSP), tā nodrošinot minēto indikatoru rezultatīvo rādītāju uzraudzību vienā platformā, kas nozīmīgi sabiedrības un politikas veidotāju informēšanai par valsts attīstības politiku virzību ilgtspējīgas attīstības mērķu sasniegšanā. Šobrīd no NAP 2027 uzraugāmajiem indikatoriem (131 indikators) gandrīz 40% gadījumu  datu avots ir  CSP, tādēļ šo datu stabilai pieejamībai nākotnē ir būtiska attiecīgo indikatoru ietveršana Oficiālās statistikas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CSP norāda, ka rādītāja esamība ANO Ilgtspējīgas attīstības apakšmērķu globālajā sarakstā nav tiesiskais pamats konkrēto datu vākšanai.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CSP uzsver, ka nepieciešamo datu prasību identificēšana jāveic savlaicīgi, jaunu politiku izstrādes vai esošo aktualizēšanas procesā, lai datu vajadzības savlaicīgi iekļautu statistikas darbu plānošanas un finansējuma rāmī.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CSP ir uzsākusi un arī turpinās diskusiju ar VK un iesaistītajām iestādēm, lai izvērtētu iespējas un risinājumus nākotnē iekļaut norādītos rādītājus OSP.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Oficiālās statistikas programma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Pielikuma </w:t>
            </w:r>
            <w:r w:rsidR="00000000" w:rsidRPr="00000000" w:rsidDel="00000000">
              <w:rPr>
                <w:rtl w:val="0"/>
              </w:rPr>
              <w:t xml:space="preserve">(</w:t>
            </w:r>
            <w:r w:rsidR="00000000" w:rsidRPr="00000000" w:rsidDel="00000000">
              <w:rPr>
                <w:i w:val="1"/>
                <w:rtl w:val="0"/>
              </w:rPr>
              <w:t xml:space="preserve">datne: EMNopt_090924_statistika.xlsx</w:t>
            </w:r>
            <w:r w:rsidR="00000000" w:rsidRPr="00000000" w:rsidDel="00000000">
              <w:rPr>
                <w:rtl w:val="0"/>
              </w:rPr>
              <w:t xml:space="preserve">) </w:t>
            </w:r>
            <w:r w:rsidR="00000000" w:rsidRPr="00000000" w:rsidDel="00000000">
              <w:rPr>
                <w:b w:val="1"/>
                <w:rtl w:val="0"/>
              </w:rPr>
              <w:t xml:space="preserve">OSP 3. tabulas "</w:t>
            </w:r>
            <w:r w:rsidR="00000000" w:rsidRPr="00000000" w:rsidDel="00000000">
              <w:rPr>
                <w:b w:val="1"/>
                <w:i w:val="1"/>
                <w:rtl w:val="0"/>
              </w:rPr>
              <w:t xml:space="preserve">Datu iegūšanas veids un avoti" detalizēts apraksts</w:t>
            </w:r>
            <w:r w:rsidR="00000000" w:rsidRPr="00000000" w:rsidDel="00000000">
              <w:rPr>
                <w:b w:val="1"/>
                <w:rtl w:val="0"/>
              </w:rPr>
              <w:t xml:space="preserve">" B kolonnas "</w:t>
            </w:r>
            <w:r w:rsidR="00000000" w:rsidRPr="00000000" w:rsidDel="00000000">
              <w:rPr>
                <w:b w:val="1"/>
                <w:i w:val="1"/>
                <w:rtl w:val="0"/>
              </w:rPr>
              <w:t xml:space="preserve">Administratīvā datu avota pārzinis</w:t>
            </w:r>
            <w:r w:rsidR="00000000" w:rsidRPr="00000000" w:rsidDel="00000000">
              <w:rPr>
                <w:b w:val="1"/>
                <w:rtl w:val="0"/>
              </w:rPr>
              <w:t xml:space="preserv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25. punktā</w:t>
            </w:r>
            <w:r w:rsidR="00000000" w:rsidRPr="00000000" w:rsidDel="00000000">
              <w:rPr>
                <w:rtl w:val="0"/>
              </w:rPr>
              <w:t xml:space="preserve"> norādīts, ka: "</w:t>
            </w:r>
            <w:r w:rsidR="00000000" w:rsidRPr="00000000" w:rsidDel="00000000">
              <w:rPr>
                <w:i w:val="1"/>
                <w:rtl w:val="0"/>
              </w:rPr>
              <w:t xml:space="preserve">Nacionālais veselības dienests sniedz informāciju par darbnespējas lapām: personas kods, slimības  gadījuma identifikators, darbnespējas lapas identifikators, tips, veids, statuss, sākuma un beigu datums, darbā stāšanās datums, datums, no kura darbnespējas lapa turpinās, slēgšanas datums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26. punktā</w:t>
            </w:r>
            <w:r w:rsidR="00000000" w:rsidRPr="00000000" w:rsidDel="00000000">
              <w:rPr>
                <w:rtl w:val="0"/>
              </w:rPr>
              <w:t xml:space="preserve"> norādīts, ka: "</w:t>
            </w:r>
            <w:r w:rsidR="00000000" w:rsidRPr="00000000" w:rsidDel="00000000">
              <w:rPr>
                <w:i w:val="1"/>
                <w:rtl w:val="0"/>
              </w:rPr>
              <w:t xml:space="preserve">Nacionālais veselības dienests sniedz informāciju -  personas kods, tālruņa numurs, epasta adrese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un 26. punktā minētā informācija tiek uzkrāta e-veselības sistēmā. Ministru kabineta 2024. gada 28. jūlijā rīkojuma Nr. 623 "</w:t>
            </w:r>
            <w:r w:rsidR="00000000" w:rsidRPr="00000000" w:rsidDel="00000000">
              <w:rPr>
                <w:i w:val="1"/>
                <w:rtl w:val="0"/>
              </w:rPr>
              <w:t xml:space="preserve">Par Veselības ministrijas padotībā esošās valsts pārvaldes iestādes – Nacionālā veselības dienesta – reorganizāciju</w:t>
            </w:r>
            <w:r w:rsidR="00000000" w:rsidRPr="00000000" w:rsidDel="00000000">
              <w:rPr>
                <w:rtl w:val="0"/>
              </w:rPr>
              <w:t xml:space="preserve">" 2. punkts nosaka, ka  SIA "Latvijas Digitālās veselības centrs" ar 2025. gada 1. janvāri ir Nacionālā veselības dienesta tiesību, saistību, finanšu līdzekļu, mantas un lietvedības pārņēmēja attiecībā uz funkciju – īstenot e-veselības politiku – un valsts pārvaldes uzdevumiem, kas ir noteikti šī rīkojuma 2.1., 2.2., 2.3., 2.4. un 2.5.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informāciju, kas ir norādīta OSP 3. tabulas C kolonnas 25. un 26. punktā, no 2025. gada 1. janvāra sniegs SIA "Latvijas Digitālās veselības centrs", līdz ar to ir nepieciešami atbilstoši precizējumi.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(datne: EMNopt_090924_statistika.xlsx) OSP 3. tabulas "Datu iegūšanas veids un avoti" detalizēts apraksts" B kolonnas "</w:t>
            </w:r>
            <w:r w:rsidR="00000000" w:rsidRPr="00000000" w:rsidDel="00000000">
              <w:rPr>
                <w:i w:val="1"/>
                <w:rtl w:val="0"/>
              </w:rPr>
              <w:t xml:space="preserve">Administratīvā datu avota pārzinis</w:t>
            </w:r>
            <w:r w:rsidR="00000000" w:rsidRPr="00000000" w:rsidDel="00000000">
              <w:rPr>
                <w:rtl w:val="0"/>
              </w:rPr>
              <w:t xml:space="preserve">": 1. 25. punktā, lūdzu, norādīt, ka: "SIA "Latvijas Digitālās veselības centrs" sniedz informāciju par darbnespējas lapām: personas kods, slimības  gadījuma identifikators, darbnespējas lapas identifikators, tips, veids, statuss, sākuma un beigu datums, darbā stāšanās datums, datums, no kura darbnespējas lapa turpinās, slēgšanas datums"; 2. 26. punktā, lūdzu, norādīt, ka: "SIA "Latvijas Digitālās veselības centrs" sniedz informāciju -  personas kods, tālruņa numurs, epasta adrese".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Noteikumu projekta OSP 2025. – 2027. gadam pielikuma 3. tabulas "</w:t>
            </w:r>
            <w:r w:rsidR="00000000" w:rsidRPr="00000000" w:rsidDel="00000000">
              <w:rPr>
                <w:i w:val="1"/>
                <w:rtl w:val="0"/>
              </w:rPr>
              <w:t xml:space="preserve">Datu iegūšanas veids un avoti</w:t>
            </w:r>
            <w:r w:rsidR="00000000" w:rsidRPr="00000000" w:rsidDel="00000000">
              <w:rPr>
                <w:rtl w:val="0"/>
              </w:rPr>
              <w:t xml:space="preserve">" B kolonnas "</w:t>
            </w:r>
            <w:r w:rsidR="00000000" w:rsidRPr="00000000" w:rsidDel="00000000">
              <w:rPr>
                <w:i w:val="1"/>
                <w:rtl w:val="0"/>
              </w:rPr>
              <w:t xml:space="preserve">Administratīvā datu avota pārzinis</w:t>
            </w:r>
            <w:r w:rsidR="00000000" w:rsidRPr="00000000" w:rsidDel="00000000">
              <w:rPr>
                <w:rtl w:val="0"/>
              </w:rPr>
              <w:t xml:space="preserve">" punkti 25. un 26., mainot "</w:t>
            </w:r>
            <w:r w:rsidR="00000000" w:rsidRPr="00000000" w:rsidDel="00000000">
              <w:rPr>
                <w:i w:val="1"/>
                <w:rtl w:val="0"/>
              </w:rPr>
              <w:t xml:space="preserve">Nacionālais veselības dienests</w:t>
            </w:r>
            <w:r w:rsidR="00000000" w:rsidRPr="00000000" w:rsidDel="00000000">
              <w:rPr>
                <w:rtl w:val="0"/>
              </w:rPr>
              <w:t xml:space="preserve">" uz "</w:t>
            </w:r>
            <w:r w:rsidR="00000000" w:rsidRPr="00000000" w:rsidDel="00000000">
              <w:rPr>
                <w:i w:val="1"/>
                <w:rtl w:val="0"/>
              </w:rPr>
              <w:t xml:space="preserve">SIA "Latvijas Digitālās veselības centrs</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Oficiālās statistikas programma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uztur savu iepriekš izteikto priekšlikumu, ka ir nepieciešams oficiālajā statistikas programmā iekļaut arī papildu sadaļu (kolonnu) "Datu validēšana" līdzīgi kā šobrīd ir iekļauta sadaļa (kolonna) "Datu iegūšanas veids un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CSP definēs darāmo darbu aptvērumu attiecībā uz datu validēšanu un būs arī konkrēti caurspīdīgā veidā noteikts, kuri dati tiek izmantoti datu validēšanā.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iepriekš saskārāmies, ka Būvniecības valsts kontroles birojam energoresursu informācijas sistēmā lielie elektroenerģijas patērētāji bija iesnieguši elektroenerģijas patēriņa datus, kas nesakrita ar CSP iesniegto, kur 2022.gadā uzrādījās ļoti liels patēriņa pieaugums IKT nozarē (kas neparādījās energoresursu informācijas sistēmā). Tāpat jau šobrīd redzam, ka varētu būt atšķirības datos, ko komersants ziņo Ministru kabineta 2022.gada 2.novembra noteikumu nr.686 "Noteikumi par ilgtspējas un siltumnīcefekta gāzu emisiju ietaupījuma kritērijiem, no biomasas kurināmā ražotās elektroenerģijas kritērijiem un kārtību, kādā pamatojama, apliecināma un uzraugāma atbilstība minētajiem kritērijiem" ietvaros un ko ziņo CSP.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statistikas pārvalde informē, ka 13.11.2024. notika sanāksme starp Klimata un enerģētikas ministriju un Centrālo statistikas pārvaldi, kuras laikā  panākta  vienošanās par turpmākajām darbībām, lai nodrošinātu datu apkopošanas, analīzes un izplatīšanas vajadzības Eiropas Parlamenta un Padomes 2023. gada 13. septembra Direktīvas 2023/1791 par energoefektivitāti un ar ko groza Regulu (ES) 2023/955 (pārstrādāta redakcija) ieviešanai.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Oficiālās statistikas programma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uztur savu priekšlikumu, ka Centrālās statistikas pārvaldes tīmekļa vietnē publiski pieejamajā energobilancē jau pēc iespējas ātrāk ir jāizdala tādi energoresursu veidi kā biometāns un ūdeņradis, ņemot vērā, ka biometāns jau šobrīd tiek patērēts Latvijā, bet atjaunīgais ūdeņradis ļoti iespējams uzrādīsies 2025.gada enerrgobilancē, kā patērēts starptautiskajā aviācijā.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var paļauties uz to, ka "jaunās degvielas" tiek izskatītas Eurostat Enerģētikas statistikas darba grupās, bet norādām, ka ne biometāns ne atjaunīgais ūdeņradis vairs netiek uzskatīts par "jauno degvielu", bet KEM priekšlikums attiecās uz CSP tīmekļa vietnē publicējamo statistiku nevis uz to, ko CSP ziņo EUROSTAT.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statistikas pārvalde informē, ka 13.11.2024. notika sanāksme starp Klimata un enerģētikas ministriju un Centrālo statistikas pārvaldi, kuras laikā  panākta  vienošanās par "jauno degvielu" datu detalizāciju un sektora vajadzībām pēc attiecīgajiem  statistikas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Oficiālās statistikas programma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nozarē bez elektroenerģijas ražošanas un patēriņa iekārtām ar vien plašāk tiks izmantotas arī elektroenerģijas uzkrātuves -  ietaise vai ietaišu kopums, kurā notiek enerģijas uzkrāšana vēlākai izmantošanai. Būvniecības valsts kontroles birojs ir izsniedzis daudzas atļaujas jaunas elektroenerģijas ražošanas iekārtas ieviešanai, kurās paredzēta elektroenerģijas uzkrātuvju ieviešana, gan ieviešot tās vienas pašas, gan kopā ar vēja vai saules elektrostacijām. Saskaņā ar elektroenerģijas pārvades sistēmas operatora sniegto informāciju ir uzsākta vienas vēja elektrostacijas ar enerģijas uzkrātuvi un vienas vēja elektrostacijas ar enerģijas uzkrātuvi būvniecība, un projektēšanā ir četras elektrostacijas ar uzkrātuvu.  Uzkrātuves tiek ierīkotas arī pie elektroenerģijas sadales sistēmas. Ņemot vērā minētās izmaiņas enerģētikas nozarē, lūgums papildināt Enerģētikas statistikas datus arī ar datiem par elektroenerģijas uzkrātuvēm.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CSP, sadarbībā ar BVKB un AS "Sadales tīkls", apņemas izpētīt datu par elektroenerģijas uzkrātuvēm pieejamību, to ieguves iespējām, kā arī iespēju ietvert mājsaimniecību apsekojumā rādītājus par elektroenerģijas uzkrātuvēm.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Oficiālās statistikas programma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2.tabulā "Publicējamie rādītāji un to detalizācija 2025.gadā" nepieciešams precizēt tekstu 697.ailē D kolonnā, proti, papildināt tekstu aiz vārda "izveidotajās" ar vārdu "darba", lai veidotos loģisks teikums - komersantu izveidotajās </w:t>
            </w:r>
            <w:r w:rsidR="00000000" w:rsidRPr="00000000" w:rsidDel="00000000">
              <w:rPr>
                <w:b w:val="1"/>
                <w:i w:val="1"/>
                <w:rtl w:val="0"/>
              </w:rPr>
              <w:t xml:space="preserve">darba </w:t>
            </w:r>
            <w:r w:rsidR="00000000" w:rsidRPr="00000000" w:rsidDel="00000000">
              <w:rPr>
                <w:rtl w:val="0"/>
              </w:rPr>
              <w:t xml:space="preserve">vietās un ieslodzījuma vietu saimnieciskajā apkalpē.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Mainīts Noteikumu projekta OSP 2025. – 2027. gadam pielikuma 2. tabulas "</w:t>
            </w:r>
            <w:r w:rsidR="00000000" w:rsidRPr="00000000" w:rsidDel="00000000">
              <w:rPr>
                <w:i w:val="1"/>
                <w:rtl w:val="0"/>
              </w:rPr>
              <w:t xml:space="preserve">Publicējamie rādītāji un to detalizācija 2025. gadā</w:t>
            </w:r>
            <w:r w:rsidR="00000000" w:rsidRPr="00000000" w:rsidDel="00000000">
              <w:rPr>
                <w:rtl w:val="0"/>
              </w:rPr>
              <w:t xml:space="preserve">" 697. ailes D kolonnas teksts  uz  "</w:t>
            </w:r>
            <w:r w:rsidR="00000000" w:rsidRPr="00000000" w:rsidDel="00000000">
              <w:rPr>
                <w:i w:val="1"/>
                <w:rtl w:val="0"/>
              </w:rPr>
              <w:t xml:space="preserve">komersantu izveidotajās darba vietās un ieslodzījuma vietu saimnieciskajā apkalpē</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Oficiālās statistikas programma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nākamo periodu statistikas programmās iekļaut arī sadaļu par datu verifikāciju, tādējādi Centrālā statistikas pārvalde veiktu datu verificēšana, salīdzinot iesniegtos datus ar citiem datu avotiem, piemēram, salīdzinot datus ar Valsts ieņēmumu dienesta (degviela, biodegviela uc), Būvniecības valsts kontroles biroja un citām institūcijām. KEM, salīdzinot atsevišķu institūciju datus, konstatējis būtiskas atšķirības, kas ietekmē enerģētikas politikas modelēšanu.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CSP norāda, ka datu verifikācija, kā datu apstrādes procesa sastāvdaļa OSP netiek minēta. Enerģētikas, tāpat kā citu statistikas datu validācijas un verificēšana notiek datu apstrādes un analīzes procesu laikā, tādēļ šādas statistikas datu apstrādes procesu detaļas netiek minētas OSP, kur uzskaita apkopotos datus. Attiecībā uz biodīzeļdegvielas primārās ražošanas un eksporta datiem, tos saskaņo ar VID, savukārt importa datus saskaņo ar Ārējās tirdzniecības statistiku. CSP rīcībā nav informācijas par būtiskām atšķirībām, ar ko sastopas enerģētikas politikas modelētāji. Ja tomēr Jums ir pieejama informācija par konstatētajām atšķirībām, CSP ir atvērti šādu datu izskatīšanai un turpmākai apstrādei.  Šos jautājumus CSP ir  gatavi izskatīt gan vadības, gan ekspertu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Oficiālās statistikas programma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ņemt vērā, ka ir nepieciešami uzlabojumi / papildinājumi Enerģētikas statistikas datu griezumā, izdalot tādus jaunus energoresursu veidus kā biometāns un nebioloģiskas izcelsmes atjaunīgā degviela (piemēram, ūdeņradis), jo biometāna ražošana un patēriņš Latvijā jau šobrīd Latvijā notiek, un nākotnē šie apjomi palielināsies. Tāpat arī nebioloģiskas izcelsmes atjaunīgās degvielas apjoms Latvijā tuvākajos gados uzrādīsies energoresursu patēriņā, ņemot vērā Regulā 2023/2405 noteikto mērķi aviācijas degvielām - no 2025.gada 1.janvāra vismaz 2% aviācijas degvielā ir jābūt ilgtspējīgai aviācijas degvielai, kas varētu būt arī atjaunīgais ūdeņradis. Tāpat nebioloģiskas izcelsmes atjaunīgās degvielas apjomus ir jāsadala - fosilās izcelsmes degviela / kurināmais un atjaunīgās izclesmes degvielas / kurināmais.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CSP seko līdzi jaunu energoresursu parādīšanos Latvijā un veic izmaiņas veidlapās pievienojot jaunus rādītājus, kā piemēram ūdeņradi un biometānu pārskatā par energoresursu iegādi un izlietošanu. 2024. gada 19. jūnija sanāksmē ar AS Conexus Baltic Grid, KEM  un LVĢMC pārstāvjiem CSP informēja par plānotajiem pasākumiem biometāna datu ieguvē.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jautājumus par "jaunajām" degvielām izskata Eurostat Enerģētikas statistikas darba grupās par to parādīšanos 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Oficiālās statistikas programma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pielikuma 3.tabulas "</w:t>
            </w:r>
            <w:r w:rsidR="00000000" w:rsidRPr="00000000" w:rsidDel="00000000">
              <w:rPr>
                <w:i w:val="1"/>
                <w:rtl w:val="0"/>
              </w:rPr>
              <w:t xml:space="preserve">1.tabulas 5.ailes "Datu iegūšanas veids un avoti" detalizēts apraksts"</w:t>
            </w:r>
            <w:r w:rsidR="00000000" w:rsidRPr="00000000" w:rsidDel="00000000">
              <w:rPr>
                <w:rtl w:val="0"/>
              </w:rPr>
              <w:t xml:space="preserve"> šūnu 103D, norādot, ka personas dati par zemes dzīļu izmantotājiem tiek lietoti oficiālās statistikas 27.14. "Derīgo izrakteņu krājumu bilances sagatavošanā" nevis 27.13. "Laika apstākļi Latvijā".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OSP 2025. – 2027. gadam pielikuma 3. tabulas "</w:t>
            </w:r>
            <w:r w:rsidR="00000000" w:rsidRPr="00000000" w:rsidDel="00000000">
              <w:rPr>
                <w:i w:val="1"/>
                <w:rtl w:val="0"/>
              </w:rPr>
              <w:t xml:space="preserve">1. tabulas 5. ailes "Datu iegūšanas veids un avoti</w:t>
            </w:r>
            <w:r w:rsidR="00000000" w:rsidRPr="00000000" w:rsidDel="00000000">
              <w:rPr>
                <w:rtl w:val="0"/>
              </w:rPr>
              <w:t xml:space="preserve">" </w:t>
            </w:r>
            <w:r w:rsidR="00000000" w:rsidRPr="00000000" w:rsidDel="00000000">
              <w:rPr>
                <w:i w:val="1"/>
                <w:rtl w:val="0"/>
              </w:rPr>
              <w:t xml:space="preserve">detalizēts apraksts</w:t>
            </w:r>
            <w:r w:rsidR="00000000" w:rsidRPr="00000000" w:rsidDel="00000000">
              <w:rPr>
                <w:rtl w:val="0"/>
              </w:rPr>
              <w:t xml:space="preserve">" šūna 103D norādot "</w:t>
            </w:r>
            <w:r w:rsidR="00000000" w:rsidRPr="00000000" w:rsidDel="00000000">
              <w:rPr>
                <w:i w:val="1"/>
                <w:rtl w:val="0"/>
              </w:rPr>
              <w:t xml:space="preserve">27.14</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Vispārīgās datu aizsardzības regulas 89. pants 1. punkts nosaka, ka apstrādājot personas datus statistikas nolūkos, ir jānodrošina atbilstošas garantijas datu subjekta tiesībām un brīvībām, it īpaši datu minimizēšanas principa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OSP 3. tabulā uzskaitītos personas datu veidus, konstatēts, ka ir pārziņi no kuriem iegūst tādus identificējošus datus kā vārds, uzvārds, personas kods, bet ir pārziņi no kuriem iegūst tikai personas kodu. Ņemot vērā, ka no projekta anotācijas 8.1.13. apakšpunkta izriet, ka datu savietošana un attiecīgā klasificēšana notiek pamatojoties uz personas kodu, lūdzam izvērtēt, vai no visiem šobrīd tabulā norādītājiem pārziņiem, no kuriem tiek iegūti arī personas vārds un uzvārds, ir nepieciešams iegūt šos datus  nolūkā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statistikas pārvalde (turpmāk - Pārvalde) norāda, ka datu avotu izvērtēšanai ir nepieciešams laiks, tāpēc Pārvalde apņemas izvērtēt nākamā plānošanas perioda Oficiālās statistikas programmas pielikuma 3. tabulas un anotācijas atbilstību datu minimizēšanas principam, izvērtējot katru datu avotu un no tā saņemtos datu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Viedās administrācijas un reģionālās attīstības ministrijas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OSP 2025. – 2027. gadam anotācijas pielikumā precizēts Viedās administrācijas un reģionālās attīstības ministrijas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24-TA-1650</w:t>
    </w:r>
    <w:r>
      <w:br/>
    </w:r>
    <w:r w:rsidR="00000000" w:rsidRPr="00000000" w:rsidDel="00000000">
      <w:rPr>
        <w:rtl w:val="0"/>
      </w:rPr>
      <w:t xml:space="preserve">02.12.2024. 16.39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24-TA-1650</w:t>
    </w:r>
    <w:r>
      <w:br/>
    </w:r>
    <w:r w:rsidR="00000000" w:rsidRPr="00000000" w:rsidDel="00000000">
      <w:rPr>
        <w:rtl w:val="0"/>
      </w:rPr>
      <w:t xml:space="preserve">02.12.2024. 16.39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Izziņa_24-TA-1650.docx</dc:title>
</cp:coreProperties>
</file>

<file path=docProps/custom.xml><?xml version="1.0" encoding="utf-8"?>
<Properties xmlns="http://schemas.openxmlformats.org/officeDocument/2006/custom-properties" xmlns:vt="http://schemas.openxmlformats.org/officeDocument/2006/docPropsVTypes"/>
</file>