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47073" w14:textId="28FF255E" w:rsidR="004A48DE" w:rsidRDefault="004A48DE" w:rsidP="004A48DE">
      <w:pPr>
        <w:contextualSpacing/>
        <w:jc w:val="left"/>
        <w:rPr>
          <w:szCs w:val="24"/>
        </w:rPr>
      </w:pPr>
      <w:r w:rsidRPr="000520AA">
        <w:rPr>
          <w:szCs w:val="24"/>
        </w:rPr>
        <w:t xml:space="preserve">Uz </w:t>
      </w:r>
      <w:r w:rsidR="00564C8D">
        <w:rPr>
          <w:szCs w:val="24"/>
        </w:rPr>
        <w:t>0</w:t>
      </w:r>
      <w:r w:rsidR="00356782">
        <w:rPr>
          <w:szCs w:val="24"/>
        </w:rPr>
        <w:t>3</w:t>
      </w:r>
      <w:r w:rsidR="00564C8D">
        <w:rPr>
          <w:szCs w:val="24"/>
        </w:rPr>
        <w:t>.0</w:t>
      </w:r>
      <w:r w:rsidR="00356782">
        <w:rPr>
          <w:szCs w:val="24"/>
        </w:rPr>
        <w:t>3</w:t>
      </w:r>
      <w:r w:rsidR="00564C8D">
        <w:rPr>
          <w:szCs w:val="24"/>
        </w:rPr>
        <w:t>.2023</w:t>
      </w:r>
      <w:r w:rsidR="001F3328">
        <w:rPr>
          <w:szCs w:val="24"/>
        </w:rPr>
        <w:t xml:space="preserve">  b/n</w:t>
      </w:r>
    </w:p>
    <w:p w14:paraId="64873541" w14:textId="4A580E59" w:rsidR="00356782" w:rsidRDefault="00356782" w:rsidP="004A48DE">
      <w:pPr>
        <w:contextualSpacing/>
        <w:jc w:val="left"/>
        <w:rPr>
          <w:szCs w:val="24"/>
        </w:rPr>
      </w:pPr>
      <w:r>
        <w:rPr>
          <w:szCs w:val="24"/>
        </w:rPr>
        <w:t xml:space="preserve">(TM </w:t>
      </w:r>
      <w:proofErr w:type="spellStart"/>
      <w:r>
        <w:rPr>
          <w:szCs w:val="24"/>
        </w:rPr>
        <w:t>reģ</w:t>
      </w:r>
      <w:proofErr w:type="spellEnd"/>
      <w:r>
        <w:rPr>
          <w:szCs w:val="24"/>
        </w:rPr>
        <w:t>. Nr.</w:t>
      </w:r>
      <w:r w:rsidRPr="00356782">
        <w:rPr>
          <w:szCs w:val="24"/>
        </w:rPr>
        <w:t>1-13.9/1656</w:t>
      </w:r>
      <w:r>
        <w:rPr>
          <w:szCs w:val="24"/>
        </w:rPr>
        <w:t>)</w:t>
      </w:r>
    </w:p>
    <w:p w14:paraId="13353229" w14:textId="02650D7A" w:rsidR="00356782" w:rsidRPr="00356782" w:rsidRDefault="00356782" w:rsidP="00356782">
      <w:pPr>
        <w:contextualSpacing/>
        <w:jc w:val="right"/>
        <w:rPr>
          <w:b/>
          <w:bCs/>
          <w:szCs w:val="24"/>
        </w:rPr>
      </w:pPr>
      <w:r w:rsidRPr="00356782">
        <w:rPr>
          <w:b/>
          <w:bCs/>
          <w:szCs w:val="24"/>
        </w:rPr>
        <w:t>Satiksmes ministrijai</w:t>
      </w:r>
    </w:p>
    <w:p w14:paraId="2E7717FA" w14:textId="77777777" w:rsidR="00356782" w:rsidRDefault="00564C8D" w:rsidP="00356782">
      <w:pPr>
        <w:pStyle w:val="NoSpacing"/>
        <w:ind w:right="4536"/>
        <w:jc w:val="right"/>
        <w:rPr>
          <w:szCs w:val="24"/>
        </w:rPr>
      </w:pPr>
      <w:r>
        <w:rPr>
          <w:szCs w:val="24"/>
        </w:rPr>
        <w:t xml:space="preserve">       </w:t>
      </w:r>
    </w:p>
    <w:p w14:paraId="0505A15B" w14:textId="77777777" w:rsidR="00356782" w:rsidRDefault="00356782" w:rsidP="00356782">
      <w:pPr>
        <w:pStyle w:val="NoSpacing"/>
        <w:ind w:right="4536"/>
        <w:rPr>
          <w:szCs w:val="24"/>
        </w:rPr>
      </w:pPr>
    </w:p>
    <w:p w14:paraId="5712E48C" w14:textId="5F494902" w:rsidR="00356782" w:rsidRPr="007C251A" w:rsidRDefault="00356782" w:rsidP="00356782">
      <w:pPr>
        <w:pStyle w:val="NoSpacing"/>
        <w:ind w:right="4536"/>
        <w:rPr>
          <w:i/>
          <w:iCs/>
          <w:szCs w:val="24"/>
        </w:rPr>
      </w:pPr>
      <w:r w:rsidRPr="007C251A">
        <w:rPr>
          <w:i/>
          <w:iCs/>
          <w:szCs w:val="24"/>
        </w:rPr>
        <w:t xml:space="preserve">Par </w:t>
      </w:r>
      <w:r>
        <w:rPr>
          <w:i/>
          <w:iCs/>
          <w:szCs w:val="24"/>
        </w:rPr>
        <w:t>a</w:t>
      </w:r>
      <w:r w:rsidRPr="007C251A">
        <w:rPr>
          <w:i/>
          <w:iCs/>
          <w:szCs w:val="24"/>
        </w:rPr>
        <w:t>tbildes projekt</w:t>
      </w:r>
      <w:r>
        <w:rPr>
          <w:i/>
          <w:iCs/>
          <w:szCs w:val="24"/>
        </w:rPr>
        <w:t>u</w:t>
      </w:r>
      <w:r w:rsidRPr="007C251A">
        <w:rPr>
          <w:i/>
          <w:iCs/>
          <w:szCs w:val="24"/>
        </w:rPr>
        <w:t xml:space="preserve"> par kartelī iesaistīto uzņēmumu iepirkumu līgumu izbeigšanas tiesiskajām sekām, riskiem un zaudējumu atlīdzināšanas iespējām valsts interesēs</w:t>
      </w:r>
    </w:p>
    <w:p w14:paraId="0AD6AE2C" w14:textId="77777777" w:rsidR="00356782" w:rsidRDefault="00356782" w:rsidP="00356782">
      <w:pPr>
        <w:pStyle w:val="NoSpacing"/>
        <w:rPr>
          <w:szCs w:val="24"/>
        </w:rPr>
      </w:pPr>
    </w:p>
    <w:p w14:paraId="68E48342" w14:textId="77777777" w:rsidR="00356782" w:rsidRDefault="00356782" w:rsidP="00356782">
      <w:pPr>
        <w:pStyle w:val="NoSpacing"/>
        <w:rPr>
          <w:szCs w:val="24"/>
        </w:rPr>
      </w:pPr>
    </w:p>
    <w:p w14:paraId="218C5A70" w14:textId="4CC19898" w:rsidR="00356782" w:rsidRDefault="00A66C60" w:rsidP="00356782">
      <w:pPr>
        <w:pStyle w:val="NoSpacing"/>
        <w:ind w:firstLine="720"/>
        <w:rPr>
          <w:szCs w:val="24"/>
        </w:rPr>
      </w:pPr>
      <w:r>
        <w:rPr>
          <w:szCs w:val="24"/>
        </w:rPr>
        <w:t>Tieslietu ministrija</w:t>
      </w:r>
      <w:r w:rsidR="00356782">
        <w:rPr>
          <w:szCs w:val="24"/>
        </w:rPr>
        <w:t xml:space="preserve"> ir izskatīj</w:t>
      </w:r>
      <w:r>
        <w:rPr>
          <w:szCs w:val="24"/>
        </w:rPr>
        <w:t>usi</w:t>
      </w:r>
      <w:r w:rsidR="00356782">
        <w:rPr>
          <w:szCs w:val="24"/>
        </w:rPr>
        <w:t xml:space="preserve"> Satiksmes ministrijas sagatavoto Ministru kabineta a</w:t>
      </w:r>
      <w:r w:rsidR="00356782" w:rsidRPr="007C251A">
        <w:rPr>
          <w:szCs w:val="24"/>
        </w:rPr>
        <w:t>tbildes projekt</w:t>
      </w:r>
      <w:r w:rsidR="00356782">
        <w:rPr>
          <w:szCs w:val="24"/>
        </w:rPr>
        <w:t>u</w:t>
      </w:r>
      <w:r w:rsidR="00D960C0">
        <w:rPr>
          <w:szCs w:val="24"/>
        </w:rPr>
        <w:t xml:space="preserve"> (Vēstule)</w:t>
      </w:r>
      <w:r w:rsidR="00435418">
        <w:rPr>
          <w:szCs w:val="24"/>
        </w:rPr>
        <w:t xml:space="preserve">, kas sagatavots atbilstoši </w:t>
      </w:r>
      <w:r w:rsidR="00435418" w:rsidRPr="00435418">
        <w:rPr>
          <w:szCs w:val="24"/>
        </w:rPr>
        <w:t>Ministru prezidenta 2023.</w:t>
      </w:r>
      <w:r w:rsidR="00435418">
        <w:rPr>
          <w:szCs w:val="24"/>
        </w:rPr>
        <w:t xml:space="preserve"> gada 20. februāra </w:t>
      </w:r>
      <w:r w:rsidR="00435418" w:rsidRPr="00435418">
        <w:rPr>
          <w:szCs w:val="24"/>
        </w:rPr>
        <w:t xml:space="preserve"> uzdevum</w:t>
      </w:r>
      <w:r w:rsidR="00435418">
        <w:rPr>
          <w:szCs w:val="24"/>
        </w:rPr>
        <w:t>am</w:t>
      </w:r>
      <w:r w:rsidR="00435418" w:rsidRPr="00435418">
        <w:rPr>
          <w:szCs w:val="24"/>
        </w:rPr>
        <w:t xml:space="preserve"> Nr. 23-UZ-56</w:t>
      </w:r>
      <w:r w:rsidR="00356782" w:rsidRPr="007C251A">
        <w:rPr>
          <w:szCs w:val="24"/>
        </w:rPr>
        <w:t xml:space="preserve"> par kartelī iesaistīto uzņēmumu iepirkumu līgumu izbeigšanas tiesiskajām sekām, riskiem un zaudējumu atlīdzināšanas iespējām valsts interesēs</w:t>
      </w:r>
      <w:r w:rsidR="00356782">
        <w:rPr>
          <w:szCs w:val="24"/>
        </w:rPr>
        <w:t xml:space="preserve"> un savas kompetences ietvaros sniedz šādu viedokli.</w:t>
      </w:r>
    </w:p>
    <w:p w14:paraId="09CC1308" w14:textId="502AE0E5" w:rsidR="00410FDE" w:rsidRDefault="003A619F" w:rsidP="00356782">
      <w:pPr>
        <w:pStyle w:val="NoSpacing"/>
        <w:ind w:firstLine="720"/>
        <w:rPr>
          <w:szCs w:val="24"/>
        </w:rPr>
      </w:pPr>
      <w:r>
        <w:rPr>
          <w:szCs w:val="24"/>
        </w:rPr>
        <w:t xml:space="preserve">1. </w:t>
      </w:r>
      <w:r w:rsidR="00410FDE">
        <w:rPr>
          <w:szCs w:val="24"/>
        </w:rPr>
        <w:t xml:space="preserve">Vēršam uzmanību, ka Vēstules 1. punktā </w:t>
      </w:r>
      <w:r w:rsidR="00E255C9">
        <w:rPr>
          <w:szCs w:val="24"/>
        </w:rPr>
        <w:t xml:space="preserve">ir ietverta vispārīga informācija par noslēgtajiem līgumiem, bet </w:t>
      </w:r>
      <w:r w:rsidR="00410FDE" w:rsidRPr="00410FDE">
        <w:rPr>
          <w:szCs w:val="24"/>
        </w:rPr>
        <w:t>nav analizēts katrs noslēgtais</w:t>
      </w:r>
      <w:r w:rsidR="00410FDE">
        <w:rPr>
          <w:szCs w:val="24"/>
        </w:rPr>
        <w:t xml:space="preserve"> iepirkuma</w:t>
      </w:r>
      <w:r w:rsidR="00410FDE" w:rsidRPr="00410FDE">
        <w:rPr>
          <w:szCs w:val="24"/>
        </w:rPr>
        <w:t xml:space="preserve"> līgums</w:t>
      </w:r>
      <w:r w:rsidR="00410FDE">
        <w:rPr>
          <w:szCs w:val="24"/>
        </w:rPr>
        <w:t xml:space="preserve"> </w:t>
      </w:r>
      <w:r w:rsidRPr="00410FDE">
        <w:rPr>
          <w:szCs w:val="24"/>
        </w:rPr>
        <w:t>atsevišķi</w:t>
      </w:r>
      <w:r>
        <w:rPr>
          <w:szCs w:val="24"/>
        </w:rPr>
        <w:t xml:space="preserve"> </w:t>
      </w:r>
      <w:r w:rsidR="00410FDE">
        <w:rPr>
          <w:szCs w:val="24"/>
        </w:rPr>
        <w:t>(tā spēkā esamība</w:t>
      </w:r>
      <w:r w:rsidR="00412B08">
        <w:rPr>
          <w:szCs w:val="24"/>
        </w:rPr>
        <w:t>, ietekme</w:t>
      </w:r>
      <w:r w:rsidR="00410FDE">
        <w:rPr>
          <w:szCs w:val="24"/>
        </w:rPr>
        <w:t xml:space="preserve"> un izpildes uzsākšana)</w:t>
      </w:r>
      <w:r w:rsidR="00410FDE" w:rsidRPr="00410FDE">
        <w:rPr>
          <w:szCs w:val="24"/>
        </w:rPr>
        <w:t xml:space="preserve">. </w:t>
      </w:r>
      <w:r w:rsidR="00410FDE">
        <w:rPr>
          <w:szCs w:val="24"/>
        </w:rPr>
        <w:t>P</w:t>
      </w:r>
      <w:r w:rsidR="00412B08">
        <w:rPr>
          <w:szCs w:val="24"/>
        </w:rPr>
        <w:t xml:space="preserve">iemēram, </w:t>
      </w:r>
      <w:r w:rsidR="00410FDE">
        <w:rPr>
          <w:szCs w:val="24"/>
        </w:rPr>
        <w:t>Vēstulē nav</w:t>
      </w:r>
      <w:r w:rsidR="00412B08">
        <w:rPr>
          <w:szCs w:val="24"/>
        </w:rPr>
        <w:t xml:space="preserve"> atsevišķi</w:t>
      </w:r>
      <w:r w:rsidR="00410FDE">
        <w:rPr>
          <w:szCs w:val="24"/>
        </w:rPr>
        <w:t xml:space="preserve"> vērtēts tas, ka </w:t>
      </w:r>
      <w:r w:rsidR="00410FDE" w:rsidRPr="00410FDE">
        <w:rPr>
          <w:szCs w:val="24"/>
        </w:rPr>
        <w:t xml:space="preserve">divu </w:t>
      </w:r>
      <w:r w:rsidR="00410FDE">
        <w:rPr>
          <w:szCs w:val="24"/>
        </w:rPr>
        <w:t xml:space="preserve">iepirkumu </w:t>
      </w:r>
      <w:r w:rsidR="00410FDE" w:rsidRPr="00410FDE">
        <w:rPr>
          <w:szCs w:val="24"/>
        </w:rPr>
        <w:t>līgumu izpilde</w:t>
      </w:r>
      <w:r>
        <w:rPr>
          <w:szCs w:val="24"/>
        </w:rPr>
        <w:t xml:space="preserve"> </w:t>
      </w:r>
      <w:r w:rsidR="00410FDE">
        <w:rPr>
          <w:szCs w:val="24"/>
        </w:rPr>
        <w:t>vēl</w:t>
      </w:r>
      <w:r w:rsidR="00C12EEC">
        <w:rPr>
          <w:szCs w:val="24"/>
        </w:rPr>
        <w:t xml:space="preserve"> vispār</w:t>
      </w:r>
      <w:r w:rsidR="00410FDE">
        <w:rPr>
          <w:szCs w:val="24"/>
        </w:rPr>
        <w:t xml:space="preserve"> </w:t>
      </w:r>
      <w:r w:rsidR="00410FDE" w:rsidRPr="00410FDE">
        <w:rPr>
          <w:szCs w:val="24"/>
        </w:rPr>
        <w:t>nav uzsākta</w:t>
      </w:r>
      <w:r>
        <w:rPr>
          <w:szCs w:val="24"/>
        </w:rPr>
        <w:t xml:space="preserve"> un līdz ar to nav vērtētas, kādas</w:t>
      </w:r>
      <w:r w:rsidR="00410FDE" w:rsidRPr="00410FDE">
        <w:rPr>
          <w:szCs w:val="24"/>
        </w:rPr>
        <w:t xml:space="preserve"> </w:t>
      </w:r>
      <w:r w:rsidR="00412B08">
        <w:rPr>
          <w:szCs w:val="24"/>
        </w:rPr>
        <w:t xml:space="preserve">ir šo līgumu saistošās sekas un kādas </w:t>
      </w:r>
      <w:r w:rsidR="00410FDE" w:rsidRPr="00410FDE">
        <w:rPr>
          <w:szCs w:val="24"/>
        </w:rPr>
        <w:t>būtu to</w:t>
      </w:r>
      <w:r>
        <w:rPr>
          <w:szCs w:val="24"/>
        </w:rPr>
        <w:t xml:space="preserve"> </w:t>
      </w:r>
      <w:r w:rsidR="00410FDE" w:rsidRPr="00410FDE">
        <w:rPr>
          <w:szCs w:val="24"/>
        </w:rPr>
        <w:t>izbeigšanas sekas</w:t>
      </w:r>
      <w:r>
        <w:rPr>
          <w:szCs w:val="24"/>
        </w:rPr>
        <w:t xml:space="preserve"> un iespējas</w:t>
      </w:r>
      <w:r w:rsidR="00941532">
        <w:rPr>
          <w:szCs w:val="24"/>
        </w:rPr>
        <w:t>,</w:t>
      </w:r>
      <w:r>
        <w:rPr>
          <w:szCs w:val="24"/>
        </w:rPr>
        <w:t xml:space="preserve"> un vai tās atšķirtos no tiem līgumiem, kuru izpilde jau uzsākta.  Līdz ar to Tieslietu ministrija lūdz papildināt Vēstuli ar minēto </w:t>
      </w:r>
      <w:r w:rsidR="00412B08">
        <w:rPr>
          <w:szCs w:val="24"/>
        </w:rPr>
        <w:t xml:space="preserve">informāciju un </w:t>
      </w:r>
      <w:r>
        <w:rPr>
          <w:szCs w:val="24"/>
        </w:rPr>
        <w:t>vērtējumu</w:t>
      </w:r>
      <w:r w:rsidR="003C6C3A">
        <w:rPr>
          <w:szCs w:val="24"/>
        </w:rPr>
        <w:t xml:space="preserve"> par katru no noslēgtajiem iepirkuma līgumiem.</w:t>
      </w:r>
    </w:p>
    <w:p w14:paraId="5752259F" w14:textId="77777777" w:rsidR="003C6C3A" w:rsidRDefault="003A619F" w:rsidP="00356782">
      <w:pPr>
        <w:pStyle w:val="NoSpacing"/>
        <w:ind w:firstLine="720"/>
        <w:rPr>
          <w:szCs w:val="24"/>
        </w:rPr>
      </w:pPr>
      <w:r>
        <w:rPr>
          <w:szCs w:val="24"/>
        </w:rPr>
        <w:t xml:space="preserve">2. </w:t>
      </w:r>
      <w:r w:rsidR="00410FDE">
        <w:rPr>
          <w:szCs w:val="24"/>
        </w:rPr>
        <w:t>Vēstules</w:t>
      </w:r>
      <w:r w:rsidR="00356782">
        <w:rPr>
          <w:szCs w:val="24"/>
        </w:rPr>
        <w:t xml:space="preserve"> 1. punktā Satiksmes ministrija, atsaucoties uz </w:t>
      </w:r>
      <w:r w:rsidR="00D960C0">
        <w:rPr>
          <w:szCs w:val="24"/>
        </w:rPr>
        <w:t>Senāta</w:t>
      </w:r>
      <w:r w:rsidR="00356782">
        <w:rPr>
          <w:szCs w:val="24"/>
        </w:rPr>
        <w:t xml:space="preserve"> </w:t>
      </w:r>
      <w:r w:rsidR="00356782" w:rsidRPr="007C251A">
        <w:rPr>
          <w:szCs w:val="24"/>
        </w:rPr>
        <w:t>2008.</w:t>
      </w:r>
      <w:r w:rsidR="00356782">
        <w:rPr>
          <w:szCs w:val="24"/>
        </w:rPr>
        <w:t> </w:t>
      </w:r>
      <w:r w:rsidR="00356782" w:rsidRPr="007C251A">
        <w:rPr>
          <w:szCs w:val="24"/>
        </w:rPr>
        <w:t>gada 1.</w:t>
      </w:r>
      <w:r w:rsidR="00356782">
        <w:rPr>
          <w:szCs w:val="24"/>
        </w:rPr>
        <w:t> </w:t>
      </w:r>
      <w:r w:rsidR="00356782" w:rsidRPr="007C251A">
        <w:rPr>
          <w:szCs w:val="24"/>
        </w:rPr>
        <w:t>jūlija lēmum</w:t>
      </w:r>
      <w:r w:rsidR="00356782">
        <w:rPr>
          <w:szCs w:val="24"/>
        </w:rPr>
        <w:t>u</w:t>
      </w:r>
      <w:r w:rsidR="00356782" w:rsidRPr="007C251A">
        <w:rPr>
          <w:szCs w:val="24"/>
        </w:rPr>
        <w:t xml:space="preserve"> lietā Nr.</w:t>
      </w:r>
      <w:r w:rsidR="00356782">
        <w:rPr>
          <w:szCs w:val="24"/>
        </w:rPr>
        <w:t> </w:t>
      </w:r>
      <w:r w:rsidR="00356782" w:rsidRPr="007C251A">
        <w:rPr>
          <w:szCs w:val="24"/>
        </w:rPr>
        <w:t>SKA-453/2008</w:t>
      </w:r>
      <w:r w:rsidR="00356782">
        <w:rPr>
          <w:szCs w:val="24"/>
        </w:rPr>
        <w:t>, ir izdarījusi secinājumu, ka konkrētie iepirkuma līgumi ir publisko tiesību līgumi. Vēršam uzmanību, ka p</w:t>
      </w:r>
      <w:r w:rsidR="00356782" w:rsidRPr="007C251A">
        <w:rPr>
          <w:szCs w:val="24"/>
        </w:rPr>
        <w:t>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w:t>
      </w:r>
      <w:r w:rsidR="00356782">
        <w:rPr>
          <w:szCs w:val="24"/>
        </w:rPr>
        <w:t xml:space="preserve"> </w:t>
      </w:r>
      <w:r w:rsidR="00356782" w:rsidRPr="007C251A">
        <w:rPr>
          <w:szCs w:val="24"/>
        </w:rPr>
        <w:t>Tomēr publiskā iepirkuma procedūrā noslēgts līgums ne vienmēr ir privāto tiesību līgums. Ja šādā procedūrā noslēgta līguma priekšmets un kopējais raksturs ir publisko tiesību jomā, līgums ir publisko, nevis privāto tiesību līgums</w:t>
      </w:r>
      <w:r w:rsidR="00356782">
        <w:rPr>
          <w:szCs w:val="24"/>
        </w:rPr>
        <w:t xml:space="preserve"> (</w:t>
      </w:r>
      <w:r w:rsidR="00356782" w:rsidRPr="007C251A">
        <w:rPr>
          <w:i/>
          <w:iCs/>
          <w:szCs w:val="24"/>
        </w:rPr>
        <w:t>sk.  Senāta Administratīvo lietu departamenta 2009. gada 27. novembra lēmuma lietā Nr. SKA</w:t>
      </w:r>
      <w:r w:rsidR="00356782">
        <w:rPr>
          <w:i/>
          <w:iCs/>
          <w:szCs w:val="24"/>
        </w:rPr>
        <w:t>-</w:t>
      </w:r>
      <w:r w:rsidR="00356782" w:rsidRPr="007C251A">
        <w:rPr>
          <w:i/>
          <w:iCs/>
          <w:szCs w:val="24"/>
        </w:rPr>
        <w:t>853/2009 14. punktu</w:t>
      </w:r>
      <w:r w:rsidR="00356782">
        <w:rPr>
          <w:szCs w:val="24"/>
        </w:rPr>
        <w:t>). No minētajām Senāta atziņām izriet, ka iepirkuma līgums var būt publisko tiesību līgums</w:t>
      </w:r>
      <w:r w:rsidR="00356782" w:rsidRPr="008B02A4">
        <w:rPr>
          <w:szCs w:val="24"/>
          <w:u w:val="single"/>
        </w:rPr>
        <w:t>, taču tas ir vērtējams katrā konkrētā lietā, ņemot vērā līguma priekšmetu un kopējo raksturu</w:t>
      </w:r>
      <w:r w:rsidR="00356782">
        <w:rPr>
          <w:szCs w:val="24"/>
        </w:rPr>
        <w:t xml:space="preserve">. </w:t>
      </w:r>
    </w:p>
    <w:p w14:paraId="20763DE7" w14:textId="2246218A" w:rsidR="00356782" w:rsidRPr="003C6C3A" w:rsidRDefault="00356782" w:rsidP="00356782">
      <w:pPr>
        <w:pStyle w:val="NoSpacing"/>
        <w:ind w:firstLine="720"/>
        <w:rPr>
          <w:szCs w:val="24"/>
        </w:rPr>
      </w:pPr>
      <w:r w:rsidRPr="003C6C3A">
        <w:rPr>
          <w:szCs w:val="24"/>
        </w:rPr>
        <w:t>Tādējādi</w:t>
      </w:r>
      <w:r w:rsidR="00D960C0" w:rsidRPr="003C6C3A">
        <w:rPr>
          <w:szCs w:val="24"/>
        </w:rPr>
        <w:t>, ņemot vērā, ka Vēstulē nav iekļauts vērtējums par to, vai konkrētie iepirkuma līgumi uzskatāmi par publisko tiesību līgumiem vai privāttiesiskiem līgumiem, Tieslietu ministrij</w:t>
      </w:r>
      <w:r w:rsidR="003C6C3A" w:rsidRPr="003C6C3A">
        <w:rPr>
          <w:szCs w:val="24"/>
        </w:rPr>
        <w:t>a lūdz</w:t>
      </w:r>
      <w:r w:rsidR="00D960C0" w:rsidRPr="003C6C3A">
        <w:rPr>
          <w:szCs w:val="24"/>
        </w:rPr>
        <w:t xml:space="preserve"> </w:t>
      </w:r>
      <w:r w:rsidR="003C6C3A" w:rsidRPr="003C6C3A">
        <w:rPr>
          <w:szCs w:val="24"/>
        </w:rPr>
        <w:t xml:space="preserve">papildināt </w:t>
      </w:r>
      <w:r w:rsidR="00D960C0" w:rsidRPr="003C6C3A">
        <w:rPr>
          <w:szCs w:val="24"/>
        </w:rPr>
        <w:t>Vēstuli</w:t>
      </w:r>
      <w:r w:rsidRPr="003C6C3A">
        <w:rPr>
          <w:szCs w:val="24"/>
        </w:rPr>
        <w:t xml:space="preserve"> </w:t>
      </w:r>
      <w:r w:rsidR="00D960C0" w:rsidRPr="003C6C3A">
        <w:rPr>
          <w:szCs w:val="24"/>
        </w:rPr>
        <w:t>ar vērtējumu par to</w:t>
      </w:r>
      <w:r w:rsidRPr="003C6C3A">
        <w:rPr>
          <w:szCs w:val="24"/>
        </w:rPr>
        <w:t xml:space="preserve">, vai </w:t>
      </w:r>
      <w:r w:rsidR="00D960C0" w:rsidRPr="003C6C3A">
        <w:rPr>
          <w:szCs w:val="24"/>
        </w:rPr>
        <w:t>katrs konkrētais</w:t>
      </w:r>
      <w:r w:rsidRPr="003C6C3A">
        <w:rPr>
          <w:szCs w:val="24"/>
        </w:rPr>
        <w:t xml:space="preserve"> iepirkuma līgum</w:t>
      </w:r>
      <w:r w:rsidR="00D960C0" w:rsidRPr="003C6C3A">
        <w:rPr>
          <w:szCs w:val="24"/>
        </w:rPr>
        <w:t>s</w:t>
      </w:r>
      <w:r w:rsidRPr="003C6C3A">
        <w:rPr>
          <w:szCs w:val="24"/>
        </w:rPr>
        <w:t xml:space="preserve"> ir</w:t>
      </w:r>
      <w:r w:rsidR="00D960C0" w:rsidRPr="003C6C3A">
        <w:rPr>
          <w:szCs w:val="24"/>
        </w:rPr>
        <w:t xml:space="preserve"> uzskatāms par</w:t>
      </w:r>
      <w:r w:rsidRPr="003C6C3A">
        <w:rPr>
          <w:szCs w:val="24"/>
        </w:rPr>
        <w:t xml:space="preserve"> publisko tiesību līgum</w:t>
      </w:r>
      <w:r w:rsidR="00D960C0" w:rsidRPr="003C6C3A">
        <w:rPr>
          <w:szCs w:val="24"/>
        </w:rPr>
        <w:t>u vai par privāttiesisku līgumu</w:t>
      </w:r>
      <w:r w:rsidR="00410FDE" w:rsidRPr="003C6C3A">
        <w:rPr>
          <w:szCs w:val="24"/>
        </w:rPr>
        <w:t xml:space="preserve"> (ņemot vērā, ka no tā atkarīgs </w:t>
      </w:r>
      <w:r w:rsidR="003C6C3A" w:rsidRPr="003C6C3A">
        <w:rPr>
          <w:szCs w:val="24"/>
        </w:rPr>
        <w:t xml:space="preserve">gan to </w:t>
      </w:r>
      <w:r w:rsidR="003C6C3A" w:rsidRPr="003C6C3A">
        <w:rPr>
          <w:szCs w:val="24"/>
        </w:rPr>
        <w:lastRenderedPageBreak/>
        <w:t xml:space="preserve">saistošais spēks, gan </w:t>
      </w:r>
      <w:r w:rsidR="00410FDE" w:rsidRPr="003C6C3A">
        <w:rPr>
          <w:szCs w:val="24"/>
        </w:rPr>
        <w:t>process, kādā līgumu iespējams izbeigt).</w:t>
      </w:r>
    </w:p>
    <w:p w14:paraId="14E08552" w14:textId="247EF112" w:rsidR="00410FDE" w:rsidRPr="003A619F" w:rsidRDefault="00356782" w:rsidP="003A619F">
      <w:pPr>
        <w:pStyle w:val="NoSpacing"/>
        <w:ind w:firstLine="720"/>
        <w:rPr>
          <w:szCs w:val="24"/>
        </w:rPr>
      </w:pPr>
      <w:r>
        <w:rPr>
          <w:szCs w:val="24"/>
        </w:rPr>
        <w:t xml:space="preserve">Vienlaikus norādām, ka Satiksmes ministrija </w:t>
      </w:r>
      <w:r w:rsidR="0029697D">
        <w:rPr>
          <w:szCs w:val="24"/>
        </w:rPr>
        <w:t>Vēstules</w:t>
      </w:r>
      <w:r>
        <w:rPr>
          <w:szCs w:val="24"/>
        </w:rPr>
        <w:t xml:space="preserve"> 1. punktā nepamatoti atsaucas uz </w:t>
      </w:r>
      <w:r w:rsidRPr="003246AF">
        <w:rPr>
          <w:szCs w:val="24"/>
        </w:rPr>
        <w:t>Senāta</w:t>
      </w:r>
      <w:r>
        <w:rPr>
          <w:szCs w:val="24"/>
        </w:rPr>
        <w:t xml:space="preserve"> 2022. gada 7. oktobra</w:t>
      </w:r>
      <w:r w:rsidRPr="003246AF">
        <w:rPr>
          <w:szCs w:val="24"/>
        </w:rPr>
        <w:t xml:space="preserve"> lēmum</w:t>
      </w:r>
      <w:r>
        <w:rPr>
          <w:szCs w:val="24"/>
        </w:rPr>
        <w:t>u</w:t>
      </w:r>
      <w:r w:rsidRPr="003246AF">
        <w:rPr>
          <w:szCs w:val="24"/>
        </w:rPr>
        <w:t xml:space="preserve"> lietā Nr.</w:t>
      </w:r>
      <w:r>
        <w:rPr>
          <w:szCs w:val="24"/>
        </w:rPr>
        <w:t> </w:t>
      </w:r>
      <w:r w:rsidRPr="003246AF">
        <w:rPr>
          <w:szCs w:val="24"/>
        </w:rPr>
        <w:t>SKA-1057/2022</w:t>
      </w:r>
      <w:r>
        <w:rPr>
          <w:szCs w:val="24"/>
        </w:rPr>
        <w:t xml:space="preserve">, pamatojot, ka </w:t>
      </w:r>
      <w:r w:rsidRPr="003246AF">
        <w:rPr>
          <w:szCs w:val="24"/>
        </w:rPr>
        <w:t>jautājums par sabiedriskā transporta pakalpojumu līguma tiesisko dabu netika pārvērtēts, proti, Senāts norādīja, ka tam attiecīgajā lietā nav nozīmes</w:t>
      </w:r>
      <w:r>
        <w:rPr>
          <w:szCs w:val="24"/>
        </w:rPr>
        <w:t>. Vēršam uzmanību uz to, ka attiecīgajā Senāta lēmumā ir vērtētas personas subjektīvās tiesības vērsties tiesā saskaņā ar Publisko iepirkumu likuma 73. un 74. pantā paredzēto. Atbilstoši Senāta lēmumā norādītajam k</w:t>
      </w:r>
      <w:r w:rsidRPr="003246AF">
        <w:rPr>
          <w:szCs w:val="24"/>
        </w:rPr>
        <w:t>ārtību, kādā personas, kuras nesekmīgi piedalījušās iepirkumā, var iebilst pret iepirkuma procedūras rezultātā noslēgtu līgumu, noteic Publisko iepirkumu likuma 85.</w:t>
      </w:r>
      <w:r w:rsidRPr="003246AF">
        <w:rPr>
          <w:szCs w:val="24"/>
          <w:vertAlign w:val="superscript"/>
        </w:rPr>
        <w:t>1</w:t>
      </w:r>
      <w:r>
        <w:rPr>
          <w:szCs w:val="24"/>
        </w:rPr>
        <w:t> </w:t>
      </w:r>
      <w:r w:rsidRPr="003246AF">
        <w:rPr>
          <w:szCs w:val="24"/>
        </w:rPr>
        <w:t>pants</w:t>
      </w:r>
      <w:r>
        <w:rPr>
          <w:szCs w:val="24"/>
        </w:rPr>
        <w:t xml:space="preserve"> (spēkā esošā Publisko iepirkumu likuma 73. panta pirmā daļa)</w:t>
      </w:r>
      <w:r w:rsidRPr="003246AF">
        <w:rPr>
          <w:szCs w:val="24"/>
        </w:rPr>
        <w:t>. Publisko iepirkumu likums neparedz atšķirīgu iepirkuma procedūras vai tajā pieņemto lēmumu pārsūdzības kārtību atkarībā no tā, kāds līgums noslēdzams iepirkuma rezultātā (privāttiesisks vai publiski tiesisks)</w:t>
      </w:r>
      <w:r>
        <w:rPr>
          <w:szCs w:val="24"/>
        </w:rPr>
        <w:t xml:space="preserve"> (</w:t>
      </w:r>
      <w:r w:rsidRPr="005B14B1">
        <w:rPr>
          <w:i/>
          <w:iCs/>
          <w:szCs w:val="24"/>
        </w:rPr>
        <w:t>sk. Senāta 2016. gada 24. oktobra lēmuma lietā Nr. SKA-1510/2016 12. punktu</w:t>
      </w:r>
      <w:r>
        <w:rPr>
          <w:szCs w:val="24"/>
        </w:rPr>
        <w:t>). Likums tiešā tekstā noteic pieteikuma iesniegšanu Administratīvajā rajona tiesā likumā noteiktajos gadījumos. Ņemot vērā minēto, konkrētajā lietā nebija izšķirošas nozīmes tam, vai iepirkuma līgums ir privāttiesisks līgums vai publisko tiesību līgums, jo citas personas saskaņā ar Publisko iepirkumu likuma 73. un 74. pantā noteikto iepirkuma līgumu var pārsūdzēt Administratīvajā rajonā tiesā. Tādējādi arī nebija nepieciešams vērtēt, vai attiecīgais līgums ir privāttiesisks līgums vai publisko tiesību līgums.</w:t>
      </w:r>
      <w:r w:rsidR="00D960C0">
        <w:rPr>
          <w:szCs w:val="24"/>
        </w:rPr>
        <w:t xml:space="preserve"> </w:t>
      </w:r>
      <w:r>
        <w:rPr>
          <w:szCs w:val="24"/>
        </w:rPr>
        <w:t xml:space="preserve">Ievērojot minēto, lūdzam attiecīgi precizēt </w:t>
      </w:r>
      <w:r w:rsidR="00941532">
        <w:rPr>
          <w:szCs w:val="24"/>
        </w:rPr>
        <w:t>Vēstules</w:t>
      </w:r>
      <w:r>
        <w:rPr>
          <w:szCs w:val="24"/>
        </w:rPr>
        <w:t xml:space="preserve"> 1. punktu.</w:t>
      </w:r>
      <w:r w:rsidR="00410FDE">
        <w:t xml:space="preserve"> </w:t>
      </w:r>
    </w:p>
    <w:p w14:paraId="05C4BD15" w14:textId="2840B039" w:rsidR="00356782" w:rsidRPr="00412B08" w:rsidRDefault="003A619F" w:rsidP="00412B08">
      <w:pPr>
        <w:pStyle w:val="NoSpacing"/>
        <w:ind w:firstLine="720"/>
        <w:rPr>
          <w:szCs w:val="24"/>
        </w:rPr>
      </w:pPr>
      <w:r>
        <w:rPr>
          <w:szCs w:val="24"/>
        </w:rPr>
        <w:t xml:space="preserve">3. </w:t>
      </w:r>
      <w:r w:rsidR="00941532">
        <w:rPr>
          <w:szCs w:val="24"/>
        </w:rPr>
        <w:t>Vēstules</w:t>
      </w:r>
      <w:r w:rsidR="00356782">
        <w:rPr>
          <w:szCs w:val="24"/>
        </w:rPr>
        <w:t xml:space="preserve"> 2. punktā ir ietverta atsauce uz administratīvā akta tiesiskuma vērtēšanu un attiecīgi līdzīgas kārtības attiecināšanu uz publisko tiesību līgumiem. Attiecībā uz minēto, norādām, ka Administratīvā procesa likuma 3. panta trešā daļa paredz, ka Administratīvā procesa likuma noteikumi, kas attiecas uz administratīvo aktu, ir attiecināmi arī uz publisko tiesību līgumu tiktāl, ciktāl citas tiesību normas nenosaka citādi. Publisko iepirkumu likuma 64. pants paredz gadījumus, kādos pasūtītājs var vienpusēji atkāpties no iepirkuma līguma. Ņemot vērā minēto, Publisko iepirkumu likums ir noteicis gadījumus, kuros izbeidzams iepirkuma līgums (arī tad, ja tas ir publisko tiesību līgums), tādējādi Administratīvā procesa likumā paredzētais regulējums nav piemērojams, proti, nav saprotama konkrēto iepirkuma līgumu izbeigšanas salīdzināšana ar administratīvā akta tiesiskuma izvērtēšanu, lemjot par tā atcelšanu.</w:t>
      </w:r>
      <w:r w:rsidR="00151169">
        <w:rPr>
          <w:szCs w:val="24"/>
        </w:rPr>
        <w:t xml:space="preserve"> </w:t>
      </w:r>
      <w:r w:rsidR="00941532">
        <w:rPr>
          <w:szCs w:val="24"/>
        </w:rPr>
        <w:t>Ievērojot minēto, lūdzam attiecīgi precizēt Vēstules 2.punktu.</w:t>
      </w:r>
    </w:p>
    <w:p w14:paraId="4E1FF04A" w14:textId="5BBC2A7F" w:rsidR="00306CB5" w:rsidRDefault="00412B08" w:rsidP="00356782">
      <w:pPr>
        <w:pStyle w:val="NoSpacing"/>
        <w:ind w:firstLine="720"/>
        <w:rPr>
          <w:szCs w:val="24"/>
        </w:rPr>
      </w:pPr>
      <w:r>
        <w:rPr>
          <w:szCs w:val="24"/>
        </w:rPr>
        <w:t>4</w:t>
      </w:r>
      <w:r w:rsidR="00941532">
        <w:rPr>
          <w:szCs w:val="24"/>
        </w:rPr>
        <w:t xml:space="preserve">. </w:t>
      </w:r>
      <w:r w:rsidR="009677FA">
        <w:rPr>
          <w:szCs w:val="24"/>
        </w:rPr>
        <w:t>Vēstules</w:t>
      </w:r>
      <w:r w:rsidR="00356782">
        <w:rPr>
          <w:szCs w:val="24"/>
        </w:rPr>
        <w:t xml:space="preserve"> 2. punktā skaidrots, ka konkrētos iepirkuma līgumus varētu izbeigt saskaņā ar Publisko iepirkumu likuma 64. panta pirmās daļas 3. punktā noteikto, kas ļauj vienpusēji atkāpties no iepirkuma līguma, ja</w:t>
      </w:r>
      <w:r w:rsidR="00356782" w:rsidRPr="0092482D">
        <w:t xml:space="preserve"> </w:t>
      </w:r>
      <w:r w:rsidR="00356782" w:rsidRPr="0092482D">
        <w:rPr>
          <w:szCs w:val="24"/>
        </w:rPr>
        <w:t xml:space="preserve">iepirkuma līguma slēgšanas tiesību piešķiršanas brīdī piegādātājs bija atbilstošs kādam no </w:t>
      </w:r>
      <w:r w:rsidR="00356782">
        <w:rPr>
          <w:szCs w:val="24"/>
        </w:rPr>
        <w:t>Publisko iepirkumu</w:t>
      </w:r>
      <w:r w:rsidR="00356782" w:rsidRPr="0092482D">
        <w:rPr>
          <w:szCs w:val="24"/>
        </w:rPr>
        <w:t xml:space="preserve"> likuma 42.</w:t>
      </w:r>
      <w:r w:rsidR="00356782">
        <w:rPr>
          <w:szCs w:val="24"/>
        </w:rPr>
        <w:t> </w:t>
      </w:r>
      <w:r w:rsidR="00356782" w:rsidRPr="0092482D">
        <w:rPr>
          <w:szCs w:val="24"/>
        </w:rPr>
        <w:t>panta otrajā daļā minētajiem izslēgšanas iemesliem un bija izslēdzams no iepirkuma procedūras</w:t>
      </w:r>
      <w:r w:rsidR="00356782">
        <w:rPr>
          <w:szCs w:val="24"/>
        </w:rPr>
        <w:t xml:space="preserve">. Vēršam uzmanību uz to, ka no Publisko iepirkumu likuma 64. panta pirmās daļas 3. punkta formulējuma izriet, ka attiecīgajiem apstākļiem bija jāpastāv uz iepirkuma līguma slēgšanas tiesību piešķiršanas brīdi, kas nozīmē, ka tie nevar būt radušies pēc iepirkuma līguma slēgšanas tiesību piešķiršanas brīža. Ievērojot minēto, nav nozīmes apstāklim, ka Konkurences padomes 2023. gada 5. janvāra lēmums, ar kuru konstatēts konkurences tiesību pārkāpums, vēl nav stājies spēkā, jo ir pārsūdzēts tiesā, tāpēc ka pat pēc tā stāšanās spēkā tas nevar būt pamats piemērot Publisko iepirkumu likuma 64. panta pirmās daļas 3. punktu. </w:t>
      </w:r>
    </w:p>
    <w:p w14:paraId="3282B222" w14:textId="77777777" w:rsidR="00A01721" w:rsidRDefault="00356782" w:rsidP="00A01721">
      <w:pPr>
        <w:pStyle w:val="NoSpacing"/>
        <w:ind w:firstLine="720"/>
        <w:rPr>
          <w:szCs w:val="24"/>
        </w:rPr>
      </w:pPr>
      <w:r w:rsidRPr="00151169">
        <w:rPr>
          <w:szCs w:val="24"/>
        </w:rPr>
        <w:t>Tāpat norādām, ka nepamatots ir secinājums, ka Autotransporta direkcijai pašai būtu jāpierāda, ka ir noticis konkurences tiesību pārkāpums, jo Konkurences padomes 2023. gada 5. janvāra lēmums ir pārsūdzēts tiesā. Vēršam uzmanību uz to, ka katrai iestādei ir noteikta sava kompetence, un konkurences tiesību pārkāpumus konstatēt ir tiesīga Konkurences padome, savukārt Autotransporta direkcijai šādas kompetences nav.</w:t>
      </w:r>
      <w:r w:rsidR="00151169" w:rsidRPr="00151169">
        <w:rPr>
          <w:szCs w:val="24"/>
        </w:rPr>
        <w:t xml:space="preserve"> </w:t>
      </w:r>
      <w:r w:rsidR="00151169">
        <w:rPr>
          <w:szCs w:val="24"/>
        </w:rPr>
        <w:t>Norādām, ka šāds pienākums pierādīt konkurences tiesību pārkāpuma esamību un attiecīgi zaudējumu iestāšanos Autotransporta direkcijai varētu rasties gadījumā, ja Autotransporta direkcija celtu prasību civiltiesiskā kārtībā par zaudējumu atlīdzību pirms Konkurences padomes lēmums kļuvis neapstrīdams</w:t>
      </w:r>
      <w:r w:rsidR="00134130">
        <w:rPr>
          <w:szCs w:val="24"/>
        </w:rPr>
        <w:t xml:space="preserve"> (kā tas aprakstīts atbildes projekta 4. punktā)</w:t>
      </w:r>
      <w:r w:rsidR="00151169">
        <w:rPr>
          <w:szCs w:val="24"/>
        </w:rPr>
        <w:t xml:space="preserve">.  </w:t>
      </w:r>
      <w:r w:rsidR="00A01721">
        <w:rPr>
          <w:szCs w:val="24"/>
        </w:rPr>
        <w:t>Ievērojot minēto, lūdzam attiecīgi precizēt Vēstules 2. punktu.</w:t>
      </w:r>
    </w:p>
    <w:p w14:paraId="4B039AFC" w14:textId="5B3664E0" w:rsidR="00356782" w:rsidRDefault="00A01721" w:rsidP="00A01721">
      <w:pPr>
        <w:pStyle w:val="NoSpacing"/>
        <w:ind w:firstLine="720"/>
        <w:rPr>
          <w:szCs w:val="24"/>
        </w:rPr>
      </w:pPr>
      <w:r>
        <w:rPr>
          <w:szCs w:val="24"/>
        </w:rPr>
        <w:t>5. Vēstules</w:t>
      </w:r>
      <w:r w:rsidR="00356782">
        <w:rPr>
          <w:szCs w:val="24"/>
        </w:rPr>
        <w:t xml:space="preserve"> 2. punktā norādīts, ka </w:t>
      </w:r>
      <w:r w:rsidR="00356782" w:rsidRPr="00EC51D0">
        <w:rPr>
          <w:szCs w:val="24"/>
        </w:rPr>
        <w:t xml:space="preserve">atbilstoši </w:t>
      </w:r>
      <w:r w:rsidR="00356782">
        <w:rPr>
          <w:szCs w:val="24"/>
        </w:rPr>
        <w:t>Publisko i</w:t>
      </w:r>
      <w:r w:rsidR="00356782" w:rsidRPr="00EC51D0">
        <w:rPr>
          <w:szCs w:val="24"/>
        </w:rPr>
        <w:t>epirkumu likuma 41.</w:t>
      </w:r>
      <w:r w:rsidR="00356782">
        <w:rPr>
          <w:szCs w:val="24"/>
        </w:rPr>
        <w:t> </w:t>
      </w:r>
      <w:r w:rsidR="00356782" w:rsidRPr="00EC51D0">
        <w:rPr>
          <w:szCs w:val="24"/>
        </w:rPr>
        <w:t xml:space="preserve">panta desmitajai </w:t>
      </w:r>
      <w:r w:rsidR="00356782" w:rsidRPr="00EC51D0">
        <w:rPr>
          <w:szCs w:val="24"/>
        </w:rPr>
        <w:lastRenderedPageBreak/>
        <w:t>daļai Autotransporta direkcijas izsludināto Iepirkumu nolikumi (nolikumu 3.3.</w:t>
      </w:r>
      <w:r w:rsidR="00356782">
        <w:rPr>
          <w:szCs w:val="24"/>
        </w:rPr>
        <w:t> </w:t>
      </w:r>
      <w:r w:rsidR="00356782" w:rsidRPr="00EC51D0">
        <w:rPr>
          <w:szCs w:val="24"/>
        </w:rPr>
        <w:t>punkts) saturēja prasību, ka pretendentiem jāiesniedz rakstveida apliecinājums tam, ka piedāvājums izstrādāts neatkarīgi.</w:t>
      </w:r>
      <w:r w:rsidR="00356782">
        <w:rPr>
          <w:szCs w:val="24"/>
        </w:rPr>
        <w:t xml:space="preserve"> Tāpat </w:t>
      </w:r>
      <w:r>
        <w:rPr>
          <w:szCs w:val="24"/>
        </w:rPr>
        <w:t>Vēstules</w:t>
      </w:r>
      <w:r w:rsidR="00356782">
        <w:rPr>
          <w:szCs w:val="24"/>
        </w:rPr>
        <w:t xml:space="preserve"> 2. punktā izdarīts secinājums, ka, ņemot vērā konstatēto konkurences tiesību pārkāpumu, būtu iespējams pieņemt, ka piedāvājums nav ticis izstrādāts neatkarīgi. Tādējādi </w:t>
      </w:r>
      <w:r>
        <w:rPr>
          <w:szCs w:val="24"/>
        </w:rPr>
        <w:t xml:space="preserve">Tieslietu ministrijas ieskatā </w:t>
      </w:r>
      <w:r w:rsidR="00356782">
        <w:rPr>
          <w:szCs w:val="24"/>
        </w:rPr>
        <w:t xml:space="preserve">uz konkrēto iepirkuma līgumu izbeigšanu drīzāk būtu attiecināms Publisko iepirkumu likuma 64. panta pirmās daļas 2. punkts, kas paredz tiesības vienpusēji atkāpties no iepirkuma līguma, ja </w:t>
      </w:r>
      <w:r w:rsidR="00356782" w:rsidRPr="00EC51D0">
        <w:rPr>
          <w:szCs w:val="24"/>
        </w:rPr>
        <w:t>iepirkuma līgums nav noslēgts atbilstoši iepirkuma procedūras dokumentos paredzētajiem noteikumiem, vai ir mainīti būtiski iepirkuma procedūras dokumentos iekļautā iepirkuma līguma projekta noteikumi</w:t>
      </w:r>
      <w:r w:rsidR="00356782">
        <w:rPr>
          <w:szCs w:val="24"/>
        </w:rPr>
        <w:t>. Vienlaikus šajā gadījumā ir nepieciešams izvērtēt, vai minētajā rakstveida apliecinājumā ietverta nepatiesa informācija var tikt uzskatīta par iemeslu tam, ka iepirkuma līgums nav noslēgts atbilstoši iepirkuma procedūras dokumentos paredzētajiem noteikumiem.</w:t>
      </w:r>
      <w:r w:rsidR="00410FDE">
        <w:rPr>
          <w:szCs w:val="24"/>
        </w:rPr>
        <w:t xml:space="preserve"> </w:t>
      </w:r>
      <w:r>
        <w:rPr>
          <w:szCs w:val="24"/>
        </w:rPr>
        <w:t xml:space="preserve">Ievērojot minēto, </w:t>
      </w:r>
      <w:r w:rsidR="004238A8">
        <w:rPr>
          <w:szCs w:val="24"/>
        </w:rPr>
        <w:t>ja Satiksmes ministrijas ieskatā</w:t>
      </w:r>
      <w:r w:rsidR="004238A8" w:rsidRPr="004238A8">
        <w:rPr>
          <w:szCs w:val="24"/>
        </w:rPr>
        <w:t xml:space="preserve"> </w:t>
      </w:r>
      <w:r w:rsidR="004238A8">
        <w:rPr>
          <w:szCs w:val="24"/>
        </w:rPr>
        <w:t xml:space="preserve">uz konkrēto iepirkuma līgumu izbeigšanu būtu attiecināms Publisko iepirkumu likuma 64. panta pirmās daļas 2. punkts, lūdzam papildināt Vēstuli ar </w:t>
      </w:r>
      <w:r w:rsidR="00053758">
        <w:rPr>
          <w:szCs w:val="24"/>
        </w:rPr>
        <w:t>attiecīgu vērtējumu.</w:t>
      </w:r>
    </w:p>
    <w:p w14:paraId="2AE9A264" w14:textId="3A4E2954" w:rsidR="00412B08" w:rsidRDefault="00412B08" w:rsidP="00412B08">
      <w:pPr>
        <w:rPr>
          <w:rFonts w:eastAsia="Times New Roman"/>
        </w:rPr>
      </w:pPr>
      <w:r>
        <w:tab/>
      </w:r>
      <w:r w:rsidR="00A01721">
        <w:rPr>
          <w:szCs w:val="24"/>
        </w:rPr>
        <w:t>6</w:t>
      </w:r>
      <w:r w:rsidR="003C6C3A">
        <w:rPr>
          <w:szCs w:val="24"/>
        </w:rPr>
        <w:t xml:space="preserve">. </w:t>
      </w:r>
      <w:r w:rsidR="003F34FF">
        <w:rPr>
          <w:szCs w:val="24"/>
        </w:rPr>
        <w:t xml:space="preserve">Norādām, ka </w:t>
      </w:r>
      <w:r>
        <w:rPr>
          <w:szCs w:val="24"/>
        </w:rPr>
        <w:t>Vēstules 2.</w:t>
      </w:r>
      <w:r w:rsidR="009677FA">
        <w:rPr>
          <w:szCs w:val="24"/>
        </w:rPr>
        <w:t> </w:t>
      </w:r>
      <w:r>
        <w:rPr>
          <w:szCs w:val="24"/>
        </w:rPr>
        <w:t xml:space="preserve">punktā </w:t>
      </w:r>
      <w:r w:rsidR="003F34FF">
        <w:rPr>
          <w:szCs w:val="24"/>
        </w:rPr>
        <w:t xml:space="preserve">vispār </w:t>
      </w:r>
      <w:r>
        <w:rPr>
          <w:szCs w:val="24"/>
        </w:rPr>
        <w:t xml:space="preserve">nav iekļauts vērtējums par iespējām izbeigt minētos iepirkuma līgumus uz vispārējiem civiltiesību pamatiem. Proti, bez </w:t>
      </w:r>
      <w:r w:rsidR="003C6C3A">
        <w:rPr>
          <w:szCs w:val="24"/>
        </w:rPr>
        <w:t>norādījuma, ka iepirkuma līgumus varētu izbeigt Publisko iepirkuma likuma</w:t>
      </w:r>
      <w:r w:rsidR="009677FA">
        <w:rPr>
          <w:szCs w:val="24"/>
        </w:rPr>
        <w:t xml:space="preserve"> kārtībā, nav analizētas iespējas tos izbeigt citā kārtībā. Tostarp atbilstoši Civillikuma noteikumiem par prettiesisku darījumu spēkā neesamību (kad darījums noslēgts ar mērķi apiet likumu) vai vienpusēju atkāpšanos no līguma, kad to paredz likums (Civillikuma </w:t>
      </w:r>
      <w:r w:rsidR="009677FA">
        <w:rPr>
          <w:rFonts w:eastAsia="Times New Roman"/>
        </w:rPr>
        <w:t>1415., 1589</w:t>
      </w:r>
      <w:r w:rsidR="00C12EEC">
        <w:rPr>
          <w:rFonts w:eastAsia="Times New Roman"/>
        </w:rPr>
        <w:t>.pants</w:t>
      </w:r>
      <w:r w:rsidR="009677FA">
        <w:rPr>
          <w:rFonts w:eastAsia="Times New Roman"/>
        </w:rPr>
        <w:t>).</w:t>
      </w:r>
      <w:r w:rsidR="00E92A91">
        <w:rPr>
          <w:rFonts w:eastAsia="Times New Roman"/>
        </w:rPr>
        <w:t xml:space="preserve"> Ievērojot minēto, lūdzam papildināt Vēstuli ar vērtējumu par iespēj</w:t>
      </w:r>
      <w:r w:rsidR="008B5AE6">
        <w:rPr>
          <w:rFonts w:eastAsia="Times New Roman"/>
        </w:rPr>
        <w:t>ām</w:t>
      </w:r>
      <w:r w:rsidR="00E92A91">
        <w:rPr>
          <w:rFonts w:eastAsia="Times New Roman"/>
        </w:rPr>
        <w:t xml:space="preserve"> izbeigt noslēgtos iepirkuma līgumus uz vispārējiem civiltiesību pamatiem.</w:t>
      </w:r>
    </w:p>
    <w:p w14:paraId="5D659DB5" w14:textId="083CDFB7" w:rsidR="003F34FF" w:rsidRDefault="003F34FF" w:rsidP="00412B08">
      <w:pPr>
        <w:rPr>
          <w:rFonts w:eastAsia="Times New Roman"/>
        </w:rPr>
      </w:pPr>
      <w:r>
        <w:rPr>
          <w:rFonts w:eastAsia="Times New Roman"/>
        </w:rPr>
        <w:tab/>
        <w:t xml:space="preserve">7. Vēršam uzmanību, ka Tieslietu ministrija līdz galam nevar piekrist Vēstules 2.puntkā minētajam par </w:t>
      </w:r>
      <w:r w:rsidRPr="00921971">
        <w:rPr>
          <w:szCs w:val="24"/>
        </w:rPr>
        <w:t>Autotransporta direkcija</w:t>
      </w:r>
      <w:r>
        <w:rPr>
          <w:szCs w:val="24"/>
        </w:rPr>
        <w:t>s iespējām pierādīt konkurences tiesību pārkāpumu</w:t>
      </w:r>
      <w:r w:rsidR="008E447C">
        <w:rPr>
          <w:szCs w:val="24"/>
        </w:rPr>
        <w:t xml:space="preserve"> (pamatojot līgumu pirms laika izbeigšanu un zaudējumu piedziņu)</w:t>
      </w:r>
      <w:r>
        <w:rPr>
          <w:szCs w:val="24"/>
        </w:rPr>
        <w:t xml:space="preserve">. Proti, </w:t>
      </w:r>
      <w:r>
        <w:rPr>
          <w:rFonts w:eastAsia="Times New Roman"/>
        </w:rPr>
        <w:t xml:space="preserve">pierādīšanas standarts nenoteic, ka kādus faktus var pierādīt tikai ar viena veida pierādījumiem (piemēram, ka konkurences tiesību pārkāpumu var pierādīt tikai ar spēkā stājušos Konkurences padomes lēmumu). </w:t>
      </w:r>
      <w:r w:rsidR="008B5AE6">
        <w:rPr>
          <w:rFonts w:eastAsia="Times New Roman"/>
        </w:rPr>
        <w:t>Norādām, ka p</w:t>
      </w:r>
      <w:r>
        <w:rPr>
          <w:rFonts w:eastAsia="Times New Roman"/>
        </w:rPr>
        <w:t xml:space="preserve">ierādīšanas pienākums ir tam, kas atsaucas uz faktu, taču pierādīt var </w:t>
      </w:r>
      <w:r w:rsidR="00DC68B7">
        <w:rPr>
          <w:rFonts w:eastAsia="Times New Roman"/>
        </w:rPr>
        <w:t xml:space="preserve">kā ar tiešiem pierādījumiem, tā </w:t>
      </w:r>
      <w:r>
        <w:rPr>
          <w:rFonts w:eastAsia="Times New Roman"/>
        </w:rPr>
        <w:t xml:space="preserve">arī ar netiešiem pierādījumiem. Līdz ar to lūdzam papildināt Vēstuli ar plašāku </w:t>
      </w:r>
      <w:proofErr w:type="spellStart"/>
      <w:r>
        <w:rPr>
          <w:rFonts w:eastAsia="Times New Roman"/>
        </w:rPr>
        <w:t>izvērtējumu</w:t>
      </w:r>
      <w:proofErr w:type="spellEnd"/>
      <w:r>
        <w:rPr>
          <w:rFonts w:eastAsia="Times New Roman"/>
        </w:rPr>
        <w:t xml:space="preserve"> par </w:t>
      </w:r>
      <w:r w:rsidR="0029697D">
        <w:rPr>
          <w:rFonts w:eastAsia="Times New Roman"/>
        </w:rPr>
        <w:t>iespējām</w:t>
      </w:r>
      <w:r w:rsidR="00DC68B7">
        <w:rPr>
          <w:rFonts w:eastAsia="Times New Roman"/>
        </w:rPr>
        <w:t xml:space="preserve"> </w:t>
      </w:r>
      <w:r w:rsidR="008B5AE6" w:rsidRPr="00921971">
        <w:rPr>
          <w:szCs w:val="24"/>
        </w:rPr>
        <w:t>Autotransporta direkcija</w:t>
      </w:r>
      <w:r w:rsidR="008B5AE6">
        <w:rPr>
          <w:szCs w:val="24"/>
        </w:rPr>
        <w:t xml:space="preserve">i </w:t>
      </w:r>
      <w:r w:rsidR="00DC68B7">
        <w:rPr>
          <w:rFonts w:eastAsia="Times New Roman"/>
        </w:rPr>
        <w:t>pierādīt</w:t>
      </w:r>
      <w:r>
        <w:rPr>
          <w:rFonts w:eastAsia="Times New Roman"/>
        </w:rPr>
        <w:t xml:space="preserve"> konkurences tiesību pārkāpumu</w:t>
      </w:r>
      <w:r w:rsidR="00DC68B7">
        <w:rPr>
          <w:rFonts w:eastAsia="Times New Roman"/>
        </w:rPr>
        <w:t>, kas kalpotu par pamatu konkrēto iepirkumu līgumu izbeigšanai un iespējamai zaudējumu piedziņai.</w:t>
      </w:r>
    </w:p>
    <w:p w14:paraId="09DBCD88" w14:textId="42A37E05" w:rsidR="00DC68B7" w:rsidRDefault="00DC68B7" w:rsidP="00412B08">
      <w:pPr>
        <w:rPr>
          <w:rFonts w:eastAsia="Times New Roman"/>
        </w:rPr>
      </w:pPr>
      <w:r>
        <w:rPr>
          <w:rFonts w:eastAsia="Times New Roman"/>
        </w:rPr>
        <w:tab/>
        <w:t xml:space="preserve">8. Vēstules </w:t>
      </w:r>
      <w:r w:rsidRPr="00DC68B7">
        <w:rPr>
          <w:rFonts w:eastAsia="Times New Roman"/>
        </w:rPr>
        <w:t>3.</w:t>
      </w:r>
      <w:r>
        <w:rPr>
          <w:rFonts w:eastAsia="Times New Roman"/>
        </w:rPr>
        <w:t> </w:t>
      </w:r>
      <w:r w:rsidRPr="00DC68B7">
        <w:rPr>
          <w:rFonts w:eastAsia="Times New Roman"/>
        </w:rPr>
        <w:t>punktā izteikts, apgalvojums, ka L</w:t>
      </w:r>
      <w:r>
        <w:rPr>
          <w:rFonts w:eastAsia="Times New Roman"/>
        </w:rPr>
        <w:t>atvijā šobrīd</w:t>
      </w:r>
      <w:r w:rsidRPr="00DC68B7">
        <w:rPr>
          <w:rFonts w:eastAsia="Times New Roman"/>
        </w:rPr>
        <w:t xml:space="preserve"> nav neviena uzņēmuma, kuram būtu pietiekami resursi uzņemties pakalpojuma nodrošināšanu pilnā apmērā. </w:t>
      </w:r>
      <w:r>
        <w:rPr>
          <w:rFonts w:eastAsia="Times New Roman"/>
        </w:rPr>
        <w:t>Norādām, ka p</w:t>
      </w:r>
      <w:r w:rsidRPr="00DC68B7">
        <w:rPr>
          <w:rFonts w:eastAsia="Times New Roman"/>
        </w:rPr>
        <w:t xml:space="preserve">akalpojumu nepārtrauktība nenozīmē, ka pakalpojumu ir jāsniedz vienam uzņēmumam. Tieši pretēji – publisko iepirkumu mērķis ir pēc iespējas izvairīties no </w:t>
      </w:r>
      <w:proofErr w:type="spellStart"/>
      <w:r w:rsidRPr="00DC68B7">
        <w:rPr>
          <w:rFonts w:eastAsia="Times New Roman"/>
        </w:rPr>
        <w:t>monopolsituācijām</w:t>
      </w:r>
      <w:proofErr w:type="spellEnd"/>
      <w:r w:rsidRPr="00DC68B7">
        <w:rPr>
          <w:rFonts w:eastAsia="Times New Roman"/>
        </w:rPr>
        <w:t>, pakalpojumu sniegšanas iespējas dodot brīvajam tirgum un nepamatoti neierobežojot konkurenci. Turklāt</w:t>
      </w:r>
      <w:r>
        <w:rPr>
          <w:rFonts w:eastAsia="Times New Roman"/>
        </w:rPr>
        <w:t xml:space="preserve">, cik noprotams, </w:t>
      </w:r>
      <w:r w:rsidRPr="00DC68B7">
        <w:rPr>
          <w:rFonts w:eastAsia="Times New Roman"/>
        </w:rPr>
        <w:t xml:space="preserve">visās </w:t>
      </w:r>
      <w:proofErr w:type="spellStart"/>
      <w:r w:rsidRPr="00DC68B7">
        <w:rPr>
          <w:rFonts w:eastAsia="Times New Roman"/>
        </w:rPr>
        <w:t>lotēs</w:t>
      </w:r>
      <w:proofErr w:type="spellEnd"/>
      <w:r>
        <w:rPr>
          <w:rFonts w:eastAsia="Times New Roman"/>
        </w:rPr>
        <w:t xml:space="preserve"> (iepirkumos)</w:t>
      </w:r>
      <w:r w:rsidRPr="00DC68B7">
        <w:rPr>
          <w:rFonts w:eastAsia="Times New Roman"/>
        </w:rPr>
        <w:t xml:space="preserve"> piedalījās vairāki pretendenti, tātad </w:t>
      </w:r>
      <w:r>
        <w:rPr>
          <w:rFonts w:eastAsia="Times New Roman"/>
        </w:rPr>
        <w:t xml:space="preserve">no Vēstules īsti nav noprotams, vai tiešām minētos pārvadājuma pakalpojums nav iespējams nodrošināt izmantojot citus tirgū pieejamos pakalpojuma sniedzējus. Ievērojot minēto, lūdzam papildināt Vēstuli ar minēto </w:t>
      </w:r>
      <w:proofErr w:type="spellStart"/>
      <w:r>
        <w:rPr>
          <w:rFonts w:eastAsia="Times New Roman"/>
        </w:rPr>
        <w:t>izvērtējumu</w:t>
      </w:r>
      <w:proofErr w:type="spellEnd"/>
      <w:r>
        <w:rPr>
          <w:rFonts w:eastAsia="Times New Roman"/>
        </w:rPr>
        <w:t xml:space="preserve"> un informāciju. </w:t>
      </w:r>
    </w:p>
    <w:p w14:paraId="0FFFC4E1" w14:textId="4E237BCB" w:rsidR="00DC68B7" w:rsidRDefault="00DC68B7" w:rsidP="00412B08">
      <w:pPr>
        <w:rPr>
          <w:rFonts w:eastAsia="Times New Roman"/>
        </w:rPr>
      </w:pPr>
      <w:r>
        <w:rPr>
          <w:rFonts w:eastAsia="Times New Roman"/>
        </w:rPr>
        <w:tab/>
        <w:t xml:space="preserve">9. </w:t>
      </w:r>
      <w:r w:rsidR="009A62EC">
        <w:rPr>
          <w:rFonts w:eastAsia="Times New Roman"/>
        </w:rPr>
        <w:t>Tieslietu ministrijas ieskatā Vēstulē nav iekļauts pietiekams e</w:t>
      </w:r>
      <w:r w:rsidRPr="00DC68B7">
        <w:rPr>
          <w:rFonts w:eastAsia="Times New Roman"/>
        </w:rPr>
        <w:t xml:space="preserve">konomiskais </w:t>
      </w:r>
      <w:proofErr w:type="spellStart"/>
      <w:r w:rsidR="009A62EC">
        <w:rPr>
          <w:rFonts w:eastAsia="Times New Roman"/>
        </w:rPr>
        <w:t>izvērtējums</w:t>
      </w:r>
      <w:proofErr w:type="spellEnd"/>
      <w:r w:rsidR="009A62EC">
        <w:rPr>
          <w:rFonts w:eastAsia="Times New Roman"/>
        </w:rPr>
        <w:t xml:space="preserve">. Proti, </w:t>
      </w:r>
      <w:r w:rsidRPr="00DC68B7">
        <w:rPr>
          <w:rFonts w:eastAsia="Times New Roman"/>
        </w:rPr>
        <w:t xml:space="preserve">aplēšot pamatu izbeigt līgumattiecības, ir veicami aprēķini par iespējamiem zaudējumiem. </w:t>
      </w:r>
      <w:r w:rsidR="009A62EC">
        <w:rPr>
          <w:rFonts w:eastAsia="Times New Roman"/>
        </w:rPr>
        <w:t>Vēstulē</w:t>
      </w:r>
      <w:r w:rsidRPr="00DC68B7">
        <w:rPr>
          <w:rFonts w:eastAsia="Times New Roman"/>
        </w:rPr>
        <w:t xml:space="preserve"> ir </w:t>
      </w:r>
      <w:r w:rsidR="009A62EC">
        <w:rPr>
          <w:rFonts w:eastAsia="Times New Roman"/>
        </w:rPr>
        <w:t>norādītas konkrētas summas</w:t>
      </w:r>
      <w:r w:rsidRPr="00DC68B7">
        <w:rPr>
          <w:rFonts w:eastAsia="Times New Roman"/>
        </w:rPr>
        <w:t xml:space="preserve">, taču </w:t>
      </w:r>
      <w:proofErr w:type="spellStart"/>
      <w:r w:rsidRPr="00DC68B7">
        <w:rPr>
          <w:rFonts w:eastAsia="Times New Roman"/>
        </w:rPr>
        <w:t>pirmšķietami</w:t>
      </w:r>
      <w:proofErr w:type="spellEnd"/>
      <w:r w:rsidRPr="00DC68B7">
        <w:rPr>
          <w:rFonts w:eastAsia="Times New Roman"/>
        </w:rPr>
        <w:t xml:space="preserve"> </w:t>
      </w:r>
      <w:r w:rsidR="009A62EC">
        <w:rPr>
          <w:rFonts w:eastAsia="Times New Roman"/>
        </w:rPr>
        <w:t>šim aprēķinam nav precīza</w:t>
      </w:r>
      <w:r w:rsidRPr="00DC68B7">
        <w:rPr>
          <w:rFonts w:eastAsia="Times New Roman"/>
        </w:rPr>
        <w:t xml:space="preserve"> pamatojuma</w:t>
      </w:r>
      <w:r w:rsidR="00CA6CD9">
        <w:rPr>
          <w:rFonts w:eastAsia="Times New Roman"/>
        </w:rPr>
        <w:t xml:space="preserve"> (vien atsauce uz Konkurences likumā </w:t>
      </w:r>
      <w:r w:rsidR="0029697D">
        <w:rPr>
          <w:rFonts w:eastAsia="Times New Roman"/>
        </w:rPr>
        <w:t>norādītajiem</w:t>
      </w:r>
      <w:r w:rsidR="00CA6CD9">
        <w:rPr>
          <w:rFonts w:eastAsia="Times New Roman"/>
        </w:rPr>
        <w:t xml:space="preserve"> 10%</w:t>
      </w:r>
      <w:r w:rsidR="0029697D">
        <w:rPr>
          <w:rFonts w:eastAsia="Times New Roman"/>
        </w:rPr>
        <w:t xml:space="preserve">, ko </w:t>
      </w:r>
      <w:r w:rsidR="001059CD">
        <w:rPr>
          <w:rFonts w:eastAsia="Times New Roman"/>
        </w:rPr>
        <w:t xml:space="preserve">kā zaudējumus </w:t>
      </w:r>
      <w:r w:rsidR="0029697D">
        <w:rPr>
          <w:rFonts w:eastAsia="Times New Roman"/>
        </w:rPr>
        <w:t>iespējams prasīt šādu konkurences tiesību pārkāpumu gadījumā</w:t>
      </w:r>
      <w:r w:rsidR="00CA6CD9">
        <w:rPr>
          <w:rFonts w:eastAsia="Times New Roman"/>
        </w:rPr>
        <w:t>)</w:t>
      </w:r>
      <w:r w:rsidRPr="00DC68B7">
        <w:rPr>
          <w:rFonts w:eastAsia="Times New Roman"/>
        </w:rPr>
        <w:t xml:space="preserve">. </w:t>
      </w:r>
      <w:r w:rsidR="009A62EC">
        <w:rPr>
          <w:rFonts w:eastAsia="Times New Roman"/>
        </w:rPr>
        <w:t>Tieslietu ministrijas ieskatā</w:t>
      </w:r>
      <w:r w:rsidRPr="00DC68B7">
        <w:rPr>
          <w:rFonts w:eastAsia="Times New Roman"/>
        </w:rPr>
        <w:t xml:space="preserve"> objektīvas aplēses par zaudējumiem ir iespējamas, tikai vērtējot katru individuālo līgumu, tostarp no tādiem aspektiem – vai līgumu vispār ir uzsākts pildīt, vai līgumu izpilde notiek pienācīgi u.tml.</w:t>
      </w:r>
      <w:r w:rsidR="0029697D">
        <w:rPr>
          <w:rFonts w:eastAsia="Times New Roman"/>
        </w:rPr>
        <w:t xml:space="preserve"> Tāpat Vēstuli nepieciešams papildināt ar </w:t>
      </w:r>
      <w:proofErr w:type="spellStart"/>
      <w:r w:rsidR="0029697D">
        <w:rPr>
          <w:rFonts w:eastAsia="Times New Roman"/>
        </w:rPr>
        <w:t>izvērtējumu</w:t>
      </w:r>
      <w:proofErr w:type="spellEnd"/>
      <w:r w:rsidR="0029697D">
        <w:rPr>
          <w:rFonts w:eastAsia="Times New Roman"/>
        </w:rPr>
        <w:t xml:space="preserve"> par to, vai iepirkumu līgumu pārtraukšana radītu citus zaudējumus, ņemot vērā, ka nāktos meklēt citas iespējas kā nodrošināt publiskās pārvadāšanas pakalpojumus.</w:t>
      </w:r>
    </w:p>
    <w:p w14:paraId="32732781" w14:textId="06BF55F6" w:rsidR="009F59B1" w:rsidRDefault="009F59B1" w:rsidP="00412B08">
      <w:pPr>
        <w:rPr>
          <w:rFonts w:eastAsia="Times New Roman"/>
        </w:rPr>
      </w:pPr>
    </w:p>
    <w:p w14:paraId="5E39222D" w14:textId="57E586F7" w:rsidR="00E90029" w:rsidRDefault="009F59B1" w:rsidP="00BD6D24">
      <w:pPr>
        <w:rPr>
          <w:rFonts w:eastAsia="Times New Roman"/>
        </w:rPr>
      </w:pPr>
      <w:r>
        <w:rPr>
          <w:rFonts w:eastAsia="Times New Roman"/>
        </w:rPr>
        <w:lastRenderedPageBreak/>
        <w:tab/>
        <w:t xml:space="preserve">Noslēgumā vēršam uzmanību uz to, ka Vēstule minētie jautājumi Tieslietu ministrijas ieskatā </w:t>
      </w:r>
      <w:r w:rsidR="0029697D">
        <w:rPr>
          <w:rFonts w:eastAsia="Times New Roman"/>
        </w:rPr>
        <w:t xml:space="preserve">kopumā </w:t>
      </w:r>
      <w:r>
        <w:rPr>
          <w:rFonts w:eastAsia="Times New Roman"/>
        </w:rPr>
        <w:t xml:space="preserve">nav pietiekami plaši izvērtēti un aprakstīti. Ievērojot minēto, lūdzam attiecīgi papildināt un precizēt Vēstuli. </w:t>
      </w:r>
    </w:p>
    <w:p w14:paraId="629517A4" w14:textId="77777777" w:rsidR="00E90029" w:rsidRDefault="00E90029" w:rsidP="00BD6D24">
      <w:pPr>
        <w:rPr>
          <w:rFonts w:eastAsia="Times New Roman"/>
        </w:rPr>
      </w:pPr>
    </w:p>
    <w:p w14:paraId="6B76DFAA" w14:textId="50E0FEA0" w:rsidR="00B04CCE" w:rsidRPr="009F59B1" w:rsidRDefault="00C12EEC" w:rsidP="00BD6D24">
      <w:r>
        <w:rPr>
          <w:rFonts w:eastAsia="Times New Roman"/>
        </w:rPr>
        <w:t xml:space="preserve"> </w:t>
      </w:r>
    </w:p>
    <w:p w14:paraId="562CB12E" w14:textId="3AB50AED" w:rsidR="004A48DE" w:rsidRPr="00961502" w:rsidRDefault="004A48DE" w:rsidP="004A48DE">
      <w:pPr>
        <w:pStyle w:val="Heading3"/>
        <w:shd w:val="clear" w:color="auto" w:fill="FFFFFF"/>
        <w:spacing w:before="0" w:beforeAutospacing="0" w:after="0" w:afterAutospacing="0"/>
        <w:contextualSpacing/>
        <w:jc w:val="both"/>
        <w:rPr>
          <w:rFonts w:eastAsia="BatangChe"/>
          <w:b w:val="0"/>
          <w:bCs w:val="0"/>
          <w:sz w:val="24"/>
          <w:szCs w:val="24"/>
        </w:rPr>
      </w:pPr>
      <w:r w:rsidRPr="00961502">
        <w:rPr>
          <w:rFonts w:eastAsia="BatangChe"/>
          <w:b w:val="0"/>
          <w:bCs w:val="0"/>
          <w:sz w:val="24"/>
          <w:szCs w:val="24"/>
        </w:rPr>
        <w:t>Valsts sekretāra vietnie</w:t>
      </w:r>
      <w:r w:rsidR="00306CB5">
        <w:rPr>
          <w:rFonts w:eastAsia="BatangChe"/>
          <w:b w:val="0"/>
          <w:bCs w:val="0"/>
          <w:sz w:val="24"/>
          <w:szCs w:val="24"/>
        </w:rPr>
        <w:t>ka</w:t>
      </w:r>
    </w:p>
    <w:p w14:paraId="0B9602B6" w14:textId="5B4D9C81" w:rsidR="004A48DE" w:rsidRPr="00F40B1D" w:rsidRDefault="004A48DE" w:rsidP="004A48DE">
      <w:pPr>
        <w:contextualSpacing/>
        <w:rPr>
          <w:rFonts w:eastAsia="BatangChe"/>
          <w:szCs w:val="24"/>
          <w:lang w:eastAsia="lv-LV"/>
        </w:rPr>
      </w:pPr>
      <w:r w:rsidRPr="00961502">
        <w:rPr>
          <w:rFonts w:eastAsia="BatangChe"/>
          <w:szCs w:val="24"/>
          <w:lang w:eastAsia="lv-LV"/>
        </w:rPr>
        <w:t xml:space="preserve">tiesību politikas jautājumos </w:t>
      </w:r>
      <w:proofErr w:type="spellStart"/>
      <w:r w:rsidR="00BF544B">
        <w:rPr>
          <w:rFonts w:eastAsia="BatangChe"/>
          <w:szCs w:val="24"/>
          <w:lang w:eastAsia="lv-LV"/>
        </w:rPr>
        <w:t>p.i</w:t>
      </w:r>
      <w:proofErr w:type="spellEnd"/>
      <w:r w:rsidR="00BF544B">
        <w:rPr>
          <w:rFonts w:eastAsia="BatangChe"/>
          <w:szCs w:val="24"/>
          <w:lang w:eastAsia="lv-LV"/>
        </w:rPr>
        <w:t>.</w:t>
      </w:r>
      <w:r w:rsidRPr="00961502">
        <w:rPr>
          <w:rFonts w:eastAsia="BatangChe"/>
          <w:szCs w:val="24"/>
          <w:lang w:eastAsia="lv-LV"/>
        </w:rPr>
        <w:tab/>
      </w:r>
      <w:r w:rsidRPr="00961502">
        <w:rPr>
          <w:rFonts w:eastAsia="BatangChe"/>
          <w:szCs w:val="24"/>
          <w:lang w:eastAsia="lv-LV"/>
        </w:rPr>
        <w:tab/>
      </w:r>
      <w:r w:rsidRPr="00961502">
        <w:rPr>
          <w:rFonts w:eastAsia="BatangChe"/>
          <w:szCs w:val="24"/>
          <w:lang w:eastAsia="lv-LV"/>
        </w:rPr>
        <w:tab/>
      </w:r>
      <w:r w:rsidRPr="00961502">
        <w:rPr>
          <w:rFonts w:eastAsia="BatangChe"/>
          <w:szCs w:val="24"/>
          <w:lang w:eastAsia="lv-LV"/>
        </w:rPr>
        <w:tab/>
      </w:r>
      <w:r>
        <w:rPr>
          <w:rFonts w:eastAsia="BatangChe"/>
          <w:szCs w:val="24"/>
          <w:lang w:eastAsia="lv-LV"/>
        </w:rPr>
        <w:t xml:space="preserve">                        </w:t>
      </w:r>
      <w:r w:rsidR="00387B1F">
        <w:rPr>
          <w:rFonts w:eastAsia="BatangChe"/>
          <w:szCs w:val="24"/>
          <w:lang w:eastAsia="lv-LV"/>
        </w:rPr>
        <w:t xml:space="preserve">                </w:t>
      </w:r>
      <w:proofErr w:type="spellStart"/>
      <w:r w:rsidR="00306CB5">
        <w:rPr>
          <w:rFonts w:eastAsia="BatangChe"/>
          <w:szCs w:val="24"/>
          <w:lang w:eastAsia="lv-LV"/>
        </w:rPr>
        <w:t>I.Aizupe</w:t>
      </w:r>
      <w:proofErr w:type="spellEnd"/>
    </w:p>
    <w:p w14:paraId="3FE8E87C" w14:textId="4B79D83B" w:rsidR="004A48DE" w:rsidRDefault="004A48DE" w:rsidP="004A48DE"/>
    <w:p w14:paraId="1C692155" w14:textId="77777777" w:rsidR="00306CB5" w:rsidRPr="009E6E1D" w:rsidRDefault="00306CB5" w:rsidP="004A48DE"/>
    <w:p w14:paraId="652BA56D" w14:textId="77777777" w:rsidR="004A48DE" w:rsidRDefault="004A48DE" w:rsidP="004A48DE">
      <w:pPr>
        <w:pStyle w:val="NoSpacing"/>
        <w:tabs>
          <w:tab w:val="left" w:pos="7675"/>
        </w:tabs>
        <w:contextualSpacing/>
        <w:rPr>
          <w:i/>
          <w:iCs/>
          <w:sz w:val="20"/>
          <w:szCs w:val="20"/>
        </w:rPr>
      </w:pPr>
      <w:r w:rsidRPr="00F41A66">
        <w:rPr>
          <w:i/>
          <w:iCs/>
          <w:sz w:val="20"/>
          <w:szCs w:val="20"/>
        </w:rPr>
        <w:t>Bērziņš</w:t>
      </w:r>
    </w:p>
    <w:p w14:paraId="56763245" w14:textId="77A662D0" w:rsidR="004A48DE" w:rsidRDefault="004A48DE" w:rsidP="004A48DE">
      <w:pPr>
        <w:pStyle w:val="NoSpacing"/>
        <w:tabs>
          <w:tab w:val="left" w:pos="7675"/>
        </w:tabs>
        <w:contextualSpacing/>
        <w:rPr>
          <w:i/>
          <w:iCs/>
          <w:sz w:val="20"/>
          <w:szCs w:val="20"/>
        </w:rPr>
      </w:pPr>
      <w:r w:rsidRPr="00F41A66">
        <w:rPr>
          <w:i/>
          <w:iCs/>
          <w:sz w:val="20"/>
          <w:szCs w:val="20"/>
        </w:rPr>
        <w:t>67036934</w:t>
      </w:r>
    </w:p>
    <w:p w14:paraId="40A8BACD" w14:textId="77777777" w:rsidR="00D34ED6" w:rsidRDefault="00D34ED6" w:rsidP="00D34ED6">
      <w:pPr>
        <w:pStyle w:val="NoSpacing"/>
        <w:rPr>
          <w:i/>
          <w:iCs/>
          <w:sz w:val="20"/>
          <w:szCs w:val="20"/>
        </w:rPr>
      </w:pPr>
    </w:p>
    <w:p w14:paraId="2FBF03CE" w14:textId="77777777" w:rsidR="00D34ED6" w:rsidRDefault="00D34ED6" w:rsidP="00D34ED6">
      <w:pPr>
        <w:pStyle w:val="NoSpacing"/>
        <w:rPr>
          <w:i/>
          <w:iCs/>
          <w:sz w:val="20"/>
          <w:szCs w:val="20"/>
        </w:rPr>
      </w:pPr>
      <w:r w:rsidRPr="005F2340">
        <w:rPr>
          <w:i/>
          <w:iCs/>
          <w:sz w:val="20"/>
          <w:szCs w:val="20"/>
        </w:rPr>
        <w:t>Upīte</w:t>
      </w:r>
    </w:p>
    <w:p w14:paraId="72BD4AF2" w14:textId="0B53FA89" w:rsidR="00D34ED6" w:rsidRPr="005F2340" w:rsidRDefault="00D34ED6" w:rsidP="00D34ED6">
      <w:pPr>
        <w:pStyle w:val="NoSpacing"/>
        <w:rPr>
          <w:i/>
          <w:iCs/>
          <w:sz w:val="20"/>
          <w:szCs w:val="20"/>
        </w:rPr>
      </w:pPr>
      <w:r w:rsidRPr="005F2340">
        <w:rPr>
          <w:i/>
          <w:iCs/>
          <w:sz w:val="20"/>
          <w:szCs w:val="20"/>
        </w:rPr>
        <w:t xml:space="preserve"> 67036995</w:t>
      </w:r>
    </w:p>
    <w:p w14:paraId="63F96C51" w14:textId="77777777" w:rsidR="00D34ED6" w:rsidRPr="00D34ED6" w:rsidRDefault="00D34ED6" w:rsidP="00D34ED6"/>
    <w:p w14:paraId="5E7C1C29" w14:textId="7FD14DA5" w:rsidR="00830970" w:rsidRDefault="00830970" w:rsidP="004A48DE"/>
    <w:p w14:paraId="72E6C974" w14:textId="77777777" w:rsidR="00902957" w:rsidRPr="004A48DE" w:rsidRDefault="00902957" w:rsidP="004A48DE"/>
    <w:sectPr w:rsidR="00902957" w:rsidRPr="004A48DE" w:rsidSect="00A34ACB">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1C2C" w14:textId="77777777" w:rsidR="00EC3533" w:rsidRDefault="00EC3533">
      <w:r>
        <w:separator/>
      </w:r>
    </w:p>
  </w:endnote>
  <w:endnote w:type="continuationSeparator" w:id="0">
    <w:p w14:paraId="5E7C1C2D"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1C2A" w14:textId="77777777" w:rsidR="00EC3533" w:rsidRDefault="00EC3533">
      <w:r>
        <w:separator/>
      </w:r>
    </w:p>
  </w:footnote>
  <w:footnote w:type="continuationSeparator" w:id="0">
    <w:p w14:paraId="5E7C1C2B"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6A2A4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09.03.2023</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1-13.9/763</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333998494">
    <w:abstractNumId w:val="10"/>
  </w:num>
  <w:num w:numId="2" w16cid:durableId="749428254">
    <w:abstractNumId w:val="8"/>
  </w:num>
  <w:num w:numId="3" w16cid:durableId="778332944">
    <w:abstractNumId w:val="7"/>
  </w:num>
  <w:num w:numId="4" w16cid:durableId="1222059931">
    <w:abstractNumId w:val="6"/>
  </w:num>
  <w:num w:numId="5" w16cid:durableId="518616487">
    <w:abstractNumId w:val="5"/>
  </w:num>
  <w:num w:numId="6" w16cid:durableId="683938116">
    <w:abstractNumId w:val="9"/>
  </w:num>
  <w:num w:numId="7" w16cid:durableId="501120161">
    <w:abstractNumId w:val="4"/>
  </w:num>
  <w:num w:numId="8" w16cid:durableId="225461626">
    <w:abstractNumId w:val="3"/>
  </w:num>
  <w:num w:numId="9" w16cid:durableId="2090612240">
    <w:abstractNumId w:val="2"/>
  </w:num>
  <w:num w:numId="10" w16cid:durableId="1703242596">
    <w:abstractNumId w:val="1"/>
  </w:num>
  <w:num w:numId="11" w16cid:durableId="131591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DAE"/>
    <w:rsid w:val="0000158D"/>
    <w:rsid w:val="00004656"/>
    <w:rsid w:val="00006384"/>
    <w:rsid w:val="00011176"/>
    <w:rsid w:val="00017FE1"/>
    <w:rsid w:val="0002095A"/>
    <w:rsid w:val="00023C33"/>
    <w:rsid w:val="00030349"/>
    <w:rsid w:val="00042740"/>
    <w:rsid w:val="00051AD5"/>
    <w:rsid w:val="000520AA"/>
    <w:rsid w:val="00052E14"/>
    <w:rsid w:val="00053758"/>
    <w:rsid w:val="00053C3F"/>
    <w:rsid w:val="000605AB"/>
    <w:rsid w:val="00060FB6"/>
    <w:rsid w:val="00063FD1"/>
    <w:rsid w:val="0006415A"/>
    <w:rsid w:val="00067129"/>
    <w:rsid w:val="00077037"/>
    <w:rsid w:val="0008074F"/>
    <w:rsid w:val="0008309A"/>
    <w:rsid w:val="00091267"/>
    <w:rsid w:val="00091ABD"/>
    <w:rsid w:val="000947F5"/>
    <w:rsid w:val="00094F50"/>
    <w:rsid w:val="00096D19"/>
    <w:rsid w:val="0009747C"/>
    <w:rsid w:val="000A09A5"/>
    <w:rsid w:val="000A1141"/>
    <w:rsid w:val="000B18FD"/>
    <w:rsid w:val="000B1A2B"/>
    <w:rsid w:val="000D3918"/>
    <w:rsid w:val="000D6929"/>
    <w:rsid w:val="000D77CA"/>
    <w:rsid w:val="000E4534"/>
    <w:rsid w:val="000E7A44"/>
    <w:rsid w:val="000E7F03"/>
    <w:rsid w:val="000F2CCF"/>
    <w:rsid w:val="000F3444"/>
    <w:rsid w:val="000F3F62"/>
    <w:rsid w:val="00101768"/>
    <w:rsid w:val="001059CD"/>
    <w:rsid w:val="00107E12"/>
    <w:rsid w:val="00111000"/>
    <w:rsid w:val="00124173"/>
    <w:rsid w:val="00133672"/>
    <w:rsid w:val="00134130"/>
    <w:rsid w:val="00135897"/>
    <w:rsid w:val="0015053B"/>
    <w:rsid w:val="00150F66"/>
    <w:rsid w:val="00151169"/>
    <w:rsid w:val="001528D8"/>
    <w:rsid w:val="0015472B"/>
    <w:rsid w:val="00160192"/>
    <w:rsid w:val="00160C44"/>
    <w:rsid w:val="00161383"/>
    <w:rsid w:val="001744FA"/>
    <w:rsid w:val="001746C2"/>
    <w:rsid w:val="00181477"/>
    <w:rsid w:val="00183341"/>
    <w:rsid w:val="00183828"/>
    <w:rsid w:val="0018454A"/>
    <w:rsid w:val="001856B8"/>
    <w:rsid w:val="00185E69"/>
    <w:rsid w:val="001952FF"/>
    <w:rsid w:val="0019706E"/>
    <w:rsid w:val="001A2D53"/>
    <w:rsid w:val="001A6654"/>
    <w:rsid w:val="001B16B0"/>
    <w:rsid w:val="001B1BB4"/>
    <w:rsid w:val="001C15BC"/>
    <w:rsid w:val="001C3759"/>
    <w:rsid w:val="001D4771"/>
    <w:rsid w:val="001E003F"/>
    <w:rsid w:val="001E7B8D"/>
    <w:rsid w:val="001F31A2"/>
    <w:rsid w:val="001F3328"/>
    <w:rsid w:val="00205B78"/>
    <w:rsid w:val="00206B95"/>
    <w:rsid w:val="00210433"/>
    <w:rsid w:val="00212714"/>
    <w:rsid w:val="00220816"/>
    <w:rsid w:val="0022180C"/>
    <w:rsid w:val="00230EEF"/>
    <w:rsid w:val="002316E6"/>
    <w:rsid w:val="00252502"/>
    <w:rsid w:val="0027479C"/>
    <w:rsid w:val="00274906"/>
    <w:rsid w:val="00275B9E"/>
    <w:rsid w:val="002765D0"/>
    <w:rsid w:val="00277C65"/>
    <w:rsid w:val="002801A0"/>
    <w:rsid w:val="00282E6E"/>
    <w:rsid w:val="00285E9A"/>
    <w:rsid w:val="002952E1"/>
    <w:rsid w:val="0029697D"/>
    <w:rsid w:val="0029740D"/>
    <w:rsid w:val="002A332D"/>
    <w:rsid w:val="002B2AE0"/>
    <w:rsid w:val="002B3077"/>
    <w:rsid w:val="002B494E"/>
    <w:rsid w:val="002D6336"/>
    <w:rsid w:val="002E1474"/>
    <w:rsid w:val="002E360F"/>
    <w:rsid w:val="002E4F88"/>
    <w:rsid w:val="002F711C"/>
    <w:rsid w:val="002F7CE9"/>
    <w:rsid w:val="00303D1A"/>
    <w:rsid w:val="00306CB5"/>
    <w:rsid w:val="00307196"/>
    <w:rsid w:val="00313AF5"/>
    <w:rsid w:val="003212F7"/>
    <w:rsid w:val="00327CE4"/>
    <w:rsid w:val="00335032"/>
    <w:rsid w:val="00337BB6"/>
    <w:rsid w:val="00350474"/>
    <w:rsid w:val="0035407B"/>
    <w:rsid w:val="00356782"/>
    <w:rsid w:val="003737DD"/>
    <w:rsid w:val="0037479E"/>
    <w:rsid w:val="00375EFD"/>
    <w:rsid w:val="00376184"/>
    <w:rsid w:val="003804A4"/>
    <w:rsid w:val="00382614"/>
    <w:rsid w:val="00382B1D"/>
    <w:rsid w:val="003859F5"/>
    <w:rsid w:val="00387B1F"/>
    <w:rsid w:val="00390CC1"/>
    <w:rsid w:val="00393887"/>
    <w:rsid w:val="0039405F"/>
    <w:rsid w:val="003A1528"/>
    <w:rsid w:val="003A3298"/>
    <w:rsid w:val="003A395D"/>
    <w:rsid w:val="003A619F"/>
    <w:rsid w:val="003B73A4"/>
    <w:rsid w:val="003C082B"/>
    <w:rsid w:val="003C112D"/>
    <w:rsid w:val="003C4CEC"/>
    <w:rsid w:val="003C6C3A"/>
    <w:rsid w:val="003D40A9"/>
    <w:rsid w:val="003D59C6"/>
    <w:rsid w:val="003E01D3"/>
    <w:rsid w:val="003E6117"/>
    <w:rsid w:val="003E7CD3"/>
    <w:rsid w:val="003F136F"/>
    <w:rsid w:val="003F34FF"/>
    <w:rsid w:val="003F4F74"/>
    <w:rsid w:val="003F66E0"/>
    <w:rsid w:val="003F6F36"/>
    <w:rsid w:val="00400D14"/>
    <w:rsid w:val="00403DCC"/>
    <w:rsid w:val="00404D1F"/>
    <w:rsid w:val="0040508A"/>
    <w:rsid w:val="00406B61"/>
    <w:rsid w:val="00410D35"/>
    <w:rsid w:val="00410FDE"/>
    <w:rsid w:val="00412B08"/>
    <w:rsid w:val="00420B7B"/>
    <w:rsid w:val="00420C89"/>
    <w:rsid w:val="004238A8"/>
    <w:rsid w:val="00430C7F"/>
    <w:rsid w:val="00435418"/>
    <w:rsid w:val="00435529"/>
    <w:rsid w:val="00441F52"/>
    <w:rsid w:val="00452C0F"/>
    <w:rsid w:val="00455C7D"/>
    <w:rsid w:val="00464261"/>
    <w:rsid w:val="004671E4"/>
    <w:rsid w:val="004673A7"/>
    <w:rsid w:val="00470DDD"/>
    <w:rsid w:val="00474A24"/>
    <w:rsid w:val="0047707E"/>
    <w:rsid w:val="004811EA"/>
    <w:rsid w:val="00481FF6"/>
    <w:rsid w:val="00483DE2"/>
    <w:rsid w:val="00484EB0"/>
    <w:rsid w:val="00487C01"/>
    <w:rsid w:val="00493308"/>
    <w:rsid w:val="004A19A4"/>
    <w:rsid w:val="004A24AC"/>
    <w:rsid w:val="004A48DE"/>
    <w:rsid w:val="004A5452"/>
    <w:rsid w:val="004B225C"/>
    <w:rsid w:val="004B3CD1"/>
    <w:rsid w:val="004C0E1B"/>
    <w:rsid w:val="004C70CC"/>
    <w:rsid w:val="004D2143"/>
    <w:rsid w:val="004D379D"/>
    <w:rsid w:val="004D7DC0"/>
    <w:rsid w:val="004E4A1C"/>
    <w:rsid w:val="004E75C1"/>
    <w:rsid w:val="004F0441"/>
    <w:rsid w:val="004F23EF"/>
    <w:rsid w:val="004F3436"/>
    <w:rsid w:val="004F4AF0"/>
    <w:rsid w:val="004F7B70"/>
    <w:rsid w:val="005115F2"/>
    <w:rsid w:val="005123E8"/>
    <w:rsid w:val="005311DD"/>
    <w:rsid w:val="00535564"/>
    <w:rsid w:val="00537907"/>
    <w:rsid w:val="00541003"/>
    <w:rsid w:val="00541097"/>
    <w:rsid w:val="00545F14"/>
    <w:rsid w:val="00557435"/>
    <w:rsid w:val="00563460"/>
    <w:rsid w:val="0056405D"/>
    <w:rsid w:val="00564C8D"/>
    <w:rsid w:val="00565CEA"/>
    <w:rsid w:val="00567450"/>
    <w:rsid w:val="00571BE7"/>
    <w:rsid w:val="00582543"/>
    <w:rsid w:val="0058349A"/>
    <w:rsid w:val="00585712"/>
    <w:rsid w:val="0058776B"/>
    <w:rsid w:val="005954AA"/>
    <w:rsid w:val="005A1FCB"/>
    <w:rsid w:val="005A30AD"/>
    <w:rsid w:val="005A6DD4"/>
    <w:rsid w:val="005B12D1"/>
    <w:rsid w:val="005B4812"/>
    <w:rsid w:val="005B4B3F"/>
    <w:rsid w:val="005C0C67"/>
    <w:rsid w:val="005C6BD7"/>
    <w:rsid w:val="005D1AA6"/>
    <w:rsid w:val="005D5377"/>
    <w:rsid w:val="005D672B"/>
    <w:rsid w:val="005E1B41"/>
    <w:rsid w:val="005E3345"/>
    <w:rsid w:val="005E38BE"/>
    <w:rsid w:val="005E5130"/>
    <w:rsid w:val="005E672B"/>
    <w:rsid w:val="005F7F9A"/>
    <w:rsid w:val="00615EE7"/>
    <w:rsid w:val="0061600E"/>
    <w:rsid w:val="00621516"/>
    <w:rsid w:val="00623591"/>
    <w:rsid w:val="00626D6E"/>
    <w:rsid w:val="006309C1"/>
    <w:rsid w:val="00632BFE"/>
    <w:rsid w:val="00641182"/>
    <w:rsid w:val="00643033"/>
    <w:rsid w:val="006445A8"/>
    <w:rsid w:val="006465D3"/>
    <w:rsid w:val="00647F44"/>
    <w:rsid w:val="00651FE4"/>
    <w:rsid w:val="00655882"/>
    <w:rsid w:val="00660E4C"/>
    <w:rsid w:val="00663C3A"/>
    <w:rsid w:val="00664BC5"/>
    <w:rsid w:val="0066599A"/>
    <w:rsid w:val="00671CC2"/>
    <w:rsid w:val="006774A3"/>
    <w:rsid w:val="006779E0"/>
    <w:rsid w:val="0068288D"/>
    <w:rsid w:val="00683832"/>
    <w:rsid w:val="00685C00"/>
    <w:rsid w:val="006A06B9"/>
    <w:rsid w:val="006A22AE"/>
    <w:rsid w:val="006A608A"/>
    <w:rsid w:val="006B242A"/>
    <w:rsid w:val="006B66EA"/>
    <w:rsid w:val="006C1639"/>
    <w:rsid w:val="006C29FF"/>
    <w:rsid w:val="006C6018"/>
    <w:rsid w:val="006C72E3"/>
    <w:rsid w:val="006D08F1"/>
    <w:rsid w:val="006D0FC0"/>
    <w:rsid w:val="006D32AC"/>
    <w:rsid w:val="006D371D"/>
    <w:rsid w:val="006F1612"/>
    <w:rsid w:val="006F4615"/>
    <w:rsid w:val="006F6D83"/>
    <w:rsid w:val="006F773C"/>
    <w:rsid w:val="00717D6A"/>
    <w:rsid w:val="007204CE"/>
    <w:rsid w:val="00720587"/>
    <w:rsid w:val="007213C3"/>
    <w:rsid w:val="00724680"/>
    <w:rsid w:val="00726E06"/>
    <w:rsid w:val="007308C5"/>
    <w:rsid w:val="0073542D"/>
    <w:rsid w:val="0074098C"/>
    <w:rsid w:val="0074290E"/>
    <w:rsid w:val="00747799"/>
    <w:rsid w:val="00747CCB"/>
    <w:rsid w:val="0075515D"/>
    <w:rsid w:val="00761A74"/>
    <w:rsid w:val="00761D13"/>
    <w:rsid w:val="007639DC"/>
    <w:rsid w:val="0076555B"/>
    <w:rsid w:val="007704BD"/>
    <w:rsid w:val="00771D41"/>
    <w:rsid w:val="00772648"/>
    <w:rsid w:val="00774908"/>
    <w:rsid w:val="00783B3E"/>
    <w:rsid w:val="00786FDC"/>
    <w:rsid w:val="00791D68"/>
    <w:rsid w:val="00792233"/>
    <w:rsid w:val="00793ACB"/>
    <w:rsid w:val="00794190"/>
    <w:rsid w:val="007A60D0"/>
    <w:rsid w:val="007A7BE6"/>
    <w:rsid w:val="007B3740"/>
    <w:rsid w:val="007B3BA5"/>
    <w:rsid w:val="007B48EC"/>
    <w:rsid w:val="007C52FB"/>
    <w:rsid w:val="007C66F3"/>
    <w:rsid w:val="007D7C23"/>
    <w:rsid w:val="007E0D0E"/>
    <w:rsid w:val="007E4D1F"/>
    <w:rsid w:val="007F3325"/>
    <w:rsid w:val="007F6081"/>
    <w:rsid w:val="007F683F"/>
    <w:rsid w:val="00814443"/>
    <w:rsid w:val="00815277"/>
    <w:rsid w:val="00816499"/>
    <w:rsid w:val="008177AE"/>
    <w:rsid w:val="0082333E"/>
    <w:rsid w:val="00830970"/>
    <w:rsid w:val="0083332C"/>
    <w:rsid w:val="00833D2A"/>
    <w:rsid w:val="00835F7B"/>
    <w:rsid w:val="008400C5"/>
    <w:rsid w:val="008415BA"/>
    <w:rsid w:val="00841C8A"/>
    <w:rsid w:val="008434DA"/>
    <w:rsid w:val="008521D8"/>
    <w:rsid w:val="00853414"/>
    <w:rsid w:val="00854E88"/>
    <w:rsid w:val="00865717"/>
    <w:rsid w:val="00871331"/>
    <w:rsid w:val="00872DC3"/>
    <w:rsid w:val="00874055"/>
    <w:rsid w:val="0087450D"/>
    <w:rsid w:val="00876C21"/>
    <w:rsid w:val="00883533"/>
    <w:rsid w:val="00887350"/>
    <w:rsid w:val="0089191F"/>
    <w:rsid w:val="00894C85"/>
    <w:rsid w:val="008A0557"/>
    <w:rsid w:val="008A679D"/>
    <w:rsid w:val="008B4C4E"/>
    <w:rsid w:val="008B5AE6"/>
    <w:rsid w:val="008B5C39"/>
    <w:rsid w:val="008C39E3"/>
    <w:rsid w:val="008C4844"/>
    <w:rsid w:val="008C5841"/>
    <w:rsid w:val="008D5119"/>
    <w:rsid w:val="008E22B6"/>
    <w:rsid w:val="008E341E"/>
    <w:rsid w:val="008E3CED"/>
    <w:rsid w:val="008E447C"/>
    <w:rsid w:val="008E6959"/>
    <w:rsid w:val="00900244"/>
    <w:rsid w:val="00902957"/>
    <w:rsid w:val="00911428"/>
    <w:rsid w:val="0091378A"/>
    <w:rsid w:val="0091632F"/>
    <w:rsid w:val="0091645F"/>
    <w:rsid w:val="00924626"/>
    <w:rsid w:val="00925BEC"/>
    <w:rsid w:val="00926B31"/>
    <w:rsid w:val="009333C5"/>
    <w:rsid w:val="00935944"/>
    <w:rsid w:val="00941532"/>
    <w:rsid w:val="00942B3A"/>
    <w:rsid w:val="00946312"/>
    <w:rsid w:val="00946B42"/>
    <w:rsid w:val="00954D5A"/>
    <w:rsid w:val="00956431"/>
    <w:rsid w:val="00962B3C"/>
    <w:rsid w:val="0096342D"/>
    <w:rsid w:val="009677FA"/>
    <w:rsid w:val="00970BC7"/>
    <w:rsid w:val="009750FF"/>
    <w:rsid w:val="00975637"/>
    <w:rsid w:val="00982527"/>
    <w:rsid w:val="00993415"/>
    <w:rsid w:val="009A1759"/>
    <w:rsid w:val="009A62EC"/>
    <w:rsid w:val="009B1945"/>
    <w:rsid w:val="009B2B2D"/>
    <w:rsid w:val="009B3835"/>
    <w:rsid w:val="009B6185"/>
    <w:rsid w:val="009B6C33"/>
    <w:rsid w:val="009C396F"/>
    <w:rsid w:val="009C6D93"/>
    <w:rsid w:val="009D0219"/>
    <w:rsid w:val="009D270E"/>
    <w:rsid w:val="009D4E48"/>
    <w:rsid w:val="009D56A7"/>
    <w:rsid w:val="009D6642"/>
    <w:rsid w:val="009D6B6A"/>
    <w:rsid w:val="009E3AC3"/>
    <w:rsid w:val="009E6EE3"/>
    <w:rsid w:val="009F26D1"/>
    <w:rsid w:val="009F52A0"/>
    <w:rsid w:val="009F59B1"/>
    <w:rsid w:val="009F5D8F"/>
    <w:rsid w:val="00A002F5"/>
    <w:rsid w:val="00A01721"/>
    <w:rsid w:val="00A15DA6"/>
    <w:rsid w:val="00A16298"/>
    <w:rsid w:val="00A3349E"/>
    <w:rsid w:val="00A34ACB"/>
    <w:rsid w:val="00A36255"/>
    <w:rsid w:val="00A430AC"/>
    <w:rsid w:val="00A45495"/>
    <w:rsid w:val="00A575AB"/>
    <w:rsid w:val="00A57A15"/>
    <w:rsid w:val="00A61230"/>
    <w:rsid w:val="00A61C54"/>
    <w:rsid w:val="00A61EF8"/>
    <w:rsid w:val="00A66C60"/>
    <w:rsid w:val="00A84FC7"/>
    <w:rsid w:val="00A85773"/>
    <w:rsid w:val="00A8769E"/>
    <w:rsid w:val="00A90EC8"/>
    <w:rsid w:val="00A977CB"/>
    <w:rsid w:val="00AA6C1C"/>
    <w:rsid w:val="00AA70E0"/>
    <w:rsid w:val="00AB4E8A"/>
    <w:rsid w:val="00AB65D5"/>
    <w:rsid w:val="00AB7936"/>
    <w:rsid w:val="00AC09A4"/>
    <w:rsid w:val="00AC1D9E"/>
    <w:rsid w:val="00AC270F"/>
    <w:rsid w:val="00AC6856"/>
    <w:rsid w:val="00AD475E"/>
    <w:rsid w:val="00AD7A85"/>
    <w:rsid w:val="00AD7FF2"/>
    <w:rsid w:val="00AE1DB4"/>
    <w:rsid w:val="00AF10A5"/>
    <w:rsid w:val="00AF37C4"/>
    <w:rsid w:val="00AF5C33"/>
    <w:rsid w:val="00AF65BF"/>
    <w:rsid w:val="00B00B2C"/>
    <w:rsid w:val="00B04CCE"/>
    <w:rsid w:val="00B1115B"/>
    <w:rsid w:val="00B15561"/>
    <w:rsid w:val="00B15684"/>
    <w:rsid w:val="00B15787"/>
    <w:rsid w:val="00B219D9"/>
    <w:rsid w:val="00B30209"/>
    <w:rsid w:val="00B363B4"/>
    <w:rsid w:val="00B36974"/>
    <w:rsid w:val="00B40E74"/>
    <w:rsid w:val="00B413B9"/>
    <w:rsid w:val="00B4390C"/>
    <w:rsid w:val="00B6033C"/>
    <w:rsid w:val="00B72F9D"/>
    <w:rsid w:val="00B76CF0"/>
    <w:rsid w:val="00B8332E"/>
    <w:rsid w:val="00B85114"/>
    <w:rsid w:val="00B863F2"/>
    <w:rsid w:val="00BA0E0F"/>
    <w:rsid w:val="00BA2958"/>
    <w:rsid w:val="00BA6ACC"/>
    <w:rsid w:val="00BB087F"/>
    <w:rsid w:val="00BC40B7"/>
    <w:rsid w:val="00BD3CB8"/>
    <w:rsid w:val="00BD6D24"/>
    <w:rsid w:val="00BE2C97"/>
    <w:rsid w:val="00BE337B"/>
    <w:rsid w:val="00BF092A"/>
    <w:rsid w:val="00BF544B"/>
    <w:rsid w:val="00BF5D24"/>
    <w:rsid w:val="00C01295"/>
    <w:rsid w:val="00C04896"/>
    <w:rsid w:val="00C11577"/>
    <w:rsid w:val="00C12EEC"/>
    <w:rsid w:val="00C13E1B"/>
    <w:rsid w:val="00C20E55"/>
    <w:rsid w:val="00C216F0"/>
    <w:rsid w:val="00C22D27"/>
    <w:rsid w:val="00C250A0"/>
    <w:rsid w:val="00C2549C"/>
    <w:rsid w:val="00C255D9"/>
    <w:rsid w:val="00C263BD"/>
    <w:rsid w:val="00C266A4"/>
    <w:rsid w:val="00C27F63"/>
    <w:rsid w:val="00C30041"/>
    <w:rsid w:val="00C30214"/>
    <w:rsid w:val="00C31067"/>
    <w:rsid w:val="00C33749"/>
    <w:rsid w:val="00C347CE"/>
    <w:rsid w:val="00C4438E"/>
    <w:rsid w:val="00C47F57"/>
    <w:rsid w:val="00C56232"/>
    <w:rsid w:val="00C73786"/>
    <w:rsid w:val="00C7462A"/>
    <w:rsid w:val="00C76A23"/>
    <w:rsid w:val="00C836FF"/>
    <w:rsid w:val="00C90552"/>
    <w:rsid w:val="00C939B6"/>
    <w:rsid w:val="00C942D5"/>
    <w:rsid w:val="00CA344B"/>
    <w:rsid w:val="00CA6CD9"/>
    <w:rsid w:val="00CB2DA9"/>
    <w:rsid w:val="00CB3DEC"/>
    <w:rsid w:val="00CB5E6D"/>
    <w:rsid w:val="00CC27BC"/>
    <w:rsid w:val="00CD5CA9"/>
    <w:rsid w:val="00CD6C36"/>
    <w:rsid w:val="00CE3205"/>
    <w:rsid w:val="00CE3E47"/>
    <w:rsid w:val="00CF0967"/>
    <w:rsid w:val="00CF0F7A"/>
    <w:rsid w:val="00CF21E2"/>
    <w:rsid w:val="00D005BB"/>
    <w:rsid w:val="00D06826"/>
    <w:rsid w:val="00D07A38"/>
    <w:rsid w:val="00D1079B"/>
    <w:rsid w:val="00D150F4"/>
    <w:rsid w:val="00D21FA6"/>
    <w:rsid w:val="00D221F9"/>
    <w:rsid w:val="00D30F6D"/>
    <w:rsid w:val="00D3140C"/>
    <w:rsid w:val="00D32E4C"/>
    <w:rsid w:val="00D34ED6"/>
    <w:rsid w:val="00D36D0F"/>
    <w:rsid w:val="00D3787B"/>
    <w:rsid w:val="00D42E87"/>
    <w:rsid w:val="00D54FDE"/>
    <w:rsid w:val="00D556AE"/>
    <w:rsid w:val="00D5580A"/>
    <w:rsid w:val="00D55B4B"/>
    <w:rsid w:val="00D56DB9"/>
    <w:rsid w:val="00D62894"/>
    <w:rsid w:val="00D808E5"/>
    <w:rsid w:val="00D82CFE"/>
    <w:rsid w:val="00D85ABF"/>
    <w:rsid w:val="00D911BC"/>
    <w:rsid w:val="00D926E3"/>
    <w:rsid w:val="00D960C0"/>
    <w:rsid w:val="00DA1653"/>
    <w:rsid w:val="00DA20D8"/>
    <w:rsid w:val="00DA73D5"/>
    <w:rsid w:val="00DA7448"/>
    <w:rsid w:val="00DB18F5"/>
    <w:rsid w:val="00DB22FF"/>
    <w:rsid w:val="00DC68B7"/>
    <w:rsid w:val="00DD5CD7"/>
    <w:rsid w:val="00DE4B3C"/>
    <w:rsid w:val="00DF2416"/>
    <w:rsid w:val="00E00AD3"/>
    <w:rsid w:val="00E017E0"/>
    <w:rsid w:val="00E075FB"/>
    <w:rsid w:val="00E07AD6"/>
    <w:rsid w:val="00E11441"/>
    <w:rsid w:val="00E11DA3"/>
    <w:rsid w:val="00E12DF6"/>
    <w:rsid w:val="00E1718F"/>
    <w:rsid w:val="00E21BCE"/>
    <w:rsid w:val="00E255C9"/>
    <w:rsid w:val="00E25DF4"/>
    <w:rsid w:val="00E3147B"/>
    <w:rsid w:val="00E365CE"/>
    <w:rsid w:val="00E40434"/>
    <w:rsid w:val="00E40DDC"/>
    <w:rsid w:val="00E440A6"/>
    <w:rsid w:val="00E44743"/>
    <w:rsid w:val="00E46F70"/>
    <w:rsid w:val="00E47E69"/>
    <w:rsid w:val="00E50159"/>
    <w:rsid w:val="00E51A7A"/>
    <w:rsid w:val="00E56959"/>
    <w:rsid w:val="00E62492"/>
    <w:rsid w:val="00E64A2D"/>
    <w:rsid w:val="00E81E5F"/>
    <w:rsid w:val="00E853D7"/>
    <w:rsid w:val="00E863D0"/>
    <w:rsid w:val="00E90029"/>
    <w:rsid w:val="00E92A91"/>
    <w:rsid w:val="00E93FFE"/>
    <w:rsid w:val="00EA0215"/>
    <w:rsid w:val="00EA0AE6"/>
    <w:rsid w:val="00EA2C81"/>
    <w:rsid w:val="00EA331D"/>
    <w:rsid w:val="00EA52E7"/>
    <w:rsid w:val="00EA6492"/>
    <w:rsid w:val="00EC3533"/>
    <w:rsid w:val="00EC471A"/>
    <w:rsid w:val="00EC602B"/>
    <w:rsid w:val="00EC6761"/>
    <w:rsid w:val="00ED0257"/>
    <w:rsid w:val="00EE12C8"/>
    <w:rsid w:val="00EE1A45"/>
    <w:rsid w:val="00EE3ACE"/>
    <w:rsid w:val="00EF6FA7"/>
    <w:rsid w:val="00F11E81"/>
    <w:rsid w:val="00F134BD"/>
    <w:rsid w:val="00F17D52"/>
    <w:rsid w:val="00F21556"/>
    <w:rsid w:val="00F229B2"/>
    <w:rsid w:val="00F22C18"/>
    <w:rsid w:val="00F25E19"/>
    <w:rsid w:val="00F32AE6"/>
    <w:rsid w:val="00F434EA"/>
    <w:rsid w:val="00F5254F"/>
    <w:rsid w:val="00F54710"/>
    <w:rsid w:val="00F549A5"/>
    <w:rsid w:val="00F60586"/>
    <w:rsid w:val="00F648E7"/>
    <w:rsid w:val="00F654F7"/>
    <w:rsid w:val="00F715AE"/>
    <w:rsid w:val="00F74FB7"/>
    <w:rsid w:val="00F82682"/>
    <w:rsid w:val="00F833C2"/>
    <w:rsid w:val="00F8342D"/>
    <w:rsid w:val="00F84691"/>
    <w:rsid w:val="00FA421C"/>
    <w:rsid w:val="00FA55F1"/>
    <w:rsid w:val="00FA6058"/>
    <w:rsid w:val="00FB17FD"/>
    <w:rsid w:val="00FB350C"/>
    <w:rsid w:val="00FB53A4"/>
    <w:rsid w:val="00FB5769"/>
    <w:rsid w:val="00FC36CC"/>
    <w:rsid w:val="00FC5744"/>
    <w:rsid w:val="00FD0313"/>
    <w:rsid w:val="00FD1D60"/>
    <w:rsid w:val="00FD6406"/>
    <w:rsid w:val="00FE03C8"/>
    <w:rsid w:val="00FE5863"/>
    <w:rsid w:val="00FF0E6F"/>
    <w:rsid w:val="00FF29F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9"/>
    <w:unhideWhenUsed/>
    <w:qFormat/>
    <w:rsid w:val="004A48DE"/>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3542D"/>
    <w:pPr>
      <w:widowControl/>
      <w:spacing w:before="75" w:after="75"/>
      <w:jc w:val="left"/>
    </w:pPr>
    <w:rPr>
      <w:rFonts w:eastAsia="Times New Roman"/>
      <w:szCs w:val="24"/>
      <w:lang w:eastAsia="lv-LV"/>
    </w:rPr>
  </w:style>
  <w:style w:type="character" w:customStyle="1" w:styleId="Heading3Char">
    <w:name w:val="Heading 3 Char"/>
    <w:basedOn w:val="DefaultParagraphFont"/>
    <w:link w:val="Heading3"/>
    <w:uiPriority w:val="99"/>
    <w:rsid w:val="004A48DE"/>
    <w:rPr>
      <w:rFonts w:ascii="Times New Roman" w:eastAsia="Times New Roman" w:hAnsi="Times New Roman"/>
      <w:b/>
      <w:bCs/>
      <w:sz w:val="27"/>
      <w:szCs w:val="27"/>
    </w:rPr>
  </w:style>
  <w:style w:type="paragraph" w:styleId="FootnoteText">
    <w:name w:val="footnote text"/>
    <w:basedOn w:val="Normal"/>
    <w:link w:val="FootnoteTextChar"/>
    <w:uiPriority w:val="99"/>
    <w:semiHidden/>
    <w:unhideWhenUsed/>
    <w:rsid w:val="000D77CA"/>
    <w:rPr>
      <w:sz w:val="20"/>
      <w:szCs w:val="20"/>
    </w:rPr>
  </w:style>
  <w:style w:type="character" w:customStyle="1" w:styleId="FootnoteTextChar">
    <w:name w:val="Footnote Text Char"/>
    <w:basedOn w:val="DefaultParagraphFont"/>
    <w:link w:val="FootnoteText"/>
    <w:uiPriority w:val="99"/>
    <w:semiHidden/>
    <w:rsid w:val="000D77CA"/>
    <w:rPr>
      <w:rFonts w:ascii="Times New Roman" w:hAnsi="Times New Roman"/>
      <w:lang w:eastAsia="en-US"/>
    </w:rPr>
  </w:style>
  <w:style w:type="character" w:styleId="FootnoteReference">
    <w:name w:val="footnote reference"/>
    <w:basedOn w:val="DefaultParagraphFont"/>
    <w:uiPriority w:val="99"/>
    <w:semiHidden/>
    <w:unhideWhenUsed/>
    <w:rsid w:val="000D77CA"/>
    <w:rPr>
      <w:vertAlign w:val="superscript"/>
    </w:rPr>
  </w:style>
  <w:style w:type="paragraph" w:styleId="ListParagraph">
    <w:name w:val="List Paragraph"/>
    <w:basedOn w:val="Normal"/>
    <w:uiPriority w:val="34"/>
    <w:qFormat/>
    <w:rsid w:val="00F74FB7"/>
    <w:pPr>
      <w:spacing w:after="200" w:line="276" w:lineRule="auto"/>
      <w:ind w:left="720"/>
      <w:contextualSpacing/>
      <w:jc w:val="left"/>
    </w:pPr>
    <w:rPr>
      <w:rFonts w:ascii="Calibri" w:hAnsi="Calibri"/>
      <w:sz w:val="22"/>
    </w:rPr>
  </w:style>
  <w:style w:type="paragraph" w:styleId="Revision">
    <w:name w:val="Revision"/>
    <w:hidden/>
    <w:uiPriority w:val="99"/>
    <w:semiHidden/>
    <w:rsid w:val="00111000"/>
    <w:rPr>
      <w:rFonts w:ascii="Times New Roman" w:hAnsi="Times New Roman"/>
      <w:sz w:val="24"/>
      <w:szCs w:val="22"/>
      <w:lang w:eastAsia="en-US"/>
    </w:rPr>
  </w:style>
  <w:style w:type="character" w:styleId="CommentReference">
    <w:name w:val="annotation reference"/>
    <w:basedOn w:val="DefaultParagraphFont"/>
    <w:uiPriority w:val="99"/>
    <w:semiHidden/>
    <w:unhideWhenUsed/>
    <w:rsid w:val="00390CC1"/>
    <w:rPr>
      <w:sz w:val="16"/>
      <w:szCs w:val="16"/>
    </w:rPr>
  </w:style>
  <w:style w:type="paragraph" w:styleId="CommentText">
    <w:name w:val="annotation text"/>
    <w:basedOn w:val="Normal"/>
    <w:link w:val="CommentTextChar"/>
    <w:uiPriority w:val="99"/>
    <w:unhideWhenUsed/>
    <w:rsid w:val="00390CC1"/>
    <w:rPr>
      <w:sz w:val="20"/>
      <w:szCs w:val="20"/>
    </w:rPr>
  </w:style>
  <w:style w:type="character" w:customStyle="1" w:styleId="CommentTextChar">
    <w:name w:val="Comment Text Char"/>
    <w:basedOn w:val="DefaultParagraphFont"/>
    <w:link w:val="CommentText"/>
    <w:uiPriority w:val="99"/>
    <w:rsid w:val="00390CC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90CC1"/>
    <w:rPr>
      <w:b/>
      <w:bCs/>
    </w:rPr>
  </w:style>
  <w:style w:type="character" w:customStyle="1" w:styleId="CommentSubjectChar">
    <w:name w:val="Comment Subject Char"/>
    <w:basedOn w:val="CommentTextChar"/>
    <w:link w:val="CommentSubject"/>
    <w:uiPriority w:val="99"/>
    <w:semiHidden/>
    <w:rsid w:val="00390CC1"/>
    <w:rPr>
      <w:rFonts w:ascii="Times New Roman" w:hAnsi="Times New Roman"/>
      <w:b/>
      <w:bCs/>
      <w:lang w:eastAsia="en-US"/>
    </w:rPr>
  </w:style>
  <w:style w:type="character" w:styleId="UnresolvedMention">
    <w:name w:val="Unresolved Mention"/>
    <w:basedOn w:val="DefaultParagraphFont"/>
    <w:uiPriority w:val="99"/>
    <w:semiHidden/>
    <w:unhideWhenUsed/>
    <w:rsid w:val="005C0C67"/>
    <w:rPr>
      <w:color w:val="605E5C"/>
      <w:shd w:val="clear" w:color="auto" w:fill="E1DFDD"/>
    </w:rPr>
  </w:style>
  <w:style w:type="paragraph" w:customStyle="1" w:styleId="tv2132">
    <w:name w:val="tv2132"/>
    <w:basedOn w:val="Normal"/>
    <w:rsid w:val="002B494E"/>
    <w:pPr>
      <w:widowControl/>
      <w:spacing w:line="360" w:lineRule="auto"/>
      <w:ind w:firstLine="300"/>
      <w:jc w:val="left"/>
    </w:pPr>
    <w:rPr>
      <w:rFonts w:eastAsia="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2256">
      <w:bodyDiv w:val="1"/>
      <w:marLeft w:val="0"/>
      <w:marRight w:val="0"/>
      <w:marTop w:val="0"/>
      <w:marBottom w:val="0"/>
      <w:divBdr>
        <w:top w:val="none" w:sz="0" w:space="0" w:color="auto"/>
        <w:left w:val="none" w:sz="0" w:space="0" w:color="auto"/>
        <w:bottom w:val="none" w:sz="0" w:space="0" w:color="auto"/>
        <w:right w:val="none" w:sz="0" w:space="0" w:color="auto"/>
      </w:divBdr>
    </w:div>
    <w:div w:id="291715927">
      <w:bodyDiv w:val="1"/>
      <w:marLeft w:val="0"/>
      <w:marRight w:val="0"/>
      <w:marTop w:val="0"/>
      <w:marBottom w:val="0"/>
      <w:divBdr>
        <w:top w:val="none" w:sz="0" w:space="0" w:color="auto"/>
        <w:left w:val="none" w:sz="0" w:space="0" w:color="auto"/>
        <w:bottom w:val="none" w:sz="0" w:space="0" w:color="auto"/>
        <w:right w:val="none" w:sz="0" w:space="0" w:color="auto"/>
      </w:divBdr>
    </w:div>
    <w:div w:id="457726502">
      <w:bodyDiv w:val="1"/>
      <w:marLeft w:val="0"/>
      <w:marRight w:val="0"/>
      <w:marTop w:val="0"/>
      <w:marBottom w:val="0"/>
      <w:divBdr>
        <w:top w:val="none" w:sz="0" w:space="0" w:color="auto"/>
        <w:left w:val="none" w:sz="0" w:space="0" w:color="auto"/>
        <w:bottom w:val="none" w:sz="0" w:space="0" w:color="auto"/>
        <w:right w:val="none" w:sz="0" w:space="0" w:color="auto"/>
      </w:divBdr>
    </w:div>
    <w:div w:id="580867470">
      <w:bodyDiv w:val="1"/>
      <w:marLeft w:val="0"/>
      <w:marRight w:val="0"/>
      <w:marTop w:val="0"/>
      <w:marBottom w:val="0"/>
      <w:divBdr>
        <w:top w:val="none" w:sz="0" w:space="0" w:color="auto"/>
        <w:left w:val="none" w:sz="0" w:space="0" w:color="auto"/>
        <w:bottom w:val="none" w:sz="0" w:space="0" w:color="auto"/>
        <w:right w:val="none" w:sz="0" w:space="0" w:color="auto"/>
      </w:divBdr>
    </w:div>
    <w:div w:id="613446738">
      <w:bodyDiv w:val="1"/>
      <w:marLeft w:val="0"/>
      <w:marRight w:val="0"/>
      <w:marTop w:val="0"/>
      <w:marBottom w:val="0"/>
      <w:divBdr>
        <w:top w:val="none" w:sz="0" w:space="0" w:color="auto"/>
        <w:left w:val="none" w:sz="0" w:space="0" w:color="auto"/>
        <w:bottom w:val="none" w:sz="0" w:space="0" w:color="auto"/>
        <w:right w:val="none" w:sz="0" w:space="0" w:color="auto"/>
      </w:divBdr>
    </w:div>
    <w:div w:id="778262222">
      <w:bodyDiv w:val="1"/>
      <w:marLeft w:val="0"/>
      <w:marRight w:val="0"/>
      <w:marTop w:val="0"/>
      <w:marBottom w:val="0"/>
      <w:divBdr>
        <w:top w:val="none" w:sz="0" w:space="0" w:color="auto"/>
        <w:left w:val="none" w:sz="0" w:space="0" w:color="auto"/>
        <w:bottom w:val="none" w:sz="0" w:space="0" w:color="auto"/>
        <w:right w:val="none" w:sz="0" w:space="0" w:color="auto"/>
      </w:divBdr>
    </w:div>
    <w:div w:id="1059204010">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90361761">
      <w:bodyDiv w:val="1"/>
      <w:marLeft w:val="0"/>
      <w:marRight w:val="0"/>
      <w:marTop w:val="0"/>
      <w:marBottom w:val="0"/>
      <w:divBdr>
        <w:top w:val="none" w:sz="0" w:space="0" w:color="auto"/>
        <w:left w:val="none" w:sz="0" w:space="0" w:color="auto"/>
        <w:bottom w:val="none" w:sz="0" w:space="0" w:color="auto"/>
        <w:right w:val="none" w:sz="0" w:space="0" w:color="auto"/>
      </w:divBdr>
    </w:div>
    <w:div w:id="1521704127">
      <w:bodyDiv w:val="1"/>
      <w:marLeft w:val="0"/>
      <w:marRight w:val="0"/>
      <w:marTop w:val="0"/>
      <w:marBottom w:val="0"/>
      <w:divBdr>
        <w:top w:val="none" w:sz="0" w:space="0" w:color="auto"/>
        <w:left w:val="none" w:sz="0" w:space="0" w:color="auto"/>
        <w:bottom w:val="none" w:sz="0" w:space="0" w:color="auto"/>
        <w:right w:val="none" w:sz="0" w:space="0" w:color="auto"/>
      </w:divBdr>
    </w:div>
    <w:div w:id="1661957607">
      <w:bodyDiv w:val="1"/>
      <w:marLeft w:val="0"/>
      <w:marRight w:val="0"/>
      <w:marTop w:val="0"/>
      <w:marBottom w:val="0"/>
      <w:divBdr>
        <w:top w:val="none" w:sz="0" w:space="0" w:color="auto"/>
        <w:left w:val="none" w:sz="0" w:space="0" w:color="auto"/>
        <w:bottom w:val="none" w:sz="0" w:space="0" w:color="auto"/>
        <w:right w:val="none" w:sz="0" w:space="0" w:color="auto"/>
      </w:divBdr>
    </w:div>
    <w:div w:id="1708602246">
      <w:bodyDiv w:val="1"/>
      <w:marLeft w:val="0"/>
      <w:marRight w:val="0"/>
      <w:marTop w:val="0"/>
      <w:marBottom w:val="0"/>
      <w:divBdr>
        <w:top w:val="none" w:sz="0" w:space="0" w:color="auto"/>
        <w:left w:val="none" w:sz="0" w:space="0" w:color="auto"/>
        <w:bottom w:val="none" w:sz="0" w:space="0" w:color="auto"/>
        <w:right w:val="none" w:sz="0" w:space="0" w:color="auto"/>
      </w:divBdr>
    </w:div>
    <w:div w:id="1758361161">
      <w:bodyDiv w:val="1"/>
      <w:marLeft w:val="0"/>
      <w:marRight w:val="0"/>
      <w:marTop w:val="0"/>
      <w:marBottom w:val="0"/>
      <w:divBdr>
        <w:top w:val="none" w:sz="0" w:space="0" w:color="auto"/>
        <w:left w:val="none" w:sz="0" w:space="0" w:color="auto"/>
        <w:bottom w:val="none" w:sz="0" w:space="0" w:color="auto"/>
        <w:right w:val="none" w:sz="0" w:space="0" w:color="auto"/>
      </w:divBdr>
    </w:div>
    <w:div w:id="207646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D438E-51FC-4FBB-9050-5D4BE666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7728</Words>
  <Characters>4406</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dc:description>67036934, janis.berzins@tm.gov.lv</dc:description>
  <cp:lastModifiedBy>Ruta Veidliņa</cp:lastModifiedBy>
  <cp:revision>2</cp:revision>
  <cp:lastPrinted>2015-01-09T08:13:00Z</cp:lastPrinted>
  <dcterms:created xsi:type="dcterms:W3CDTF">2023-03-10T11:13:00Z</dcterms:created>
  <dcterms:modified xsi:type="dcterms:W3CDTF">2023-03-10T11:13:00Z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