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2007. gada 27. marta noteikumos Nr. 220 "Zāļu iegādes, uzglabāšanas, izlietošanas, uzskaites un iznīcināšanas kārtība ārstniecības iestādēs un sociālās aprūpes institūcijās"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(20.06.2020.)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"Grozījumi Ministru kabineta 2007.gada 27.marta noteikumos Nr.220 "Zāļu iegādes, uzglabāšanas, izlietošanas, uzskaites un iznīcināšanas kārtība ārstniecības iestādēs un sociālās aprūpes institūcijās"" sākotnējās ietekmes (ex-ante) novērtējuma ziņojumu (anotāciju) (turpmāk – anotācija) papildināt ar pamatojumu par nepieciešamību grozīt Ministru kabineta 2007.gada 27.marta noteikumus Nr.220 "Zāļu iegādes, uzglabāšanas, izlietošanas, uzskaites un iznīcināšanas kārtība ārstniecības iestādēs un sociālās aprūpes institūcijās" (turpmāk – noteikumi Nr.220).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2000.gada 26.septembra noteikumi Nr.330 "Vakcinācijas noteikumi" (turpmāk - noteikumi Nr.330) citstarp ir izdoti, pamatojoties uz Epidemioloģiskās drošības likuma 31.panta piekto daļu, kas noteic, ka Ministru kabinets nosaka obligātās minimālā nodrošinājuma prasības vakcinācijas veikšanai. Jau šobrīd noteikumu Nr.330 18. un 18.</w:t>
            </w:r>
            <w:r w:rsidR="00000000" w:rsidRPr="00000000" w:rsidDel="00000000">
              <w:rPr>
                <w:vertAlign w:val="superscript"/>
                <w:rtl w:val="0"/>
              </w:rPr>
              <w:t xml:space="preserve">1</w:t>
            </w:r>
            <w:r w:rsidR="00000000" w:rsidRPr="00000000" w:rsidDel="00000000">
              <w:rPr>
                <w:rtl w:val="0"/>
              </w:rPr>
              <w:t xml:space="preserve"> punktā ir ietvertas prasības par vakcīnu uzglabāšanu ledusskapī pirms vakcinācijas veikšanas. Tādējādi anotācijā ir nepieciešams sniegt pamatojumu, kāpēc konkrētajā gadījumā nav pietiekami tikai ar grozījumu veikšanu noteikumos Nr.330, kuros ir ietverts speciālais regulējums attiecībā uz nodrošinājuma prasībām vakcinācijas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detalizētu pamatojumu, ka Farmācijas likuma 5.panta 7.punktā Ministru kabinetam ietvertais pilnvarojums (noteikt kārtību, kādā ārstniecības iestādes un sociālās aprūpes institūcijas iegādājas, uzglabā un izlieto zāles) ietver arī pilnvarojumu noteikt kārtību, kādā ārstniecības iestādes saņem no citām ārstniecības iestādēm un nodod citām ārstniecības iestādēm vakcīnas.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vēl precīzāk tiek norādīts, ka vakcīnas ir zāles, un zāļu aprites noteikumi regulē arī vakcīnu apriti, tādēļ uz vakcīnu saņemšanu un nodošanu ir attiecināmi noteikumi Nr. 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noteikumi regulē tikai nosacījumus, kas tieši attiecas uz vakcinācijas procesa veikšanu, savukārt, ja vakcīnas (kā visas zāles) tiek piegādātas ārstniecības iestādei, ir jāievēro zāļu aprites normatīvie akti. Tieši tādēļ Vakcinācijas noteikumu 18. un 18.</w:t>
            </w:r>
            <w:r w:rsidR="00000000" w:rsidRPr="00000000" w:rsidDel="00000000">
              <w:rPr>
                <w:vertAlign w:val="superscript"/>
                <w:rtl w:val="0"/>
              </w:rPr>
              <w:t xml:space="preserve">1</w:t>
            </w:r>
            <w:r w:rsidR="00000000" w:rsidRPr="00000000" w:rsidDel="00000000">
              <w:rPr>
                <w:rtl w:val="0"/>
              </w:rPr>
              <w:t xml:space="preserve"> punktā ir ietvertas prasības par vakcīnu uzglabāšanu ledusskapī pirms vakcinācijas veikšanas, jo tas ir tieši saistīts ar vakcinācijas procesa fizisku veikšanu. Lai vakcīnu pārvestu no vienas ārstniecības iestādes uz citu ārstniecības iestādi, ārkārtīgi būtiski ir pārliecināties, ka ārstniecības iestādes aukstumiekārta spēj nepārtraukti reģistrēt temperatūras režīmu, arī vakcīnu transportēšanas laikā ir stingri jāievēro vakcīnas uzglabāšanas nosacījumi, jo gripas vakcīna ir "nestabila" pret temperatūras izmaiņām un, stingri neievērojot gripas vakcīnas temperatūras režīmu visos vakcīnas aprites posmos, gripas vakcīna "zaudēs savu iedarbīgumu". Tieši tādēļ ļoti būtiski ir ievērot zāļu aprites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grozījumi attiecībā uz vakcīnu saņemšanu un nodošanu citai vakcinācijas iestādei tiek veikti tikai Vakcinācijas noteikumos, veidosies pretruna ar noteikumiem Nr.220, jo tādās ārstniecības iestādēs kā ģimenes ārstu praksēs nav savas slēgta tipa aptiekas, kas nodrošina zāļu (arī vakcīnu)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vakcīnas ir zāles un uz vakcīnām ir attiecināmi noteikumi Nr.220, vakcīnu pārvietošana no vienas ārstniecības iestādes uz citu ārstniecības iestādi attiecas uz zāļu iegādes, uzglabāšanas un izlietošanas kārtību, kas atbilst Farmācijas likuma 5.panta 7.punktā noteiktajam deleģējumam, kas dots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plānotie grozījumi atbilst Farmācijas likumā ietvertajam pilnvarojumam, jo zāļu (šajā gadījumā - vakcīnu) nodošana no vienas iestādes citai klasificējama kā zāļu izplatīšana.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izstrādāts ar mērķi izveidot regulējumu, kas pieļautu vakcīnu nodošanu no vienas ārstniecības iestādes citai ārstniecības iestādei, lūdzam papildināt anotāciju, norādot no kādiem līdzekļiem tiks nodrošināts vakcīnu nodošanas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7.septembra noteikumu Nr. 617 "Tiesību akta projekta sākotnējās ietekmes izvērtēšanas kārtība" 15.punktā paredzēto - visiem projektiem aizpilda šo noteikumu 14.1., 14.2., 14.6. un </w:t>
            </w:r>
            <w:r w:rsidR="00000000" w:rsidRPr="00000000" w:rsidDel="00000000">
              <w:rPr>
                <w:b w:val="1"/>
                <w:rtl w:val="0"/>
              </w:rPr>
              <w:t xml:space="preserve">14.7.</w:t>
            </w:r>
            <w:r w:rsidR="00000000" w:rsidRPr="00000000" w:rsidDel="00000000">
              <w:rPr>
                <w:rtl w:val="0"/>
              </w:rPr>
              <w:t xml:space="preserve"> (projekta izpildes nodrošināšana un tās ietekme uz institūcijām) apakšpunktā minēto anotācijas sadaļu, lūdzam aizpildīt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24-TA-2188</w:t>
    </w:r>
    <w:r>
      <w:br/>
    </w:r>
    <w:r w:rsidR="00000000" w:rsidRPr="00000000" w:rsidDel="00000000">
      <w:rPr>
        <w:rtl w:val="0"/>
      </w:rPr>
      <w:t xml:space="preserve">13.11.2024. 12.19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24-TA-2188</w:t>
    </w:r>
    <w:r>
      <w:br/>
    </w:r>
    <w:r w:rsidR="00000000" w:rsidRPr="00000000" w:rsidDel="00000000">
      <w:rPr>
        <w:rtl w:val="0"/>
      </w:rPr>
      <w:t xml:space="preserve">13.11.2024. 12.19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Izziņa_24-TA-2188.docx</dc:title>
</cp:coreProperties>
</file>

<file path=docProps/custom.xml><?xml version="1.0" encoding="utf-8"?>
<Properties xmlns="http://schemas.openxmlformats.org/officeDocument/2006/custom-properties" xmlns:vt="http://schemas.openxmlformats.org/officeDocument/2006/docPropsVTypes"/>
</file>