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administrēšanas un uzraudzības noteikumi intervencē "Atbalsts meža bojājumu profilaksei"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neizmaksā un saistības pārtrauc, ja atbalsta saņēmējs nav pilnībā ievērojis nosacījumus un izpildījis saistības noteiktajā laikā un apjomā vai Lauku atbalsta dienestā iesniegtajos dokumentos konstatēta neatbilstība projekta mērķiem un sasniedzamajiem rādītājiem vai konstatēti pārkāpumi saistībā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intervences LA7 “Ieguldījumi ilgtspējā mežsaimniecībā”, kurā iekļaujas LA 7.2. intervence, kā arī tai pietuvinātā intervence LA8 “Atbalsts meža ekosistēmu noturības un ekoloģiskās vērtības uzlabošanai uzturēšanai” ir tieši vērstas uz mežu ekosistēmu saglabāšanu un ilgtspējīgu mežsaimniecību, ir jāparedz, ka atbalstu neizmaksā un saistības pārtrauc arī tādos gadījumos, kuros projekta teritorijā netiek ievērotas dabas aizsardzības prasības. Šī aspekta iekļaušana noteikumu projektā veicinās saskaņu starp ES fondu finansētajiem mērķiem un atbalstīs reģiona mērķus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neizmaksā un saistības pārtrauc, ja atbalsta saņēmējs nav pilnībā ievērojis nosacījumus un izpildījis saistības noteiktajā laikā un apjomā vai Lauku atbalsta dienestā iesniegtajos dokumentos konstatēta neatbilstība projekta mērķiem un sasniedzamajiem rādītājiem vai konstatēti pārkāpumi saistībā ar projekta īstenošanu, kā arī ja ir pārkāptas dabas aizsardzības prasības projekta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pieminēto intervenču LA 7.1. “Ieguldījumi meža ieaudzēšanai, nomaiņai, atjaunošanai un retināšanai” un intervencē LA 8. “Atbalsts meža ekosistēmu noturības un ekoloģiskās vērtības uzlabošanai un uzturēšanai” kārtību, kādā piešķir, administrē un uzrauga valsts un Eiropas Savienības atbalsta piešķiršanas kārtību nosaka cits normatīvais akts - 2023. gada 3. oktobra Ministru Kabineta noteikumi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 un tajā ir definētas citas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normatīvā akta projekts nosaka kārtību, kādā piešķir, administrē un uzrauga valsts un Eiropas Savienības atbalsta piešķiršanas kārtību citai intervencei – LA7.2. "Atbalsts meža bojājumu profilaksei". Intervences LA7.2. “Atbalsts meža bojājumu profilaksei" mērķis attīstīt un pilnveidot profilaktiskos pasākumus, ietverot šādas darbības piem., meža ugunsdrošības novērošanas iekārtu tīkla izveidošana un pilnveidošana, sakaru aprīkojuma tīkla izveidošana un pilnveidošana, kaitēkļu un slimību monitoringa iekārtu un sakaru aprīkojuma tīkla izveidošana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neizmaksā un saistības pārtrauc, ja atbalsta saņēmējs nav pilnībā ievērojis nosacījumus un izpildījis saistības noteiktajā laikā un apjomā vai Lauku atbalsta dienestā iesniegtajos dokumentos konstatēta neatbilstība projekta mērķiem un sasniedzamajiem rādītājiem, vai konstatēti pārkāpumi saistībā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neizmaksā un saistības pārtrauc, ja atbalsta saņēmējs nav pilnībā ievērojis nosacījumus un izpildījis saistības noteiktajā laikā un apjomā vai Lauku atbalsta dienestā iesniegtajos dokumentos konstatēta neatbilstība projekta mērķiem un sasniedzamajiem rādītājiem vai konstatēti pārkāpumi saistībā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(ĶNPF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sanitārās aizsardzības pasākumi, tādi kā kokgraužu apkarošana u.c. var nonākt pretrunā ar dabas aizsardzību, kuras pasākumus arī bieži finansē Eiropas fondi. Tādēļ, lai novērstu nesaskaņas, vērtējot atbalsta izmaksas, būtu jāvērtē arī dabas aizsardzības prasību ievērošana projekta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neizmaksā un saistības pārtrauc, ja atbalsta saņēmējs nav pilnībā ievērojis nosacījumus un izpildījis saistības noteiktajā laikā un apjomā vai Lauku atbalsta dienestā iesniegtajos dokumentos konstatēta neatbilstība projekta mērķiem un sasniedzamajiem rādītājiem vai konstatēti pārkāpumi saistībā ar projekta īstenošanu, kā arī ja ir pārkāptas dabas aizsardzības prasības projekta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normatīvā akta projekts neparedz tādas darbības, kā piem., kokgraužu apkarošana u.c., bet intervences LA7.2. “Atbalsts meža bojājumu profilaksei" mērķis attīstīt un pilnveidot profilaktiskos pasākumus, ietverot šādas darbības piem., meža ugunsdrošības novērošanas iekārtu tīkla izveidošana un pilnveidošana, sakaru aprīkojuma tīkla izveidošana un pilnveidošana, kaitēkļu un slimību monitoringa iekārtu un sakaru aprīkojuma tīkla izveidošana un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neizmaksā un saistības pārtrauc, ja atbalsta saņēmējs nav pilnībā ievērojis nosacījumus un izpildījis saistības noteiktajā laikā un apjomā vai Lauku atbalsta dienestā iesniegtajos dokumentos konstatēta neatbilstība projekta mērķiem un sasniedzamajiem rādītājiem, vai konstatēti pārkāpumi saistībā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vai skaidrot norādīto finansējumu sadalījumā pa intervencēm, ņemot vērā, ka atbilstoši Zemkopības ministrijas uz bāzes izdevumu 2026.-2029.gadam sagatavošanu sniegtajai informācijai plānotais kopējais finansējums intervencei “Ieguldījumi ilgtspējā mežsaimniecībā” bija norādīts 47 937 028 </w:t>
            </w:r>
            <w:r w:rsidR="00000000" w:rsidRPr="00000000" w:rsidDel="00000000">
              <w:rPr>
                <w:i w:val="1"/>
                <w:rtl w:val="0"/>
              </w:rPr>
              <w:t xml:space="preserve">euro </w:t>
            </w:r>
            <w:r w:rsidR="00000000" w:rsidRPr="00000000" w:rsidDel="00000000">
              <w:rPr>
                <w:rtl w:val="0"/>
              </w:rPr>
              <w:t xml:space="preserve">un intervencei “Atbalsts meža ekosistēmu noturības un ekoloģiskās vērtības uzlabošanai un uzturēšanai” – 6 337 972 </w:t>
            </w:r>
            <w:r w:rsidR="00000000" w:rsidRPr="00000000" w:rsidDel="00000000">
              <w:rPr>
                <w:i w:val="1"/>
                <w:rtl w:val="0"/>
              </w:rPr>
              <w:t xml:space="preserve">euro </w:t>
            </w:r>
            <w:r w:rsidR="00000000" w:rsidRPr="00000000" w:rsidDel="00000000">
              <w:rPr>
                <w:rtl w:val="0"/>
              </w:rPr>
              <w:t xml:space="preserve">apmērā, kas nesakrīt ar anotācijas 3.sadaļas 6.punktā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šajā punktā precizēt intervencei "Ieguldījumi meža ieaudzēšanai, nomaiņai, atjaunošanai un retināšanai" kopā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ilgtermiņa nomas līguma kopiju (uzrādot oriģinālu), kurš reģistrēts zemesgrāmatā un kurā minētais nomas termiņš ir vismaz septiņi gadi no projekta iesnieguma iesniegšanas dienas, par nekustamo īpašumu, kurā, īstenojot projektu, paredzēts uzstādīt stacionāros pamatlīdzekļus, ja īpašums tiek nomāts.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8.4. apakšpunktā minēts nosacījums par ilgtermiņa nomas līguma termiņu, kas noteikts vismaz septiņi gadi. Ne noteikumu projektā, ne tā anotācijā nav skaidrots, kāpēc ilgtermiņa nomas termiņš noteikts tieši septiņi gadi. Šāds termiņš var būt nesamērīgs attiecībā pret projekta īstenošanas laiku un saistītajiem riskiem. Ņemot to vērā, lūdzam projekta anotācijā skaidri pamatot septiņu gadu termiņa izvēli vai apsvērt īsāku termiņu, kas atbilst konkrētā projekta specifikai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Skaidrojam, ka ņemot vērā, ka plānotās iekārtas nebūs stacionāras, bet pārvietojamas, 8.4. apakšpunkts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apakšlīgumu slēgšana, ja tie palielina projekta izmaksas, bet nepievieno projektam atbilstošu vērtību, kā arī ja apakšlīgumos samaksa ir noteikta procentos no kopējām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 apakšpunktā ietvertais formulējums “apakšlīgumu slēgšana, ja tie palielina projekta izmaksas, bet nepievieno projektam atbilstošu vērtību” ir pārāk subjektīvs, jo nav skaidri noteikti kritēriji, pēc kuriem vērtēt “atbilstošu vērtību”. Šāda nenoteiktība var radīt atšķirīgu un pat patvaļīgu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apakšpunktu, nosakot objektīvus un izmērāmus kritērijus nepievienotās vērtības identificēšanai, lai nodrošinātu tiesību normas skaidrību un viennozīmīgu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apakšlīgumu slēgšana, ja tie palielina projekta izmaksas un pakalpojumi vai piegādes nav tieši saistīti ar projekta mērķu sasniegšanu vai nepieciešami tā īstenošanai, kā arī gadījumos, kad apakšlīgumos samaksa ir noteikta procentos no kopējām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apakšlīgumu slēgšana, ja tie palielina projekta izmaksas un pakalpojumi vai piegādes nav tieši saistīti ar projekta mērķu sasniegšanu vai nepieciešami tā īstenošanai, kā arī situācijās, kad apakšlīgumos samaksa ir noteikta procentos no kopējām projekta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pārskatīt un precizēt norādīto finansējumu sadalījumā pa intervencēm, ņemot vērā, ka atbilstoši Zemkopības ministrijas uz bāzes izdevumu 2026.-2029.gadam sagatavošanu sniegtajai informācijai plānotais kopējais finansējums intervencei “Ieguldījumi ilgtspējā mežsaimniecībā” bija norādīts 47 937 028 </w:t>
            </w:r>
            <w:r w:rsidR="00000000" w:rsidRPr="00000000" w:rsidDel="00000000">
              <w:rPr>
                <w:i w:val="1"/>
                <w:rtl w:val="0"/>
              </w:rPr>
              <w:t xml:space="preserve">euro </w:t>
            </w:r>
            <w:r w:rsidR="00000000" w:rsidRPr="00000000" w:rsidDel="00000000">
              <w:rPr>
                <w:rtl w:val="0"/>
              </w:rPr>
              <w:t xml:space="preserve">un intervencei “Atbalsts meža ekosistēmu noturības un ekoloģiskās vērtības uzlabošanai un uzturēšanai” – 6 337 972 </w:t>
            </w:r>
            <w:r w:rsidR="00000000" w:rsidRPr="00000000" w:rsidDel="00000000">
              <w:rPr>
                <w:i w:val="1"/>
                <w:rtl w:val="0"/>
              </w:rPr>
              <w:t xml:space="preserve">euro </w:t>
            </w:r>
            <w:r w:rsidR="00000000" w:rsidRPr="00000000" w:rsidDel="00000000">
              <w:rPr>
                <w:rtl w:val="0"/>
              </w:rPr>
              <w:t xml:space="preserve">apmērā, kas nesakrīt ar anotācijas 3.sadaļas 6.punktā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3.sadaļas 6.punkta finansējums sadalījumā pa intervencēm.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ailē “izmaiņas, salīdzinot ar vidēja termiņa budžeta ietvaru” svītrot norādīto informāciju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24-TA-1198</w:t>
    </w:r>
    <w:r>
      <w:br/>
    </w:r>
    <w:r w:rsidR="00000000" w:rsidRPr="00000000" w:rsidDel="00000000">
      <w:rPr>
        <w:rtl w:val="0"/>
      </w:rPr>
      <w:t xml:space="preserve">10.10.2025. 19.27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24-TA-1198</w:t>
    </w:r>
    <w:r>
      <w:br/>
    </w:r>
    <w:r w:rsidR="00000000" w:rsidRPr="00000000" w:rsidDel="00000000">
      <w:rPr>
        <w:rtl w:val="0"/>
      </w:rPr>
      <w:t xml:space="preserve">10.10.2025. 19.27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Izziņa_24-TA-1198.docx</dc:title>
</cp:coreProperties>
</file>

<file path=docProps/custom.xml><?xml version="1.0" encoding="utf-8"?>
<Properties xmlns="http://schemas.openxmlformats.org/officeDocument/2006/custom-properties" xmlns:vt="http://schemas.openxmlformats.org/officeDocument/2006/docPropsVTypes"/>
</file>