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Rudzu ielā 14A, Bauskā, Bauskas novadā, nodošanu Bauskas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30.04.2026. 16:16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m</w:t>
            </w:r>
            <w:r w:rsidR="00000000" w:rsidRPr="00000000" w:rsidDel="00000000">
              <w:rPr>
                <w:vertAlign w:val="superscript"/>
                <w:rtl w:val="0"/>
              </w:rPr>
              <w:t xml:space="preserve">2</w:t>
            </w:r>
            <w:r w:rsidR="00000000" w:rsidRPr="00000000" w:rsidDel="00000000">
              <w:rPr>
                <w:rtl w:val="0"/>
              </w:rPr>
              <w:t xml:space="preserve">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ievērojot Bauskas novada pašvaldības viedokli,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valsts nekustamā īpašuma sastāvā esošās zemes vienības (zemes vienības kadastra apzīmējums 4068 003 0503) atrodas Bauskas novada pašvaldībai piederoša būve (būves kadastra apzīmējums 4068 003 0009 001) – bērnudārza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politika pēdējos gados ir konsekventi vērsta uz dalītā īpašuma izbeigšanu, nevis jaunu dalītā īpašuma situāciju radīšanu; arī Publiskas personas mantas atsavināšanas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 punktu, paredzot, ka nekustamais īpašums (nekustamā īpašuma kadastra Nr. 4068 003 0505) – zemes vienību (zemes vienības kadastra apzīmējums 4068 003 0503) 0,5112 m2 platībā – Rudzu ielā 14A, Bauskā, Bauskas novadā (turpmāk – nekustamais īpašums), kas ierakstīts zemesgrāmatā uz valsts vārda Finanšu ministrijas personā, tiek nodots Bauskas novada pašvaldības īpašumā </w:t>
            </w:r>
            <w:r w:rsidR="00000000" w:rsidRPr="00000000" w:rsidDel="00000000">
              <w:rPr>
                <w:u w:val="single"/>
                <w:rtl w:val="0"/>
              </w:rPr>
              <w:t xml:space="preserve">bez prasības</w:t>
            </w:r>
            <w:r w:rsidR="00000000" w:rsidRPr="00000000" w:rsidDel="00000000">
              <w:rPr>
                <w:rtl w:val="0"/>
              </w:rPr>
              <w:t xml:space="preserve"> nekustamo īpašumu izmantot Pašvaldību likuma 4. panta pirmajā daļā noteikto pašvaldības autonomo funkciju īstenošanai. Attiecīgi lūdzam svītrot Ministru kabineta rīkojuma projekta 2.–4. punktus, kas paredz ierobežojumus nākotnē atsavināt ar ēku funkcionāli saistīto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uzsver, ka attiecīgais nekustamais īpašums ir nepieciešams ēkas uzturēšanai un tās funkcionālai darbībai, un ēka bez tai piegulošās zemes nav pilnvērtīgi izmantojama. Vienlaikus, lai novērstu dalītā īpašuma rašanos nākotnē, situācijā, ja pašvaldībai ēka vairs nebūs nepieciešama autonomo funkciju nodrošināšanai un tiks pieņemts lēmums par tās atsavināšanu, būtu lietderīgi nodrošināt iespēju atsavināt ēku kopā ar tai funkcionāli nepieciešamo zemesgabalu. Pretējā gadījumā pašvaldībai būtu jāveic papildu birokrātiskas darbības, nododot zemi valstij bez atlīdzības, lai gan jebkurā gadījumā pirmpirkuma tiesības uz zemi saglabātos ēkas īpašniekam. Šāda kārtība nerada pievienoto vērtību, bet gan palielina administratīvo slogu gan pašvaldībai, gan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Bauskas novada pašvaldība norāda, ka Civillikuma 968. pants noteic: “uz zemes uzcelta un cieši ar to savienota ēka atzīstama par tās daļu”, kas nostiprina principu, ka ēkai un zemei ir jāveido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projekts ir izstrādāts atbilstoši Publiskas personas mantas atsavināšanas likuma (turpmāk – Atsavināšanas likums)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Atsavināšanas likuma 42. panta pirmā daļa ir uzskatāma par imperatīvu tiesību normu, kas neparedz iespēju atkāpties no tajā ietvertā regulējuma pēc pušu ieskatiem. No normas skaidri izriet, ka valsts nekustamā īpašuma nodošana atvasinātas publiskas personas īpašumā bez atlīdzības ir pieļaujama tikai ar konkrētu mērķi – noteiktas funkcijas vai deleģēta pārvaldes uzdevuma īstenošanai, kā arī ar pienākumu Ministru kabinetam savā lēmumā noteikt attiecīgos tiesību aprobežojumus un nodrošināt to nostiprināšanu zemesgrāmatā. Tāpat norma tieši paredz sekas gadījumā, ja īpašums vairs netiek izmantots noteiktajam mērķim, proti, atvasinātai publiskai personai ir pienākums šo nekustamo īpašumu bez atlīdzības nodot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rīkojuma projektā ietvertie nosacījumi par nekustamā īpašuma izmantošanas mērķi, aprobežojumiem, to ierakstīšanu zemesgrāmatā, kā arī pienākumu nodot īpašumu valstij, ja tas vairs nav nepieciešams Ministru kabineta rīkojuma projektā minētās pašvaldības funkcijas īstenošanai, nav uzskatāmi par papildus vai izvēles ierobežojumiem attiecībā uz pašvaldībai nodotā nekustamā īpašuma izmantošanu, bet gan nodrošina likumā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gadījumā, ja pašvaldība nevēlas uzņemties ar bezatlīdzības nodošanu saistītos likumā paredzētos aprobežojumus un pienākumus, tai pastāv alternatīva rīcības iespēja – ierosināt attiecīgā valsts nekustamā īpašuma atsavināšanu (pārdošanu)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atbilstoši Atsavināšanas likuma 42. panta (2</w:t>
            </w:r>
            <w:r w:rsidR="00000000" w:rsidRPr="00000000" w:rsidDel="00000000">
              <w:rPr>
                <w:vertAlign w:val="superscript"/>
                <w:rtl w:val="0"/>
              </w:rPr>
              <w:t xml:space="preserve">4</w:t>
            </w:r>
            <w:r w:rsidR="00000000" w:rsidRPr="00000000" w:rsidDel="00000000">
              <w:rPr>
                <w:rtl w:val="0"/>
              </w:rPr>
              <w:t xml:space="preserve">) daļā noteiktajam Ministru kabinets pēc motivēta atvasinātas publiskas personas priekšlikuma ar rīkojumu var atļaut atvasinātai publiskai personai atsavināt tai nodoto valsts nekustamo īpašumu, ja tas ir kļuvis nepiemērots attiecīgās funkcijas vai deleģētā pārvaldes uzdevuma veikšanai, bet funkcija vai deleģētais pārvaldes uzdevums tiek saglabāts un īpašums nav nepieciešams citai publiskai personai vai tās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konkrētās Atsavināšanas likumā paredzētās tiesības ierosināt pašvaldībai nodotā īpašuma atsavināšanu, jābūt motivētam pašvaldības priekšlikumam, tai skaitā norādot, kādēļ nekustamais īpašums kļuvis nepiemērots attiecīgās funkcijas veikšanai, kā arī, kurā nekustamajā īpašumā turpmāk pašvaldības autonomā funkcija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ha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m</w:t>
            </w:r>
            <w:r w:rsidR="00000000" w:rsidRPr="00000000" w:rsidDel="00000000">
              <w:rPr>
                <w:vertAlign w:val="superscript"/>
                <w:rtl w:val="0"/>
              </w:rPr>
              <w:t xml:space="preserve">2</w:t>
            </w:r>
            <w:r w:rsidR="00000000" w:rsidRPr="00000000" w:rsidDel="00000000">
              <w:rPr>
                <w:rtl w:val="0"/>
              </w:rPr>
              <w:t xml:space="preserve">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rīkojuma projekta 1. punktā norādīto nekustamā īpašuma platību “0,5112 m² platībā”, labojot mērvienību vai skaitlisko vērtību kādā no šādām redakcijām - “0,5112 ha platībā” vai “5112 m²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anotācijā labota mērvienība.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ha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“Pašreizējā situācija” ar skaidrojumu par būves turpmāko tiesisko statusu un tās sasaistes ar zemes vienību aktualizēšanu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zemesgrāmatā norādīts, ka būve ar kadastra apzīmējumu 4068 003 0009 001, proti, bērnudārza ēka, ir saistīta ar zemes vienību ar kadastra apzīmējumu 4068 003 0009. Minētā zemes vienība ir iepriekšējā zemes vienība, no kuras atdalīta pašvaldībai nododamā zemes vienība ar kadastra apzīmējumu 4068 003 0503.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projekta materiāliem un plānojuma secināms, ka bērnudārza ēkas faktiskā atrašanās vieta atbilst pašvaldībai nododamajai zemes vienībai ar kadastra apzīmējumu 4068 003 0503. Tomēr būves zemesgrāmatas nodalījumā joprojām saglabāts iepriekšējais ieraksts par tās sasaisti ar zemes vienību 4068 003 0009.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nodošanas pamatojums ir tieši saistīts ar bērnudārza ēkas izmantošanu pašvaldības autonomās funkcijas izpildei, būtu lietderīgi anotācijā skaidrot, ka pēc zemes vienības ar kadastra apzīmējumu 4068 003 0503 nodošanas pašvaldībai tiks nodrošināta zemesgrāmatā norādītās būves sasaistes aktualizēšana atbilstoši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“Pašreizējā situācija” ar skaidrojumu par zemes vienībai noteiktajām atzīmēm — “zemes īpašniekam nepiederoša būve vai būves daļa” 0,1021 ha platībā un “ceļa servitūta teritorija”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atzīmi “zemes īpašniekam nepiederoša būve vai būves daļa” būtu nepieciešams precizēt, uz kuru konkrēto objektu šī atzīme attiecas, kam attiecīgā būve vai būves daļa pieder, kā arī vai tā ir saistīta ar Nekustamā īpašuma valsts kadastra informācijas sistēmā norādītajām pirmsreģistrētajām būvēm “Palīgbūve” un “Katlu māja”, pašvaldībai piederošo bērnudārza ēku vai citu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atzīmi “ceļa servitūta teritorija” būtu precizējams, kādam nekustamajam īpašumam vai personām šis servitūts nodrošina piekļuvi, kā arī vai tas neierobežo zemes vienības izmantošanu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skaidrojums nepieciešams, lai būtu nepārprotami saprotamas minēto atzīmju un servitūta tiesiskās sekas pēc zemes vienības pārņemšanas pašvaldības īpašumā, kā arī lai izvērtētu, vai tās nerada šķēršļus valsts nekustamā īpašuma nodošanai Bauskas novada pašvaldībai autonomo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26-TA-991</w:t>
    </w:r>
    <w:r>
      <w:br/>
    </w:r>
    <w:r w:rsidR="00000000" w:rsidRPr="00000000" w:rsidDel="00000000">
      <w:rPr>
        <w:rtl w:val="0"/>
      </w:rPr>
      <w:t xml:space="preserve">28.08.2026. 15.07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26-TA-991</w:t>
    </w:r>
    <w:r>
      <w:br/>
    </w:r>
    <w:r w:rsidR="00000000" w:rsidRPr="00000000" w:rsidDel="00000000">
      <w:rPr>
        <w:rtl w:val="0"/>
      </w:rPr>
      <w:t xml:space="preserve">28.08.2026. 15.07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Izziņa_26-TA-991.docx</dc:title>
</cp:coreProperties>
</file>

<file path=docProps/custom.xml><?xml version="1.0" encoding="utf-8"?>
<Properties xmlns="http://schemas.openxmlformats.org/officeDocument/2006/custom-properties" xmlns:vt="http://schemas.openxmlformats.org/officeDocument/2006/docPropsVTypes"/>
</file>