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9979" w14:textId="67E08888" w:rsidR="00B24523" w:rsidRPr="009A7FF0" w:rsidRDefault="00B24523" w:rsidP="00B24523">
      <w:pPr>
        <w:spacing w:after="0" w:line="240" w:lineRule="auto"/>
        <w:jc w:val="center"/>
        <w:rPr>
          <w:rFonts w:ascii="Gotham Pro LT" w:eastAsia="Times New Roman" w:hAnsi="Gotham Pro LT" w:cs="Gotham Pro LT"/>
        </w:rPr>
      </w:pPr>
      <w:r w:rsidRPr="009A7FF0">
        <w:rPr>
          <w:rFonts w:ascii="Gotham Pro LT" w:eastAsia="Times New Roman" w:hAnsi="Gotham Pro LT" w:cs="Gotham Pro LT"/>
        </w:rPr>
        <w:t>Rīgā</w:t>
      </w:r>
    </w:p>
    <w:p w14:paraId="43315385" w14:textId="77777777" w:rsidR="00185F05" w:rsidRPr="009A7FF0" w:rsidRDefault="00185F05" w:rsidP="00B24523">
      <w:pPr>
        <w:spacing w:after="0" w:line="240" w:lineRule="auto"/>
        <w:jc w:val="center"/>
        <w:rPr>
          <w:rFonts w:ascii="Gotham Pro LT" w:eastAsia="Times New Roman" w:hAnsi="Gotham Pro LT" w:cs="Gotham Pro LT"/>
        </w:rPr>
      </w:pPr>
    </w:p>
    <w:tbl>
      <w:tblPr>
        <w:tblW w:w="9464" w:type="dxa"/>
        <w:tblLayout w:type="fixed"/>
        <w:tblLook w:val="0000" w:firstRow="0" w:lastRow="0" w:firstColumn="0" w:lastColumn="0" w:noHBand="0" w:noVBand="0"/>
      </w:tblPr>
      <w:tblGrid>
        <w:gridCol w:w="4928"/>
        <w:gridCol w:w="4536"/>
      </w:tblGrid>
      <w:tr w:rsidR="00D07E80" w:rsidRPr="009A7FF0" w14:paraId="08F3997E" w14:textId="77777777" w:rsidTr="00D07E80">
        <w:trPr>
          <w:cantSplit/>
          <w:trHeight w:val="971"/>
        </w:trPr>
        <w:tc>
          <w:tcPr>
            <w:tcW w:w="4928" w:type="dxa"/>
          </w:tcPr>
          <w:p w14:paraId="08F3997A" w14:textId="7B42A511" w:rsidR="00D07E80" w:rsidRPr="009A7FF0" w:rsidRDefault="00000000" w:rsidP="001D43EA">
            <w:pPr>
              <w:spacing w:after="0" w:line="480" w:lineRule="auto"/>
              <w:jc w:val="both"/>
              <w:rPr>
                <w:rFonts w:ascii="Gotham Pro LT" w:eastAsia="Times New Roman" w:hAnsi="Gotham Pro LT" w:cs="Gotham Pro LT"/>
              </w:rPr>
            </w:pPr>
            <w:sdt>
              <w:sdtPr>
                <w:rPr>
                  <w:rFonts w:ascii="Gotham Pro LT" w:eastAsia="Times New Roman" w:hAnsi="Gotham Pro LT" w:cs="Gotham Pro LT"/>
                </w:rPr>
                <w:alias w:val="Reģistrēšanas datums"/>
                <w:tag w:val="DokRegDatums"/>
                <w:id w:val="-134111700"/>
                <w:placeholder>
                  <w:docPart w:val="A834D5A16F4C44F29DA4359B433FD429"/>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RegDatums[1]" w:storeItemID="{2DFF2E7C-4C4B-44D9-AB99-D3D6EA390431}"/>
                <w:date w:fullDate="2020-09-24T13:44:00Z">
                  <w:dateFormat w:val="dd.MM.yyyy"/>
                  <w:lid w:val="lv-LV"/>
                  <w:storeMappedDataAs w:val="dateTime"/>
                  <w:calendar w:val="gregorian"/>
                </w:date>
              </w:sdtPr>
              <w:sdtContent>
                <w:r w:rsidR="00EB667B">
                  <w:rPr>
                    <w:rFonts w:ascii="Gotham Pro LT" w:eastAsia="Times New Roman" w:hAnsi="Gotham Pro LT" w:cs="Gotham Pro LT"/>
                  </w:rPr>
                  <w:t>24.09.2020</w:t>
                </w:r>
              </w:sdtContent>
            </w:sdt>
            <w:r w:rsidR="00D07E80" w:rsidRPr="009A7FF0">
              <w:rPr>
                <w:rFonts w:ascii="Gotham Pro LT" w:eastAsia="Times New Roman" w:hAnsi="Gotham Pro LT" w:cs="Gotham Pro LT"/>
              </w:rPr>
              <w:t xml:space="preserve"> Nr. </w:t>
            </w:r>
            <w:sdt>
              <w:sdtPr>
                <w:rPr>
                  <w:rFonts w:ascii="Gotham Pro LT" w:eastAsia="Times New Roman" w:hAnsi="Gotham Pro LT" w:cs="Gotham Pro LT"/>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Content>
                <w:r w:rsidR="00EB667B">
                  <w:rPr>
                    <w:rFonts w:ascii="Gotham Pro LT" w:eastAsia="Times New Roman" w:hAnsi="Gotham Pro LT" w:cs="Gotham Pro LT"/>
                  </w:rPr>
                  <w:t>07/02-16/86</w:t>
                </w:r>
              </w:sdtContent>
            </w:sdt>
          </w:p>
          <w:p w14:paraId="08F3997C" w14:textId="60CA1D9C" w:rsidR="00D07E80" w:rsidRPr="009A7FF0" w:rsidRDefault="00D07E80" w:rsidP="00F86DEA">
            <w:pPr>
              <w:spacing w:after="0" w:line="480" w:lineRule="auto"/>
              <w:jc w:val="both"/>
              <w:rPr>
                <w:rFonts w:ascii="Gotham Pro LT" w:eastAsia="Times New Roman" w:hAnsi="Gotham Pro LT" w:cs="Gotham Pro LT"/>
              </w:rPr>
            </w:pPr>
            <w:r w:rsidRPr="009A7FF0">
              <w:rPr>
                <w:rFonts w:ascii="Gotham Pro LT" w:eastAsia="Times New Roman" w:hAnsi="Gotham Pro LT" w:cs="Gotham Pro LT"/>
              </w:rPr>
              <w:t xml:space="preserve">Uz </w:t>
            </w:r>
            <w:r w:rsidR="009A7FF0" w:rsidRPr="009A7FF0">
              <w:rPr>
                <w:rFonts w:ascii="Gotham Pro LT" w:eastAsia="Times New Roman" w:hAnsi="Gotham Pro LT" w:cs="Gotham Pro LT"/>
              </w:rPr>
              <w:t>17.09.2020.</w:t>
            </w:r>
            <w:r w:rsidRPr="009A7FF0">
              <w:rPr>
                <w:rFonts w:ascii="Gotham Pro LT" w:eastAsia="Times New Roman" w:hAnsi="Gotham Pro LT" w:cs="Gotham Pro LT"/>
              </w:rPr>
              <w:t xml:space="preserve"> Nr. _____________</w:t>
            </w:r>
          </w:p>
        </w:tc>
        <w:tc>
          <w:tcPr>
            <w:tcW w:w="4536" w:type="dxa"/>
          </w:tcPr>
          <w:p w14:paraId="0FB7D095" w14:textId="77777777" w:rsidR="009A7FF0" w:rsidRPr="009A7FF0" w:rsidRDefault="009A7FF0" w:rsidP="009A7FF0">
            <w:pPr>
              <w:spacing w:after="0" w:line="240" w:lineRule="auto"/>
              <w:jc w:val="right"/>
              <w:rPr>
                <w:rFonts w:ascii="Gotham Pro LT" w:hAnsi="Gotham Pro LT" w:cs="Gotham Pro LT"/>
                <w:b/>
              </w:rPr>
            </w:pPr>
            <w:r w:rsidRPr="009A7FF0">
              <w:rPr>
                <w:rFonts w:ascii="Gotham Pro LT" w:hAnsi="Gotham Pro LT" w:cs="Gotham Pro LT"/>
                <w:b/>
              </w:rPr>
              <w:t>Latvijas Republikas Finanšu ministrijai</w:t>
            </w:r>
          </w:p>
          <w:p w14:paraId="19C9A266" w14:textId="77777777" w:rsidR="009A7FF0" w:rsidRPr="009A7FF0" w:rsidRDefault="009A7FF0" w:rsidP="009A7FF0">
            <w:pPr>
              <w:spacing w:after="0" w:line="240" w:lineRule="auto"/>
              <w:jc w:val="right"/>
              <w:rPr>
                <w:rFonts w:ascii="Gotham Pro LT" w:hAnsi="Gotham Pro LT" w:cs="Gotham Pro LT"/>
              </w:rPr>
            </w:pPr>
            <w:r w:rsidRPr="009A7FF0">
              <w:rPr>
                <w:rFonts w:ascii="Gotham Pro LT" w:hAnsi="Gotham Pro LT" w:cs="Gotham Pro LT"/>
                <w:iCs/>
              </w:rPr>
              <w:t>E-pasts:</w:t>
            </w:r>
            <w:r w:rsidRPr="009A7FF0">
              <w:rPr>
                <w:rFonts w:ascii="Gotham Pro LT" w:hAnsi="Gotham Pro LT" w:cs="Gotham Pro LT"/>
              </w:rPr>
              <w:t xml:space="preserve"> </w:t>
            </w:r>
            <w:hyperlink r:id="rId11" w:history="1">
              <w:r w:rsidRPr="009A7FF0">
                <w:rPr>
                  <w:rStyle w:val="Hyperlink"/>
                  <w:rFonts w:ascii="Gotham Pro LT" w:eastAsia="Times New Roman" w:hAnsi="Gotham Pro LT" w:cs="Gotham Pro LT"/>
                </w:rPr>
                <w:t>pasts@fm.gov.lv</w:t>
              </w:r>
            </w:hyperlink>
            <w:r w:rsidRPr="009A7FF0">
              <w:rPr>
                <w:rFonts w:ascii="Gotham Pro LT" w:eastAsia="Times New Roman" w:hAnsi="Gotham Pro LT" w:cs="Gotham Pro LT"/>
              </w:rPr>
              <w:t xml:space="preserve"> </w:t>
            </w:r>
          </w:p>
          <w:p w14:paraId="6A16C0F7" w14:textId="77777777" w:rsidR="00D07E80" w:rsidRDefault="00000000" w:rsidP="009A7FF0">
            <w:pPr>
              <w:spacing w:after="0" w:line="240" w:lineRule="auto"/>
              <w:jc w:val="right"/>
              <w:rPr>
                <w:rStyle w:val="Hyperlink"/>
                <w:rFonts w:ascii="Gotham Pro LT" w:hAnsi="Gotham Pro LT" w:cs="Gotham Pro LT"/>
                <w:bCs/>
              </w:rPr>
            </w:pPr>
            <w:hyperlink r:id="rId12" w:history="1">
              <w:r w:rsidR="009A7FF0" w:rsidRPr="009A7FF0">
                <w:rPr>
                  <w:rStyle w:val="Hyperlink"/>
                  <w:rFonts w:ascii="Gotham Pro LT" w:hAnsi="Gotham Pro LT" w:cs="Gotham Pro LT"/>
                  <w:bCs/>
                </w:rPr>
                <w:t>Inese.Albova@fm.gov.lv</w:t>
              </w:r>
            </w:hyperlink>
          </w:p>
          <w:p w14:paraId="2ACC1A17" w14:textId="2DC3BDFF" w:rsidR="00B91F0A" w:rsidRPr="00B91F0A" w:rsidRDefault="00000000" w:rsidP="009A7FF0">
            <w:pPr>
              <w:spacing w:after="0" w:line="240" w:lineRule="auto"/>
              <w:jc w:val="right"/>
              <w:rPr>
                <w:rStyle w:val="Hyperlink"/>
                <w:rFonts w:ascii="Gotham Pro LT" w:hAnsi="Gotham Pro LT" w:cs="Gotham Pro LT"/>
                <w:bCs/>
              </w:rPr>
            </w:pPr>
            <w:hyperlink r:id="rId13" w:history="1">
              <w:r w:rsidR="00B91F0A" w:rsidRPr="00B91F0A">
                <w:rPr>
                  <w:rStyle w:val="Hyperlink"/>
                  <w:rFonts w:ascii="Gotham Pro LT" w:hAnsi="Gotham Pro LT" w:cs="Gotham Pro LT"/>
                  <w:bCs/>
                </w:rPr>
                <w:t>Aija.Zitcere@fm.gov.lv</w:t>
              </w:r>
            </w:hyperlink>
          </w:p>
          <w:p w14:paraId="4E4A4615" w14:textId="48EEC205" w:rsidR="00B91F0A" w:rsidRPr="009A7FF0" w:rsidRDefault="00B91F0A" w:rsidP="009A7FF0">
            <w:pPr>
              <w:spacing w:after="0" w:line="240" w:lineRule="auto"/>
              <w:jc w:val="right"/>
              <w:rPr>
                <w:rFonts w:ascii="Gotham Pro LT" w:eastAsia="Times New Roman" w:hAnsi="Gotham Pro LT" w:cs="Gotham Pro LT"/>
                <w:b/>
              </w:rPr>
            </w:pPr>
            <w:r w:rsidRPr="00B91F0A">
              <w:rPr>
                <w:rStyle w:val="Hyperlink"/>
                <w:rFonts w:ascii="Gotham Pro LT" w:hAnsi="Gotham Pro LT" w:cs="Gotham Pro LT"/>
                <w:bCs/>
              </w:rPr>
              <w:t>L</w:t>
            </w:r>
            <w:r w:rsidR="00D32128">
              <w:rPr>
                <w:rStyle w:val="Hyperlink"/>
                <w:rFonts w:ascii="Gotham Pro LT" w:hAnsi="Gotham Pro LT" w:cs="Gotham Pro LT"/>
                <w:bCs/>
              </w:rPr>
              <w:t>i</w:t>
            </w:r>
            <w:r w:rsidRPr="00B91F0A">
              <w:rPr>
                <w:rStyle w:val="Hyperlink"/>
                <w:rFonts w:ascii="Gotham Pro LT" w:hAnsi="Gotham Pro LT" w:cs="Gotham Pro LT"/>
                <w:bCs/>
              </w:rPr>
              <w:t>ga.Klavina@fm.gov.lv</w:t>
            </w:r>
          </w:p>
        </w:tc>
      </w:tr>
    </w:tbl>
    <w:p w14:paraId="1F47C861" w14:textId="77777777" w:rsidR="00F86DEA" w:rsidRPr="009A7FF0" w:rsidRDefault="00F86DEA">
      <w:pPr>
        <w:rPr>
          <w:rFonts w:ascii="Gotham Pro LT" w:hAnsi="Gotham Pro LT" w:cs="Gotham Pro LT"/>
        </w:rPr>
      </w:pPr>
    </w:p>
    <w:p w14:paraId="0693B70D" w14:textId="7020FC3B" w:rsidR="009A7FF0" w:rsidRPr="009A7FF0" w:rsidRDefault="009A7FF0" w:rsidP="009A7FF0">
      <w:pPr>
        <w:spacing w:after="0" w:line="240" w:lineRule="auto"/>
        <w:rPr>
          <w:rFonts w:ascii="Gotham Pro LT" w:hAnsi="Gotham Pro LT" w:cs="Gotham Pro LT"/>
          <w:b/>
          <w:bCs/>
          <w:i/>
        </w:rPr>
      </w:pPr>
      <w:r w:rsidRPr="009A7FF0">
        <w:rPr>
          <w:rFonts w:ascii="Gotham Pro LT" w:hAnsi="Gotham Pro LT" w:cs="Gotham Pro LT"/>
          <w:b/>
          <w:bCs/>
          <w:i/>
        </w:rPr>
        <w:t xml:space="preserve">Par likumprojektu “Grozījumi Sauszemes transportlīdzekļu īpašnieku civiltiesiskās atbildības obligātās apdrošināšanas likumā” (VSS – 617) </w:t>
      </w:r>
    </w:p>
    <w:p w14:paraId="3B7FC578" w14:textId="2FC7526E" w:rsidR="009A7FF0" w:rsidRPr="00586CFD" w:rsidRDefault="009A7FF0" w:rsidP="009A7FF0">
      <w:pPr>
        <w:spacing w:after="0" w:line="240" w:lineRule="auto"/>
        <w:rPr>
          <w:rFonts w:ascii="Gotham Pro LT" w:hAnsi="Gotham Pro LT" w:cs="Gotham Pro LT"/>
          <w:b/>
          <w:bCs/>
          <w:i/>
        </w:rPr>
      </w:pPr>
    </w:p>
    <w:p w14:paraId="773C3DDC" w14:textId="41F962CA" w:rsidR="00294DB2" w:rsidRPr="00586CFD" w:rsidRDefault="009A7FF0" w:rsidP="009A7FF0">
      <w:pPr>
        <w:spacing w:after="0" w:line="240" w:lineRule="auto"/>
        <w:ind w:firstLine="720"/>
        <w:jc w:val="both"/>
        <w:rPr>
          <w:rFonts w:ascii="Gotham Pro LT" w:hAnsi="Gotham Pro LT" w:cs="Gotham Pro LT"/>
        </w:rPr>
      </w:pPr>
      <w:r w:rsidRPr="00586CFD">
        <w:rPr>
          <w:rFonts w:ascii="Gotham Pro LT" w:hAnsi="Gotham Pro LT" w:cs="Gotham Pro LT"/>
          <w:iCs/>
        </w:rPr>
        <w:t>Atbildot uz Finanšu ministrijas 17.09.2020. e-pasta vēstuli “Par likumprojekta “Grozījumi Sauszemes transportlīdzekļu īpašnieku civiltiesiskās atbildības obligātās apdrošināšanas likumā” (VSS – 617) elektronisku saskaņošanu” un iepazīstoties ar</w:t>
      </w:r>
      <w:r w:rsidRPr="00586CFD">
        <w:rPr>
          <w:rFonts w:ascii="Gotham Pro LT" w:hAnsi="Gotham Pro LT" w:cs="Gotham Pro LT"/>
        </w:rPr>
        <w:t xml:space="preserve"> precizēto likumprojektu "Grozījumi Sauszemes transportlīdzekļu īpašnieku civiltiesiskās atbildības obligātās apdrošināšanas likumā" (VSS-617)</w:t>
      </w:r>
      <w:r w:rsidR="00294DB2" w:rsidRPr="00586CFD">
        <w:rPr>
          <w:rFonts w:ascii="Gotham Pro LT" w:hAnsi="Gotham Pro LT" w:cs="Gotham Pro LT"/>
        </w:rPr>
        <w:t xml:space="preserve"> (turpmāk – likumprojekts)</w:t>
      </w:r>
      <w:r w:rsidRPr="00586CFD">
        <w:rPr>
          <w:rFonts w:ascii="Gotham Pro LT" w:hAnsi="Gotham Pro LT" w:cs="Gotham Pro LT"/>
        </w:rPr>
        <w:t>, tā sākotnējās ietekmes novērtējuma ziņojumu (anotāciju) un izziņu</w:t>
      </w:r>
      <w:r w:rsidRPr="00586CFD">
        <w:rPr>
          <w:rFonts w:ascii="Gotham Pro LT" w:hAnsi="Gotham Pro LT" w:cs="Gotham Pro LT"/>
          <w:iCs/>
        </w:rPr>
        <w:t xml:space="preserve">, biedrība </w:t>
      </w:r>
      <w:r w:rsidR="00294DB2" w:rsidRPr="00586CFD">
        <w:rPr>
          <w:rFonts w:ascii="Gotham Pro LT" w:hAnsi="Gotham Pro LT" w:cs="Gotham Pro LT"/>
          <w:iCs/>
        </w:rPr>
        <w:t>“</w:t>
      </w:r>
      <w:r w:rsidRPr="00586CFD">
        <w:rPr>
          <w:rFonts w:ascii="Gotham Pro LT" w:hAnsi="Gotham Pro LT" w:cs="Gotham Pro LT"/>
          <w:iCs/>
        </w:rPr>
        <w:t>Latvijas Transportlīdzekļu apdrošinātāju birojs</w:t>
      </w:r>
      <w:r w:rsidR="00294DB2" w:rsidRPr="00586CFD">
        <w:rPr>
          <w:rFonts w:ascii="Gotham Pro LT" w:hAnsi="Gotham Pro LT" w:cs="Gotham Pro LT"/>
          <w:iCs/>
        </w:rPr>
        <w:t>”</w:t>
      </w:r>
      <w:r w:rsidRPr="00586CFD">
        <w:rPr>
          <w:rFonts w:ascii="Gotham Pro LT" w:hAnsi="Gotham Pro LT" w:cs="Gotham Pro LT"/>
          <w:iCs/>
        </w:rPr>
        <w:t xml:space="preserve"> (turpmāk – LTAB) </w:t>
      </w:r>
      <w:r w:rsidR="00294DB2" w:rsidRPr="00586CFD">
        <w:rPr>
          <w:rFonts w:ascii="Gotham Pro LT" w:hAnsi="Gotham Pro LT" w:cs="Gotham Pro LT"/>
          <w:iCs/>
        </w:rPr>
        <w:t xml:space="preserve">informē, ka </w:t>
      </w:r>
      <w:r w:rsidR="00294DB2" w:rsidRPr="007D1272">
        <w:rPr>
          <w:rFonts w:ascii="Gotham Pro LT" w:hAnsi="Gotham Pro LT" w:cs="Gotham Pro LT"/>
          <w:iCs/>
          <w:u w:val="single"/>
        </w:rPr>
        <w:t xml:space="preserve">LTAB nesaskaņo likumprojekta tālāko virzību esošajā redakcijā un </w:t>
      </w:r>
      <w:r w:rsidRPr="007D1272">
        <w:rPr>
          <w:rFonts w:ascii="Gotham Pro LT" w:hAnsi="Gotham Pro LT" w:cs="Gotham Pro LT"/>
          <w:iCs/>
          <w:u w:val="single"/>
        </w:rPr>
        <w:t xml:space="preserve">uztur spēkā LTAB 14.08.20020. vēstulē </w:t>
      </w:r>
      <w:r w:rsidRPr="007D1272">
        <w:rPr>
          <w:rFonts w:ascii="Gotham Pro LT" w:hAnsi="Gotham Pro LT" w:cs="Gotham Pro LT"/>
          <w:u w:val="single"/>
        </w:rPr>
        <w:t>Nr.07/02-16/126 minētos iebildumus</w:t>
      </w:r>
      <w:r w:rsidR="00962FBC" w:rsidRPr="00586CFD">
        <w:rPr>
          <w:rFonts w:ascii="Gotham Pro LT" w:hAnsi="Gotham Pro LT" w:cs="Gotham Pro LT"/>
        </w:rPr>
        <w:t xml:space="preserve"> (turpmāk – LTAB iebildumi)</w:t>
      </w:r>
      <w:r w:rsidR="00294DB2" w:rsidRPr="00586CFD">
        <w:rPr>
          <w:rFonts w:ascii="Gotham Pro LT" w:hAnsi="Gotham Pro LT" w:cs="Gotham Pro LT"/>
        </w:rPr>
        <w:t xml:space="preserve">. </w:t>
      </w:r>
    </w:p>
    <w:p w14:paraId="44A308E4" w14:textId="031D7EB2" w:rsidR="009A7FF0" w:rsidRPr="007D1272" w:rsidRDefault="00294DB2" w:rsidP="009A7FF0">
      <w:pPr>
        <w:spacing w:after="0" w:line="240" w:lineRule="auto"/>
        <w:ind w:firstLine="720"/>
        <w:jc w:val="both"/>
        <w:rPr>
          <w:rFonts w:ascii="Gotham Pro LT" w:hAnsi="Gotham Pro LT" w:cs="Gotham Pro LT"/>
        </w:rPr>
      </w:pPr>
      <w:r w:rsidRPr="007D1272">
        <w:rPr>
          <w:rFonts w:ascii="Gotham Pro LT" w:hAnsi="Gotham Pro LT" w:cs="Gotham Pro LT"/>
        </w:rPr>
        <w:t xml:space="preserve">Precizētais likumprojekts </w:t>
      </w:r>
      <w:r w:rsidR="009A7FF0" w:rsidRPr="007D1272">
        <w:rPr>
          <w:rFonts w:ascii="Gotham Pro LT" w:hAnsi="Gotham Pro LT" w:cs="Gotham Pro LT"/>
        </w:rPr>
        <w:t xml:space="preserve">pēc būtības </w:t>
      </w:r>
      <w:r w:rsidRPr="007D1272">
        <w:rPr>
          <w:rFonts w:ascii="Gotham Pro LT" w:hAnsi="Gotham Pro LT" w:cs="Gotham Pro LT"/>
        </w:rPr>
        <w:t xml:space="preserve">nenovērš un nerisina </w:t>
      </w:r>
      <w:r w:rsidR="00962FBC" w:rsidRPr="007D1272">
        <w:rPr>
          <w:rFonts w:ascii="Gotham Pro LT" w:hAnsi="Gotham Pro LT" w:cs="Gotham Pro LT"/>
          <w:iCs/>
        </w:rPr>
        <w:t>ar LTAB iebildumiem</w:t>
      </w:r>
      <w:r w:rsidRPr="007D1272">
        <w:rPr>
          <w:rFonts w:ascii="Gotham Pro LT" w:hAnsi="Gotham Pro LT" w:cs="Gotham Pro LT"/>
        </w:rPr>
        <w:t xml:space="preserve"> paustās bažas. LTAB iebildumi pēc būtības n</w:t>
      </w:r>
      <w:r w:rsidR="009A7FF0" w:rsidRPr="007D1272">
        <w:rPr>
          <w:rFonts w:ascii="Gotham Pro LT" w:hAnsi="Gotham Pro LT" w:cs="Gotham Pro LT"/>
        </w:rPr>
        <w:t>etiek ņemti vērā</w:t>
      </w:r>
      <w:r w:rsidRPr="007D1272">
        <w:rPr>
          <w:rFonts w:ascii="Gotham Pro LT" w:hAnsi="Gotham Pro LT" w:cs="Gotham Pro LT"/>
        </w:rPr>
        <w:t>, kaut arī sākotnējās ietekmes novērtējuma ziņojuma (anotācijā) ir minēts, ka daļa LTAB iebildumu tiek ņemti vērā daļēji.</w:t>
      </w:r>
    </w:p>
    <w:p w14:paraId="1D922757" w14:textId="3E928D77" w:rsidR="00586CFD" w:rsidRPr="007D1272" w:rsidRDefault="00586CFD" w:rsidP="009A7FF0">
      <w:pPr>
        <w:spacing w:after="0" w:line="240" w:lineRule="auto"/>
        <w:ind w:firstLine="720"/>
        <w:jc w:val="both"/>
        <w:rPr>
          <w:rFonts w:ascii="Gotham Pro LT" w:hAnsi="Gotham Pro LT" w:cs="Gotham Pro LT"/>
        </w:rPr>
      </w:pPr>
      <w:r w:rsidRPr="007D1272">
        <w:rPr>
          <w:rFonts w:ascii="Gotham Pro LT" w:hAnsi="Gotham Pro LT" w:cs="Gotham Pro LT"/>
        </w:rPr>
        <w:t>Vienlaikus LTAB vērš uzmanību, ka:</w:t>
      </w:r>
    </w:p>
    <w:p w14:paraId="1749EAD8" w14:textId="59FEA5EA" w:rsidR="00586CFD" w:rsidRPr="00D812E3" w:rsidRDefault="00586CFD" w:rsidP="00F67585">
      <w:pPr>
        <w:pStyle w:val="ListParagraph"/>
        <w:numPr>
          <w:ilvl w:val="0"/>
          <w:numId w:val="1"/>
        </w:numPr>
        <w:tabs>
          <w:tab w:val="left" w:pos="993"/>
        </w:tabs>
        <w:spacing w:after="0" w:line="240" w:lineRule="auto"/>
        <w:ind w:left="0" w:firstLine="790"/>
        <w:jc w:val="both"/>
        <w:rPr>
          <w:rFonts w:ascii="Gotham Pro LT" w:hAnsi="Gotham Pro LT" w:cs="Gotham Pro LT"/>
        </w:rPr>
      </w:pPr>
      <w:r w:rsidRPr="00586CFD">
        <w:rPr>
          <w:rFonts w:ascii="Gotham Pro LT" w:hAnsi="Gotham Pro LT" w:cs="Gotham Pro LT"/>
        </w:rPr>
        <w:t xml:space="preserve">neviens starptautiskais normatīvais regulējums, tai skaitā direktīva </w:t>
      </w:r>
      <w:r w:rsidR="006D5791">
        <w:rPr>
          <w:rFonts w:ascii="Gotham Pro LT" w:hAnsi="Gotham Pro LT" w:cs="Gotham Pro LT"/>
          <w:color w:val="000000"/>
          <w:shd w:val="clear" w:color="auto" w:fill="FFFFFF"/>
        </w:rPr>
        <w:t>s</w:t>
      </w:r>
      <w:r w:rsidR="006D5791" w:rsidRPr="00586CFD">
        <w:rPr>
          <w:rFonts w:ascii="Gotham Pro LT" w:hAnsi="Gotham Pro LT" w:cs="Gotham Pro LT"/>
          <w:color w:val="000000"/>
          <w:shd w:val="clear" w:color="auto" w:fill="FFFFFF"/>
        </w:rPr>
        <w:t>auszemes transportlīdzekļu īpašnieku civiltiesiskās atbildības obligātās apdrošināšanas</w:t>
      </w:r>
      <w:r w:rsidR="006D5791" w:rsidRPr="00586CFD">
        <w:rPr>
          <w:rFonts w:ascii="Gotham Pro LT" w:hAnsi="Gotham Pro LT" w:cs="Gotham Pro LT"/>
        </w:rPr>
        <w:t xml:space="preserve"> </w:t>
      </w:r>
      <w:r w:rsidR="006D5791">
        <w:rPr>
          <w:rFonts w:ascii="Gotham Pro LT" w:hAnsi="Gotham Pro LT" w:cs="Gotham Pro LT"/>
        </w:rPr>
        <w:t xml:space="preserve">(turpmāk – </w:t>
      </w:r>
      <w:r w:rsidRPr="00586CFD">
        <w:rPr>
          <w:rFonts w:ascii="Gotham Pro LT" w:hAnsi="Gotham Pro LT" w:cs="Gotham Pro LT"/>
        </w:rPr>
        <w:t>OCTA</w:t>
      </w:r>
      <w:r w:rsidR="006D5791">
        <w:rPr>
          <w:rFonts w:ascii="Gotham Pro LT" w:hAnsi="Gotham Pro LT" w:cs="Gotham Pro LT"/>
        </w:rPr>
        <w:t xml:space="preserve">) </w:t>
      </w:r>
      <w:r w:rsidRPr="00586CFD">
        <w:rPr>
          <w:rFonts w:ascii="Gotham Pro LT" w:hAnsi="Gotham Pro LT" w:cs="Gotham Pro LT"/>
        </w:rPr>
        <w:t xml:space="preserve">jomā (2009/103/EK) un Zaļās kartes sistēmas </w:t>
      </w:r>
      <w:r w:rsidR="007D1272">
        <w:rPr>
          <w:rFonts w:ascii="Gotham Pro LT" w:hAnsi="Gotham Pro LT" w:cs="Gotham Pro LT"/>
        </w:rPr>
        <w:t>tiesiskais</w:t>
      </w:r>
      <w:r w:rsidRPr="00586CFD">
        <w:rPr>
          <w:rFonts w:ascii="Gotham Pro LT" w:hAnsi="Gotham Pro LT" w:cs="Gotham Pro LT"/>
        </w:rPr>
        <w:t xml:space="preserve"> regulējums</w:t>
      </w:r>
      <w:r w:rsidR="007D1272">
        <w:rPr>
          <w:rFonts w:ascii="Gotham Pro LT" w:hAnsi="Gotham Pro LT" w:cs="Gotham Pro LT"/>
        </w:rPr>
        <w:t>, neuzliek par pienākumu valstij LTAB darbību privāto tiesību jomā pārvērst par darbību publisko tiesību jomā</w:t>
      </w:r>
      <w:r w:rsidR="006D5791">
        <w:rPr>
          <w:rFonts w:ascii="Gotham Pro LT" w:hAnsi="Gotham Pro LT" w:cs="Gotham Pro LT"/>
        </w:rPr>
        <w:t xml:space="preserve"> un </w:t>
      </w:r>
      <w:r w:rsidR="00C820BD">
        <w:rPr>
          <w:rFonts w:ascii="Gotham Pro LT" w:hAnsi="Gotham Pro LT" w:cs="Gotham Pro LT"/>
        </w:rPr>
        <w:t xml:space="preserve">visus </w:t>
      </w:r>
      <w:r w:rsidR="007D1272">
        <w:rPr>
          <w:rFonts w:ascii="Gotham Pro LT" w:hAnsi="Gotham Pro LT" w:cs="Gotham Pro LT"/>
        </w:rPr>
        <w:t xml:space="preserve">LTAB līdzšinējos </w:t>
      </w:r>
      <w:r w:rsidR="00F67585">
        <w:rPr>
          <w:rFonts w:ascii="Gotham Pro LT" w:hAnsi="Gotham Pro LT" w:cs="Gotham Pro LT"/>
        </w:rPr>
        <w:t>pienākumus turpmāk traktēt kā valsts deleģētos uzdevumus.</w:t>
      </w:r>
      <w:r w:rsidR="001B2F63">
        <w:rPr>
          <w:rFonts w:ascii="Gotham Pro LT" w:hAnsi="Gotham Pro LT" w:cs="Gotham Pro LT"/>
        </w:rPr>
        <w:t xml:space="preserve"> Tas, ka  Latvijas Republikai ir pienākums izveidot OCTA sistēmu, tajā skaitā nodrošinot nepieciešamo institūciju darbību,  automātiski nenozīmē, ka, piemēram, kompensāciju izmaksāšana, regresa prasību celšana, Garantijas fonda administrēšana vai informācijas sniegšana ir valsts pārvaldes funkcijas.</w:t>
      </w:r>
      <w:r w:rsidR="00B47D64">
        <w:rPr>
          <w:rFonts w:ascii="Gotham Pro LT" w:hAnsi="Gotham Pro LT" w:cs="Gotham Pro LT"/>
        </w:rPr>
        <w:t xml:space="preserve"> Līdzīgi arī, piemēram, pašvaldībām ir autonomā funkcija gādāt par savas teritorijas labiekārtošanu, tajā skaitā ielu būvniecību, taču ielu būvniecība kā tāda notiek privāto tiesību jomā</w:t>
      </w:r>
      <w:r w:rsidR="00E9354E">
        <w:rPr>
          <w:rFonts w:ascii="Gotham Pro LT" w:hAnsi="Gotham Pro LT" w:cs="Gotham Pro LT"/>
        </w:rPr>
        <w:t>,</w:t>
      </w:r>
      <w:r w:rsidR="00B47D64">
        <w:rPr>
          <w:rFonts w:ascii="Gotham Pro LT" w:hAnsi="Gotham Pro LT" w:cs="Gotham Pro LT"/>
        </w:rPr>
        <w:t xml:space="preserve"> un būvdarbu veicējiem netiek deleģētas valsts pārvaldes funkcijas. Pie</w:t>
      </w:r>
      <w:r w:rsidR="00F67585">
        <w:rPr>
          <w:rFonts w:ascii="Gotham Pro LT" w:hAnsi="Gotham Pro LT" w:cs="Gotham Pro LT"/>
        </w:rPr>
        <w:t xml:space="preserve"> līdzīga secinājuma ir nonākusi arī Tieslietu ministrija savā 17.04.2020. vēstulē Nr.1-13.4/1303, kas adresēta Finanšu ministrijai un kurā Tieslietu ministrija norāda, ka no starptautiskā regulējuma tieši neizriet konkrēti valsts pārvaldes uzdevumi vai funkcijas, kas valstij būtu jāievieš nacionālajā regulējumā, norādot, ka valstij ir rīcības brīvība izlemt, kā tiek veidots nacionālais regulējums. </w:t>
      </w:r>
      <w:r w:rsidR="00D812E3">
        <w:rPr>
          <w:rFonts w:ascii="Gotham Pro LT" w:hAnsi="Gotham Pro LT" w:cs="Gotham Pro LT"/>
        </w:rPr>
        <w:t>Līdz ar to  secināms, ka esošais regulējums, kas nostiprināts OCTA likumā, ir atbilstošs starptautiskajam regulējumam, un</w:t>
      </w:r>
      <w:r w:rsidR="00363F8B">
        <w:rPr>
          <w:rFonts w:ascii="Gotham Pro LT" w:hAnsi="Gotham Pro LT" w:cs="Gotham Pro LT"/>
        </w:rPr>
        <w:t xml:space="preserve"> </w:t>
      </w:r>
      <w:r w:rsidR="00D812E3">
        <w:rPr>
          <w:rFonts w:ascii="Gotham Pro LT" w:hAnsi="Gotham Pro LT" w:cs="Gotham Pro LT"/>
        </w:rPr>
        <w:t>nav nepieciešami apjomīgi grozījumi OCTA likumā, aizbildinoties, ka šād</w:t>
      </w:r>
      <w:r w:rsidR="006D5791">
        <w:rPr>
          <w:rFonts w:ascii="Gotham Pro LT" w:hAnsi="Gotham Pro LT" w:cs="Gotham Pro LT"/>
        </w:rPr>
        <w:t>u grozījumu nepieciešamību nosaka st</w:t>
      </w:r>
      <w:r w:rsidR="00D812E3">
        <w:rPr>
          <w:rFonts w:ascii="Gotham Pro LT" w:hAnsi="Gotham Pro LT" w:cs="Gotham Pro LT"/>
        </w:rPr>
        <w:t>arptautisk</w:t>
      </w:r>
      <w:r w:rsidR="006D5791">
        <w:rPr>
          <w:rFonts w:ascii="Gotham Pro LT" w:hAnsi="Gotham Pro LT" w:cs="Gotham Pro LT"/>
        </w:rPr>
        <w:t xml:space="preserve">ais normatīvais </w:t>
      </w:r>
      <w:r w:rsidR="00D812E3">
        <w:rPr>
          <w:rFonts w:ascii="Gotham Pro LT" w:hAnsi="Gotham Pro LT" w:cs="Gotham Pro LT"/>
        </w:rPr>
        <w:t>regulējum</w:t>
      </w:r>
      <w:r w:rsidR="006D5791">
        <w:rPr>
          <w:rFonts w:ascii="Gotham Pro LT" w:hAnsi="Gotham Pro LT" w:cs="Gotham Pro LT"/>
        </w:rPr>
        <w:t>s</w:t>
      </w:r>
      <w:r w:rsidR="00D812E3">
        <w:rPr>
          <w:rFonts w:ascii="Gotham Pro LT" w:hAnsi="Gotham Pro LT" w:cs="Gotham Pro LT"/>
        </w:rPr>
        <w:t xml:space="preserve">. </w:t>
      </w:r>
      <w:r w:rsidR="00C820BD" w:rsidRPr="00D812E3">
        <w:rPr>
          <w:rFonts w:ascii="Gotham Pro LT" w:hAnsi="Gotham Pro LT" w:cs="Gotham Pro LT"/>
        </w:rPr>
        <w:t xml:space="preserve">LTAB skatījumā likumprojektā pārsvarā ietverti formāla rakstura grozījumi, kas </w:t>
      </w:r>
      <w:r w:rsidR="00363F8B" w:rsidRPr="00D812E3">
        <w:rPr>
          <w:rFonts w:ascii="Gotham Pro LT" w:hAnsi="Gotham Pro LT" w:cs="Gotham Pro LT"/>
        </w:rPr>
        <w:t xml:space="preserve">ir pretrunā </w:t>
      </w:r>
      <w:r w:rsidR="006D5791">
        <w:rPr>
          <w:rFonts w:ascii="Gotham Pro LT" w:hAnsi="Gotham Pro LT" w:cs="Gotham Pro LT"/>
        </w:rPr>
        <w:t xml:space="preserve">arī </w:t>
      </w:r>
      <w:r w:rsidR="00363F8B" w:rsidRPr="00D812E3">
        <w:rPr>
          <w:rFonts w:ascii="Gotham Pro LT" w:hAnsi="Gotham Pro LT" w:cs="Gotham Pro LT"/>
        </w:rPr>
        <w:t>Valsts pārvaldes iekārtas likumā nostiprinātajiem valsts pārvaldes principiem (piem., v</w:t>
      </w:r>
      <w:r w:rsidR="00363F8B" w:rsidRPr="00D812E3">
        <w:rPr>
          <w:rFonts w:ascii="Gotham Pro LT" w:hAnsi="Gotham Pro LT" w:cs="Gotham Pro LT"/>
          <w:shd w:val="clear" w:color="auto" w:fill="FFFFFF"/>
        </w:rPr>
        <w:t>alsts pārvalde savas pilnvaras var izmantot tikai atbilstoši pilnvarojuma jēgai un mērķim, samērīga privātpersonas tiesību un tiesisko interešu ievērošana, labas un efektīvas valsts pārvaldīb</w:t>
      </w:r>
      <w:r w:rsidR="006D5791">
        <w:rPr>
          <w:rFonts w:ascii="Gotham Pro LT" w:hAnsi="Gotham Pro LT" w:cs="Gotham Pro LT"/>
          <w:shd w:val="clear" w:color="auto" w:fill="FFFFFF"/>
        </w:rPr>
        <w:t>a u.c.</w:t>
      </w:r>
      <w:r w:rsidR="00363F8B" w:rsidRPr="00D812E3">
        <w:rPr>
          <w:rFonts w:ascii="Gotham Pro LT" w:hAnsi="Gotham Pro LT" w:cs="Gotham Pro LT"/>
          <w:shd w:val="clear" w:color="auto" w:fill="FFFFFF"/>
        </w:rPr>
        <w:t>).</w:t>
      </w:r>
    </w:p>
    <w:p w14:paraId="79B1B14F" w14:textId="44875AA2" w:rsidR="00325C9A" w:rsidRPr="00B26F3C" w:rsidRDefault="00586CFD" w:rsidP="00B26F3C">
      <w:pPr>
        <w:pStyle w:val="ListParagraph"/>
        <w:numPr>
          <w:ilvl w:val="0"/>
          <w:numId w:val="1"/>
        </w:numPr>
        <w:tabs>
          <w:tab w:val="left" w:pos="993"/>
        </w:tabs>
        <w:spacing w:after="0" w:line="240" w:lineRule="auto"/>
        <w:ind w:left="0" w:firstLine="790"/>
        <w:jc w:val="both"/>
        <w:rPr>
          <w:rFonts w:ascii="Gotham Pro LT" w:hAnsi="Gotham Pro LT" w:cs="Gotham Pro LT"/>
        </w:rPr>
      </w:pPr>
      <w:r w:rsidRPr="00B26F3C">
        <w:rPr>
          <w:rFonts w:ascii="Gotham Pro LT" w:hAnsi="Gotham Pro LT" w:cs="Gotham Pro LT"/>
          <w:iCs/>
          <w:color w:val="000000"/>
          <w:lang w:eastAsia="lv-LV"/>
        </w:rPr>
        <w:t xml:space="preserve">tīmekļvietnē 2019.gada maijā publicētajā </w:t>
      </w:r>
      <w:r w:rsidRPr="00B26F3C">
        <w:rPr>
          <w:rFonts w:ascii="Gotham Pro LT" w:hAnsi="Gotham Pro LT" w:cs="Gotham Pro LT"/>
          <w:color w:val="000000"/>
          <w:shd w:val="clear" w:color="auto" w:fill="FFFFFF"/>
        </w:rPr>
        <w:t xml:space="preserve">Sauszemes transportlīdzekļu īpašnieku civiltiesiskās atbildības obligātās apdrošināšanas tirgus </w:t>
      </w:r>
      <w:r w:rsidRPr="00B26F3C">
        <w:rPr>
          <w:rFonts w:ascii="Gotham Pro LT" w:hAnsi="Gotham Pro LT" w:cs="Gotham Pro LT"/>
          <w:iCs/>
          <w:color w:val="000000"/>
          <w:lang w:eastAsia="lv-LV"/>
        </w:rPr>
        <w:t xml:space="preserve">uzraudzības ziņojumā (tīmekļvietnes adrese: </w:t>
      </w:r>
      <w:hyperlink r:id="rId14" w:history="1">
        <w:r w:rsidRPr="00B26F3C">
          <w:rPr>
            <w:rStyle w:val="Hyperlink"/>
            <w:rFonts w:ascii="Gotham Pro LT" w:hAnsi="Gotham Pro LT" w:cs="Gotham Pro LT"/>
            <w:iCs/>
            <w:lang w:eastAsia="lv-LV"/>
          </w:rPr>
          <w:t>https://www.kp.gov.lv/tirgu-uzraudziba/tirgu-uzraudzibas-zinojumi</w:t>
        </w:r>
      </w:hyperlink>
      <w:r w:rsidRPr="00B26F3C">
        <w:rPr>
          <w:rFonts w:ascii="Gotham Pro LT" w:hAnsi="Gotham Pro LT" w:cs="Gotham Pro LT"/>
          <w:iCs/>
          <w:color w:val="000000"/>
          <w:lang w:eastAsia="lv-LV"/>
        </w:rPr>
        <w:t>) (turpmāk – KP ziņojums)</w:t>
      </w:r>
      <w:r w:rsidR="00B26F3C" w:rsidRPr="00B26F3C">
        <w:rPr>
          <w:rFonts w:ascii="Gotham Pro LT" w:hAnsi="Gotham Pro LT" w:cs="Gotham Pro LT"/>
          <w:iCs/>
          <w:color w:val="000000"/>
          <w:lang w:eastAsia="lv-LV"/>
        </w:rPr>
        <w:t xml:space="preserve"> Konkurences padome ir sniegusi priekšlikumus </w:t>
      </w:r>
      <w:r w:rsidR="00B26F3C" w:rsidRPr="006A3FD7">
        <w:rPr>
          <w:rFonts w:ascii="Gotham Pro LT" w:hAnsi="Gotham Pro LT" w:cs="Gotham Pro LT"/>
          <w:iCs/>
          <w:color w:val="000000"/>
          <w:lang w:eastAsia="lv-LV"/>
        </w:rPr>
        <w:t xml:space="preserve">par nepieciešamu pārskatīt OCTA sistēmu, tās veidošanā un uzraudzībā iesaistītās institūcijas, to lomu un pilnvaras un pilnveidot normatīvo regulējumu, tostarp lai </w:t>
      </w:r>
      <w:r w:rsidR="00B26F3C" w:rsidRPr="006A3FD7">
        <w:rPr>
          <w:rFonts w:ascii="Gotham Pro LT" w:hAnsi="Gotham Pro LT" w:cs="Gotham Pro LT"/>
          <w:iCs/>
          <w:color w:val="000000"/>
          <w:lang w:eastAsia="lv-LV"/>
        </w:rPr>
        <w:lastRenderedPageBreak/>
        <w:t>novērstu iespējamo interešu konfliktu LTAB darbībā, skaidri definētu tās pilnvaras un nodrošinātu LTAB efektīvu pārraudzību</w:t>
      </w:r>
      <w:r w:rsidR="00B26F3C">
        <w:rPr>
          <w:rFonts w:ascii="Gotham Pro LT" w:hAnsi="Gotham Pro LT" w:cs="Gotham Pro LT"/>
          <w:iCs/>
          <w:color w:val="000000"/>
          <w:lang w:eastAsia="lv-LV"/>
        </w:rPr>
        <w:t xml:space="preserve">. </w:t>
      </w:r>
      <w:r w:rsidR="006A3FD7">
        <w:rPr>
          <w:rFonts w:ascii="Gotham Pro LT" w:hAnsi="Gotham Pro LT" w:cs="Gotham Pro LT"/>
          <w:iCs/>
          <w:color w:val="000000"/>
          <w:lang w:eastAsia="lv-LV"/>
        </w:rPr>
        <w:t>S</w:t>
      </w:r>
      <w:r w:rsidR="002541B6" w:rsidRPr="00586CFD">
        <w:rPr>
          <w:rFonts w:ascii="Gotham Pro LT" w:hAnsi="Gotham Pro LT" w:cs="Gotham Pro LT"/>
        </w:rPr>
        <w:t>ākotnējās ietekmes novērtējuma ziņojum</w:t>
      </w:r>
      <w:r w:rsidR="002541B6">
        <w:rPr>
          <w:rFonts w:ascii="Gotham Pro LT" w:hAnsi="Gotham Pro LT" w:cs="Gotham Pro LT"/>
        </w:rPr>
        <w:t>ā</w:t>
      </w:r>
      <w:r w:rsidR="002541B6" w:rsidRPr="00586CFD">
        <w:rPr>
          <w:rFonts w:ascii="Gotham Pro LT" w:hAnsi="Gotham Pro LT" w:cs="Gotham Pro LT"/>
        </w:rPr>
        <w:t xml:space="preserve"> (anotācij</w:t>
      </w:r>
      <w:r w:rsidR="002541B6">
        <w:rPr>
          <w:rFonts w:ascii="Gotham Pro LT" w:hAnsi="Gotham Pro LT" w:cs="Gotham Pro LT"/>
        </w:rPr>
        <w:t>ā</w:t>
      </w:r>
      <w:r w:rsidR="002541B6" w:rsidRPr="00586CFD">
        <w:rPr>
          <w:rFonts w:ascii="Gotham Pro LT" w:hAnsi="Gotham Pro LT" w:cs="Gotham Pro LT"/>
        </w:rPr>
        <w:t>)</w:t>
      </w:r>
      <w:r w:rsidR="002541B6">
        <w:rPr>
          <w:rFonts w:ascii="Gotham Pro LT" w:hAnsi="Gotham Pro LT" w:cs="Gotham Pro LT"/>
        </w:rPr>
        <w:t xml:space="preserve"> nav sniegta informācija par to, kāpēc esošais regulējums nav efektīvs</w:t>
      </w:r>
      <w:r w:rsidR="006A3FD7">
        <w:rPr>
          <w:rFonts w:ascii="Gotham Pro LT" w:hAnsi="Gotham Pro LT" w:cs="Gotham Pro LT"/>
        </w:rPr>
        <w:t>, kādas nepilnības konstatētas utt.</w:t>
      </w:r>
      <w:r w:rsidR="002541B6">
        <w:rPr>
          <w:rFonts w:ascii="Gotham Pro LT" w:hAnsi="Gotham Pro LT" w:cs="Gotham Pro LT"/>
        </w:rPr>
        <w:t xml:space="preserve"> Var piekrist tam, ka LTAB valdes locekļiem būtu likumā jānosaka kritēriji, lai persona ieņemtu noteiktu amatu, bet  </w:t>
      </w:r>
      <w:r w:rsidR="002541B6">
        <w:rPr>
          <w:rFonts w:ascii="Gotham Pro LT" w:hAnsi="Gotham Pro LT" w:cs="Gotham Pro LT"/>
          <w:iCs/>
          <w:color w:val="000000"/>
          <w:lang w:eastAsia="lv-LV"/>
        </w:rPr>
        <w:t>s</w:t>
      </w:r>
      <w:r w:rsidR="002541B6" w:rsidRPr="00586CFD">
        <w:rPr>
          <w:rFonts w:ascii="Gotham Pro LT" w:hAnsi="Gotham Pro LT" w:cs="Gotham Pro LT"/>
        </w:rPr>
        <w:t>ākotnējās ietekmes novērtējuma ziņojum</w:t>
      </w:r>
      <w:r w:rsidR="002541B6">
        <w:rPr>
          <w:rFonts w:ascii="Gotham Pro LT" w:hAnsi="Gotham Pro LT" w:cs="Gotham Pro LT"/>
        </w:rPr>
        <w:t>ā</w:t>
      </w:r>
      <w:r w:rsidR="002541B6" w:rsidRPr="00586CFD">
        <w:rPr>
          <w:rFonts w:ascii="Gotham Pro LT" w:hAnsi="Gotham Pro LT" w:cs="Gotham Pro LT"/>
        </w:rPr>
        <w:t xml:space="preserve"> (anotācij</w:t>
      </w:r>
      <w:r w:rsidR="002541B6">
        <w:rPr>
          <w:rFonts w:ascii="Gotham Pro LT" w:hAnsi="Gotham Pro LT" w:cs="Gotham Pro LT"/>
        </w:rPr>
        <w:t>ā</w:t>
      </w:r>
      <w:r w:rsidR="002541B6" w:rsidRPr="00586CFD">
        <w:rPr>
          <w:rFonts w:ascii="Gotham Pro LT" w:hAnsi="Gotham Pro LT" w:cs="Gotham Pro LT"/>
        </w:rPr>
        <w:t>)</w:t>
      </w:r>
      <w:r w:rsidR="002541B6">
        <w:rPr>
          <w:rFonts w:ascii="Gotham Pro LT" w:hAnsi="Gotham Pro LT" w:cs="Gotham Pro LT"/>
        </w:rPr>
        <w:t xml:space="preserve"> nav atrodams skaidrojums par to, kāpēc </w:t>
      </w:r>
      <w:r w:rsidR="006A3FD7">
        <w:rPr>
          <w:rFonts w:ascii="Gotham Pro LT" w:hAnsi="Gotham Pro LT" w:cs="Gotham Pro LT"/>
        </w:rPr>
        <w:t xml:space="preserve">LTAB darbība privāto tiesību jomā tiek mākslīgi pārvērsta par LTAB darbību publisko tiesību jomā. </w:t>
      </w:r>
      <w:r w:rsidR="006A3FD7">
        <w:rPr>
          <w:rFonts w:ascii="Gotham Pro LT" w:hAnsi="Gotham Pro LT" w:cs="Gotham Pro LT"/>
          <w:iCs/>
          <w:color w:val="000000"/>
          <w:lang w:eastAsia="lv-LV"/>
        </w:rPr>
        <w:t>Turklāt Konkurences padome ir  sniegusi ieteikumus (priekšlikumus) un nevis obligātu prasību veikt grozījumus OCTA likumā, savukārt Finanšu ministrija bez papildu iedziļināšanās nozares specifikā esošo regulējumu tehniski pārvērš  par valsts deleģētajiem uzdevumiem LTAB.</w:t>
      </w:r>
    </w:p>
    <w:p w14:paraId="1E46C083" w14:textId="59BFFD21" w:rsidR="00325C9A" w:rsidRPr="00F67587" w:rsidRDefault="00586CFD" w:rsidP="00325C9A">
      <w:pPr>
        <w:pStyle w:val="ListParagraph"/>
        <w:numPr>
          <w:ilvl w:val="0"/>
          <w:numId w:val="1"/>
        </w:numPr>
        <w:tabs>
          <w:tab w:val="left" w:pos="993"/>
        </w:tabs>
        <w:spacing w:after="0" w:line="240" w:lineRule="auto"/>
        <w:ind w:left="0" w:firstLine="790"/>
        <w:jc w:val="both"/>
        <w:rPr>
          <w:rFonts w:ascii="Gotham Pro LT" w:hAnsi="Gotham Pro LT" w:cs="Gotham Pro LT"/>
        </w:rPr>
      </w:pPr>
      <w:r w:rsidRPr="00F67587">
        <w:rPr>
          <w:rFonts w:ascii="Gotham Pro LT" w:hAnsi="Gotham Pro LT" w:cs="Gotham Pro LT"/>
          <w:iCs/>
          <w:color w:val="000000"/>
          <w:lang w:eastAsia="lv-LV"/>
        </w:rPr>
        <w:t>nav saprotams, kā praksē būs iespējams īstenot ar likumprojektu ieviestās izmaiņas OCTA jomā</w:t>
      </w:r>
      <w:r w:rsidR="00325C9A">
        <w:rPr>
          <w:rFonts w:ascii="Gotham Pro LT" w:hAnsi="Gotham Pro LT" w:cs="Gotham Pro LT"/>
          <w:iCs/>
          <w:color w:val="000000"/>
          <w:lang w:eastAsia="lv-LV"/>
        </w:rPr>
        <w:t xml:space="preserve">, </w:t>
      </w:r>
      <w:r w:rsidR="00890C5C">
        <w:rPr>
          <w:rFonts w:ascii="Gotham Pro LT" w:hAnsi="Gotham Pro LT" w:cs="Gotham Pro LT"/>
          <w:iCs/>
          <w:color w:val="000000"/>
          <w:lang w:eastAsia="lv-LV"/>
        </w:rPr>
        <w:t>tai skaitā šīs izmaiņas</w:t>
      </w:r>
      <w:r w:rsidR="00325C9A">
        <w:rPr>
          <w:rFonts w:ascii="Gotham Pro LT" w:hAnsi="Gotham Pro LT" w:cs="Gotham Pro LT"/>
          <w:iCs/>
          <w:color w:val="000000"/>
          <w:lang w:eastAsia="lv-LV"/>
        </w:rPr>
        <w:t>:</w:t>
      </w:r>
    </w:p>
    <w:p w14:paraId="74ACEAD0" w14:textId="5DD81112" w:rsidR="00325C9A" w:rsidRPr="00F67587" w:rsidRDefault="00B91F0A" w:rsidP="00325C9A">
      <w:pPr>
        <w:pStyle w:val="ListParagraph"/>
        <w:numPr>
          <w:ilvl w:val="0"/>
          <w:numId w:val="3"/>
        </w:numPr>
        <w:tabs>
          <w:tab w:val="left" w:pos="851"/>
        </w:tabs>
        <w:spacing w:after="0" w:line="240" w:lineRule="auto"/>
        <w:ind w:left="0" w:firstLine="993"/>
        <w:jc w:val="both"/>
        <w:rPr>
          <w:rFonts w:ascii="Gotham Pro LT" w:hAnsi="Gotham Pro LT" w:cs="Gotham Pro LT"/>
        </w:rPr>
      </w:pPr>
      <w:r w:rsidRPr="00325C9A">
        <w:rPr>
          <w:rFonts w:ascii="Gotham Pro LT" w:hAnsi="Gotham Pro LT" w:cs="Gotham Pro LT"/>
          <w:iCs/>
          <w:color w:val="000000"/>
          <w:lang w:eastAsia="lv-LV"/>
        </w:rPr>
        <w:t>izslēdzot normu par tiesībām piesaistīt trešās personas,</w:t>
      </w:r>
      <w:r w:rsidR="007D24CE">
        <w:rPr>
          <w:rFonts w:ascii="Gotham Pro LT" w:hAnsi="Gotham Pro LT" w:cs="Gotham Pro LT"/>
          <w:iCs/>
          <w:color w:val="000000"/>
          <w:lang w:eastAsia="lv-LV"/>
        </w:rPr>
        <w:t xml:space="preserve"> vienlaikus saglabājot plašo valsts pārvaldes deleģēto uzdevumu uzskaitījumu, </w:t>
      </w:r>
      <w:r w:rsidRPr="00325C9A">
        <w:rPr>
          <w:rFonts w:ascii="Gotham Pro LT" w:hAnsi="Gotham Pro LT" w:cs="Gotham Pro LT"/>
          <w:iCs/>
          <w:color w:val="000000"/>
          <w:lang w:eastAsia="lv-LV"/>
        </w:rPr>
        <w:t xml:space="preserve"> </w:t>
      </w:r>
      <w:r w:rsidR="007D24CE">
        <w:rPr>
          <w:rFonts w:ascii="Gotham Pro LT" w:hAnsi="Gotham Pro LT" w:cs="Gotham Pro LT"/>
          <w:iCs/>
          <w:color w:val="000000"/>
          <w:lang w:eastAsia="lv-LV"/>
        </w:rPr>
        <w:t>tiek radīta situācij</w:t>
      </w:r>
      <w:r w:rsidR="00D32128">
        <w:rPr>
          <w:rFonts w:ascii="Gotham Pro LT" w:hAnsi="Gotham Pro LT" w:cs="Gotham Pro LT"/>
          <w:iCs/>
          <w:color w:val="000000"/>
          <w:lang w:eastAsia="lv-LV"/>
        </w:rPr>
        <w:t>a</w:t>
      </w:r>
      <w:r w:rsidR="007D24CE">
        <w:rPr>
          <w:rFonts w:ascii="Gotham Pro LT" w:hAnsi="Gotham Pro LT" w:cs="Gotham Pro LT"/>
          <w:iCs/>
          <w:color w:val="000000"/>
          <w:lang w:eastAsia="lv-LV"/>
        </w:rPr>
        <w:t xml:space="preserve">, kurā </w:t>
      </w:r>
      <w:r w:rsidRPr="00325C9A">
        <w:rPr>
          <w:rFonts w:ascii="Gotham Pro LT" w:hAnsi="Gotham Pro LT" w:cs="Gotham Pro LT"/>
          <w:iCs/>
          <w:color w:val="000000"/>
          <w:lang w:eastAsia="lv-LV"/>
        </w:rPr>
        <w:t>LATB nebūs iespējams izmantot LTAB biedru – OCTA apdrošinātāju sniegtos pakalpojumus LTAB piekritīgo atlīdzību lietu administrēšanas procesā (zaudējumu pieteikumu pieņemšana, novērtē</w:t>
      </w:r>
      <w:r w:rsidRPr="00324433">
        <w:rPr>
          <w:rFonts w:ascii="Gotham Pro LT" w:hAnsi="Gotham Pro LT" w:cs="Gotham Pro LT"/>
          <w:iCs/>
          <w:color w:val="000000"/>
          <w:lang w:eastAsia="lv-LV"/>
        </w:rPr>
        <w:t>šana un aprēķināšana)</w:t>
      </w:r>
      <w:r w:rsidRPr="00890C5C">
        <w:rPr>
          <w:rFonts w:ascii="Gotham Pro LT" w:hAnsi="Gotham Pro LT" w:cs="Gotham Pro LT"/>
          <w:iCs/>
          <w:color w:val="000000"/>
          <w:lang w:eastAsia="lv-LV"/>
        </w:rPr>
        <w:t xml:space="preserve">, kas līdz šim veiksmīgi </w:t>
      </w:r>
      <w:r w:rsidRPr="00325C9A">
        <w:rPr>
          <w:rFonts w:ascii="Gotham Pro LT" w:hAnsi="Gotham Pro LT" w:cs="Gotham Pro LT"/>
          <w:iCs/>
          <w:color w:val="000000"/>
          <w:lang w:eastAsia="lv-LV"/>
        </w:rPr>
        <w:t>praksē īstenota</w:t>
      </w:r>
      <w:r w:rsidR="00325C9A">
        <w:rPr>
          <w:rFonts w:ascii="Gotham Pro LT" w:hAnsi="Gotham Pro LT" w:cs="Gotham Pro LT"/>
          <w:iCs/>
          <w:color w:val="000000"/>
          <w:lang w:eastAsia="lv-LV"/>
        </w:rPr>
        <w:t>, lai LTAB pēc iespējas īsākā laika posmā veiktu atlīdzības izmaksu ceļu satiksmes negadījumā cietušajām personām no OCTA Garantijas fonda</w:t>
      </w:r>
      <w:r w:rsidR="00E9354E">
        <w:rPr>
          <w:rFonts w:ascii="Gotham Pro LT" w:hAnsi="Gotham Pro LT" w:cs="Gotham Pro LT"/>
          <w:iCs/>
          <w:color w:val="000000"/>
          <w:lang w:eastAsia="lv-LV"/>
        </w:rPr>
        <w:t>. T</w:t>
      </w:r>
      <w:r w:rsidR="00325C9A">
        <w:rPr>
          <w:rFonts w:ascii="Gotham Pro LT" w:hAnsi="Gotham Pro LT" w:cs="Gotham Pro LT"/>
          <w:iCs/>
          <w:color w:val="000000"/>
          <w:lang w:eastAsia="lv-LV"/>
        </w:rPr>
        <w:t>urpmāk</w:t>
      </w:r>
      <w:r w:rsidRPr="00325C9A">
        <w:rPr>
          <w:rFonts w:ascii="Gotham Pro LT" w:hAnsi="Gotham Pro LT" w:cs="Gotham Pro LT"/>
          <w:iCs/>
          <w:color w:val="000000"/>
          <w:lang w:eastAsia="lv-LV"/>
        </w:rPr>
        <w:t xml:space="preserve"> LTAB nāksies atvērt </w:t>
      </w:r>
      <w:r w:rsidR="006A3FD7" w:rsidRPr="00325C9A">
        <w:rPr>
          <w:rFonts w:ascii="Gotham Pro LT" w:hAnsi="Gotham Pro LT" w:cs="Gotham Pro LT"/>
          <w:iCs/>
          <w:color w:val="000000"/>
          <w:lang w:eastAsia="lv-LV"/>
        </w:rPr>
        <w:t>filiāles Latvijā</w:t>
      </w:r>
      <w:r w:rsidRPr="00325C9A">
        <w:rPr>
          <w:rFonts w:ascii="Gotham Pro LT" w:hAnsi="Gotham Pro LT" w:cs="Gotham Pro LT"/>
          <w:iCs/>
          <w:color w:val="000000"/>
          <w:lang w:eastAsia="lv-LV"/>
        </w:rPr>
        <w:t xml:space="preserve"> un piesaistīt darbiniekus,</w:t>
      </w:r>
      <w:r w:rsidR="00C50F73" w:rsidRPr="00325C9A">
        <w:rPr>
          <w:rFonts w:ascii="Gotham Pro LT" w:hAnsi="Gotham Pro LT" w:cs="Gotham Pro LT"/>
          <w:iCs/>
          <w:color w:val="000000"/>
          <w:lang w:eastAsia="lv-LV"/>
        </w:rPr>
        <w:t xml:space="preserve"> kā rezultātā</w:t>
      </w:r>
      <w:r w:rsidRPr="00325C9A">
        <w:rPr>
          <w:rFonts w:ascii="Gotham Pro LT" w:hAnsi="Gotham Pro LT" w:cs="Gotham Pro LT"/>
          <w:iCs/>
          <w:color w:val="000000"/>
          <w:lang w:eastAsia="lv-LV"/>
        </w:rPr>
        <w:t xml:space="preserve"> pieaugs </w:t>
      </w:r>
      <w:r w:rsidR="00C50F73" w:rsidRPr="00325C9A">
        <w:rPr>
          <w:rFonts w:ascii="Gotham Pro LT" w:hAnsi="Gotham Pro LT" w:cs="Gotham Pro LT"/>
          <w:iCs/>
          <w:color w:val="000000"/>
          <w:lang w:eastAsia="lv-LV"/>
        </w:rPr>
        <w:t>administratīvās izmaksas</w:t>
      </w:r>
      <w:r w:rsidR="003427A5">
        <w:rPr>
          <w:rFonts w:ascii="Gotham Pro LT" w:hAnsi="Gotham Pro LT" w:cs="Gotham Pro LT"/>
          <w:iCs/>
          <w:color w:val="000000"/>
          <w:lang w:eastAsia="lv-LV"/>
        </w:rPr>
        <w:t>,</w:t>
      </w:r>
    </w:p>
    <w:p w14:paraId="21D3CB7F" w14:textId="0A353230" w:rsidR="00325C9A" w:rsidRPr="006365F8" w:rsidRDefault="00325C9A" w:rsidP="00325C9A">
      <w:pPr>
        <w:pStyle w:val="ListParagraph"/>
        <w:numPr>
          <w:ilvl w:val="0"/>
          <w:numId w:val="3"/>
        </w:numPr>
        <w:tabs>
          <w:tab w:val="left" w:pos="851"/>
        </w:tabs>
        <w:spacing w:after="0" w:line="240" w:lineRule="auto"/>
        <w:ind w:left="0" w:firstLine="993"/>
        <w:jc w:val="both"/>
        <w:rPr>
          <w:rFonts w:ascii="Gotham Pro LT" w:hAnsi="Gotham Pro LT" w:cs="Gotham Pro LT"/>
        </w:rPr>
      </w:pPr>
      <w:r>
        <w:rPr>
          <w:rFonts w:ascii="Gotham Pro LT" w:hAnsi="Gotham Pro LT" w:cs="Gotham Pro LT"/>
          <w:iCs/>
          <w:color w:val="000000"/>
          <w:lang w:eastAsia="lv-LV"/>
        </w:rPr>
        <w:t xml:space="preserve">tāpat </w:t>
      </w:r>
      <w:r w:rsidR="00C50F73" w:rsidRPr="00325C9A">
        <w:rPr>
          <w:rFonts w:ascii="Gotham Pro LT" w:hAnsi="Gotham Pro LT" w:cs="Gotham Pro LT"/>
          <w:iCs/>
          <w:color w:val="000000"/>
          <w:lang w:eastAsia="lv-LV"/>
        </w:rPr>
        <w:t xml:space="preserve">nāksies piesaistīt kvalificētus speciālistus </w:t>
      </w:r>
      <w:r w:rsidR="006A3FD7" w:rsidRPr="00325C9A">
        <w:rPr>
          <w:rFonts w:ascii="Gotham Pro LT" w:hAnsi="Gotham Pro LT" w:cs="Gotham Pro LT"/>
          <w:iCs/>
          <w:color w:val="000000"/>
          <w:lang w:eastAsia="lv-LV"/>
        </w:rPr>
        <w:t>Garantijas fonda ieguldīšan</w:t>
      </w:r>
      <w:r w:rsidR="00C50F73" w:rsidRPr="00325C9A">
        <w:rPr>
          <w:rFonts w:ascii="Gotham Pro LT" w:hAnsi="Gotham Pro LT" w:cs="Gotham Pro LT"/>
          <w:iCs/>
          <w:color w:val="000000"/>
          <w:lang w:eastAsia="lv-LV"/>
        </w:rPr>
        <w:t>ā</w:t>
      </w:r>
      <w:r w:rsidR="00B91F0A" w:rsidRPr="00325C9A">
        <w:rPr>
          <w:rFonts w:ascii="Gotham Pro LT" w:hAnsi="Gotham Pro LT" w:cs="Gotham Pro LT"/>
          <w:iCs/>
          <w:color w:val="000000"/>
          <w:lang w:eastAsia="lv-LV"/>
        </w:rPr>
        <w:t>, kur šobrīd arī ir piesaistīta trešā persona,</w:t>
      </w:r>
    </w:p>
    <w:p w14:paraId="35D2FF8E" w14:textId="20D28EE1" w:rsidR="00164B09" w:rsidRPr="00F67587" w:rsidRDefault="00164B09" w:rsidP="00325C9A">
      <w:pPr>
        <w:pStyle w:val="ListParagraph"/>
        <w:numPr>
          <w:ilvl w:val="0"/>
          <w:numId w:val="3"/>
        </w:numPr>
        <w:tabs>
          <w:tab w:val="left" w:pos="851"/>
        </w:tabs>
        <w:spacing w:after="0" w:line="240" w:lineRule="auto"/>
        <w:ind w:left="0" w:firstLine="993"/>
        <w:jc w:val="both"/>
        <w:rPr>
          <w:rFonts w:ascii="Gotham Pro LT" w:hAnsi="Gotham Pro LT" w:cs="Gotham Pro LT"/>
        </w:rPr>
      </w:pPr>
      <w:r>
        <w:rPr>
          <w:rFonts w:ascii="Gotham Pro LT" w:hAnsi="Gotham Pro LT" w:cs="Gotham Pro LT"/>
          <w:iCs/>
          <w:color w:val="000000"/>
          <w:lang w:eastAsia="lv-LV"/>
        </w:rPr>
        <w:t>pieņemot, ka LTAB funkcijas ir valsts pārvaldes deleģēti uzdevumi, nāktos secināt, ka, pildot attiecīgos uzdevumus, LTAB rīkojas publisko tiesību jomā. Līdz ar to LTAB lēmumi, ar kuriem tiks nodibinātas, grozītas, konstatētas vai izbeigtas konkrētas tiesiskās attiecības, būs uzskatāmi par administratīvajiem aktiem (piemēram, atteikums izmaksāt zaudējumu atlīdzību)</w:t>
      </w:r>
      <w:r w:rsidR="00E7084E">
        <w:rPr>
          <w:rFonts w:ascii="Gotham Pro LT" w:hAnsi="Gotham Pro LT" w:cs="Gotham Pro LT"/>
          <w:iCs/>
          <w:color w:val="000000"/>
          <w:lang w:eastAsia="lv-LV"/>
        </w:rPr>
        <w:t>, pat ja likumā netiks ietverts deleģējums LTAB izdot administratīvos aktus</w:t>
      </w:r>
      <w:r>
        <w:rPr>
          <w:rFonts w:ascii="Gotham Pro LT" w:hAnsi="Gotham Pro LT" w:cs="Gotham Pro LT"/>
          <w:iCs/>
          <w:color w:val="000000"/>
          <w:lang w:eastAsia="lv-LV"/>
        </w:rPr>
        <w:t xml:space="preserve">. Likumprojekts un </w:t>
      </w:r>
      <w:r w:rsidRPr="00586CFD">
        <w:rPr>
          <w:rFonts w:ascii="Gotham Pro LT" w:hAnsi="Gotham Pro LT" w:cs="Gotham Pro LT"/>
        </w:rPr>
        <w:t>sākotnējās ietekmes novērtējuma ziņojum</w:t>
      </w:r>
      <w:r>
        <w:rPr>
          <w:rFonts w:ascii="Gotham Pro LT" w:hAnsi="Gotham Pro LT" w:cs="Gotham Pro LT"/>
        </w:rPr>
        <w:t>s</w:t>
      </w:r>
      <w:r w:rsidRPr="00586CFD">
        <w:rPr>
          <w:rFonts w:ascii="Gotham Pro LT" w:hAnsi="Gotham Pro LT" w:cs="Gotham Pro LT"/>
        </w:rPr>
        <w:t xml:space="preserve"> (anotācij</w:t>
      </w:r>
      <w:r>
        <w:rPr>
          <w:rFonts w:ascii="Gotham Pro LT" w:hAnsi="Gotham Pro LT" w:cs="Gotham Pro LT"/>
        </w:rPr>
        <w:t>a</w:t>
      </w:r>
      <w:r w:rsidRPr="00586CFD">
        <w:rPr>
          <w:rFonts w:ascii="Gotham Pro LT" w:hAnsi="Gotham Pro LT" w:cs="Gotham Pro LT"/>
        </w:rPr>
        <w:t>)</w:t>
      </w:r>
      <w:r>
        <w:rPr>
          <w:rFonts w:ascii="Gotham Pro LT" w:hAnsi="Gotham Pro LT" w:cs="Gotham Pro LT"/>
        </w:rPr>
        <w:t xml:space="preserve"> nesniedz pietiekamu skaidrību par to, kuri lēmumi būs uzskatāmi par administratīvajiem aktiem un kuri no strīdiem būs risināmi vispārējas jurisdikcijas tiesās Civilprocesa likum</w:t>
      </w:r>
      <w:r w:rsidR="00487A23">
        <w:rPr>
          <w:rFonts w:ascii="Gotham Pro LT" w:hAnsi="Gotham Pro LT" w:cs="Gotham Pro LT"/>
        </w:rPr>
        <w:t>ā</w:t>
      </w:r>
      <w:r>
        <w:rPr>
          <w:rFonts w:ascii="Gotham Pro LT" w:hAnsi="Gotham Pro LT" w:cs="Gotham Pro LT"/>
        </w:rPr>
        <w:t xml:space="preserve"> noteiktajā kārtībā. No esošās likumprojekta redakcijas izriet, ka visi LTAB lēmumi būs uzskatāmi par administratīvajiem aktiem (ja tie atbilst administratīvā akta pazīmēm) un apstrīdami / pārsūdzami Administratīvā procesa likum</w:t>
      </w:r>
      <w:r w:rsidR="00487A23">
        <w:rPr>
          <w:rFonts w:ascii="Gotham Pro LT" w:hAnsi="Gotham Pro LT" w:cs="Gotham Pro LT"/>
        </w:rPr>
        <w:t>ā</w:t>
      </w:r>
      <w:r>
        <w:rPr>
          <w:rFonts w:ascii="Gotham Pro LT" w:hAnsi="Gotham Pro LT" w:cs="Gotham Pro LT"/>
        </w:rPr>
        <w:t xml:space="preserve"> noteiktajā kārtībā. Ievērojot Valsts pārvaldes iekārtas likuma 43. panta piekto daļu, LTAB izdotos administratīvos aktus varēs apstrīdēt Finanšu ministrijā (izņēmums ir lēmumi par ekspertu sertificēšanu, kuru pārsūdzēšanas kārtība atrunāta likumprojekta 3. pantā),</w:t>
      </w:r>
    </w:p>
    <w:p w14:paraId="612E4389" w14:textId="5B8365E3" w:rsidR="00324433" w:rsidRPr="00BF7CC1" w:rsidRDefault="00324433" w:rsidP="00324433">
      <w:pPr>
        <w:pStyle w:val="ListParagraph"/>
        <w:numPr>
          <w:ilvl w:val="0"/>
          <w:numId w:val="3"/>
        </w:numPr>
        <w:tabs>
          <w:tab w:val="left" w:pos="851"/>
        </w:tabs>
        <w:spacing w:after="0" w:line="240" w:lineRule="auto"/>
        <w:ind w:left="0" w:firstLine="993"/>
        <w:jc w:val="both"/>
        <w:rPr>
          <w:rFonts w:ascii="Gotham Pro LT" w:hAnsi="Gotham Pro LT" w:cs="Gotham Pro LT"/>
        </w:rPr>
      </w:pPr>
      <w:r w:rsidRPr="003427A5">
        <w:rPr>
          <w:rFonts w:ascii="Gotham Pro LT" w:hAnsi="Gotham Pro LT" w:cs="Gotham Pro LT"/>
          <w:iCs/>
          <w:color w:val="000000"/>
          <w:lang w:eastAsia="lv-LV"/>
        </w:rPr>
        <w:t>neskaidrs ir regulējums par gadījumiem, kad LTAB valdes locekli varēs atsaukt no amata, t.i., kas izvērtēs un noteiks, kad LTAB valdes locekļa</w:t>
      </w:r>
      <w:r w:rsidRPr="00BF7CC1">
        <w:rPr>
          <w:rFonts w:ascii="Gotham Pro LT" w:hAnsi="Gotham Pro LT" w:cs="Gotham Pro LT"/>
          <w:bCs/>
          <w:iCs/>
        </w:rPr>
        <w:t xml:space="preserve"> rīcība ir kaitējusi </w:t>
      </w:r>
      <w:r>
        <w:rPr>
          <w:rFonts w:ascii="Gotham Pro LT" w:hAnsi="Gotham Pro LT" w:cs="Gotham Pro LT"/>
          <w:bCs/>
          <w:iCs/>
        </w:rPr>
        <w:t>LTAB</w:t>
      </w:r>
      <w:r w:rsidRPr="00BF7CC1">
        <w:rPr>
          <w:rFonts w:ascii="Gotham Pro LT" w:hAnsi="Gotham Pro LT" w:cs="Gotham Pro LT"/>
          <w:bCs/>
          <w:iCs/>
        </w:rPr>
        <w:t xml:space="preserve"> deleģēto valsts pārvaldes uzdevumu izpildei vai radījusi situāciju, kas var apdraudēt </w:t>
      </w:r>
      <w:r>
        <w:rPr>
          <w:rFonts w:ascii="Gotham Pro LT" w:hAnsi="Gotham Pro LT" w:cs="Gotham Pro LT"/>
          <w:bCs/>
          <w:iCs/>
        </w:rPr>
        <w:t>LTAB</w:t>
      </w:r>
      <w:r w:rsidRPr="00BF7CC1">
        <w:rPr>
          <w:rFonts w:ascii="Gotham Pro LT" w:hAnsi="Gotham Pro LT" w:cs="Gotham Pro LT"/>
          <w:bCs/>
          <w:iCs/>
        </w:rPr>
        <w:t xml:space="preserve"> deleģēto valsts pārvaldes uzdevumu izpildi</w:t>
      </w:r>
      <w:r>
        <w:rPr>
          <w:rFonts w:ascii="Gotham Pro LT" w:hAnsi="Gotham Pro LT" w:cs="Gotham Pro LT"/>
          <w:bCs/>
          <w:iCs/>
        </w:rPr>
        <w:t xml:space="preserve">, t.i.,  nav skaidrs, vai </w:t>
      </w:r>
      <w:r w:rsidR="007D24CE">
        <w:rPr>
          <w:rFonts w:ascii="Gotham Pro LT" w:hAnsi="Gotham Pro LT" w:cs="Gotham Pro LT"/>
          <w:bCs/>
          <w:iCs/>
        </w:rPr>
        <w:t xml:space="preserve">šajos gadījumos </w:t>
      </w:r>
      <w:r>
        <w:rPr>
          <w:rFonts w:ascii="Gotham Pro LT" w:hAnsi="Gotham Pro LT" w:cs="Gotham Pro LT"/>
          <w:bCs/>
          <w:iCs/>
        </w:rPr>
        <w:t xml:space="preserve">būs </w:t>
      </w:r>
      <w:r w:rsidR="007D24CE">
        <w:rPr>
          <w:rFonts w:ascii="Gotham Pro LT" w:hAnsi="Gotham Pro LT" w:cs="Gotham Pro LT"/>
          <w:bCs/>
          <w:iCs/>
        </w:rPr>
        <w:t>jākonstatē</w:t>
      </w:r>
      <w:r>
        <w:rPr>
          <w:rFonts w:ascii="Gotham Pro LT" w:hAnsi="Gotham Pro LT" w:cs="Gotham Pro LT"/>
          <w:bCs/>
          <w:iCs/>
        </w:rPr>
        <w:t xml:space="preserve"> valdes locekļa </w:t>
      </w:r>
      <w:r>
        <w:rPr>
          <w:rFonts w:ascii="Gotham Pro LT" w:hAnsi="Gotham Pro LT" w:cs="Gotham Pro LT"/>
          <w:iCs/>
          <w:color w:val="000000"/>
          <w:lang w:eastAsia="lv-LV"/>
        </w:rPr>
        <w:t>civiltiesiskā, administratīvā vai krimināltiesiskā atbildība.</w:t>
      </w:r>
      <w:r w:rsidRPr="003427A5">
        <w:rPr>
          <w:rFonts w:ascii="Gotham Pro LT" w:hAnsi="Gotham Pro LT" w:cs="Gotham Pro LT"/>
          <w:iCs/>
          <w:color w:val="000000"/>
          <w:lang w:eastAsia="lv-LV"/>
        </w:rPr>
        <w:t xml:space="preserve"> </w:t>
      </w:r>
      <w:r w:rsidR="007D24CE">
        <w:rPr>
          <w:rFonts w:ascii="Gotham Pro LT" w:hAnsi="Gotham Pro LT" w:cs="Gotham Pro LT"/>
          <w:iCs/>
          <w:color w:val="000000"/>
          <w:lang w:eastAsia="lv-LV"/>
        </w:rPr>
        <w:t>Šāda vispārīga regulējuma paredzējums, vienlaikus, nenodrošinot skaidru tā piemērošanas mehānismu</w:t>
      </w:r>
      <w:r w:rsidR="00D32128">
        <w:rPr>
          <w:rFonts w:ascii="Gotham Pro LT" w:hAnsi="Gotham Pro LT" w:cs="Gotham Pro LT"/>
          <w:iCs/>
          <w:color w:val="000000"/>
          <w:lang w:eastAsia="lv-LV"/>
        </w:rPr>
        <w:t xml:space="preserve">, </w:t>
      </w:r>
      <w:r w:rsidR="007D24CE">
        <w:rPr>
          <w:rFonts w:ascii="Gotham Pro LT" w:hAnsi="Gotham Pro LT" w:cs="Gotham Pro LT"/>
          <w:iCs/>
          <w:color w:val="000000"/>
          <w:lang w:eastAsia="lv-LV"/>
        </w:rPr>
        <w:t>rada neparedzamas tiesiskas sekas.</w:t>
      </w:r>
    </w:p>
    <w:p w14:paraId="7C19C536" w14:textId="4CCF9E55" w:rsidR="00586CFD" w:rsidRPr="00F67587" w:rsidRDefault="00325C9A" w:rsidP="00F67587">
      <w:pPr>
        <w:tabs>
          <w:tab w:val="left" w:pos="993"/>
        </w:tabs>
        <w:spacing w:after="0" w:line="240" w:lineRule="auto"/>
        <w:jc w:val="both"/>
        <w:rPr>
          <w:rFonts w:ascii="Gotham Pro LT" w:hAnsi="Gotham Pro LT" w:cs="Gotham Pro LT"/>
        </w:rPr>
      </w:pPr>
      <w:r>
        <w:rPr>
          <w:rFonts w:ascii="Gotham Pro LT" w:hAnsi="Gotham Pro LT" w:cs="Gotham Pro LT"/>
          <w:iCs/>
          <w:color w:val="000000"/>
          <w:lang w:eastAsia="lv-LV"/>
        </w:rPr>
        <w:tab/>
      </w:r>
      <w:r w:rsidR="006A3FD7" w:rsidRPr="00F67587">
        <w:rPr>
          <w:rFonts w:ascii="Gotham Pro LT" w:hAnsi="Gotham Pro LT" w:cs="Gotham Pro LT"/>
          <w:iCs/>
          <w:color w:val="000000"/>
          <w:lang w:eastAsia="lv-LV"/>
        </w:rPr>
        <w:t>T</w:t>
      </w:r>
      <w:r w:rsidR="00586CFD" w:rsidRPr="00F67587">
        <w:rPr>
          <w:rFonts w:ascii="Gotham Pro LT" w:hAnsi="Gotham Pro LT" w:cs="Gotham Pro LT"/>
          <w:iCs/>
          <w:color w:val="000000"/>
          <w:lang w:eastAsia="lv-LV"/>
        </w:rPr>
        <w:t>eorētiski pieņemot, ka likumprojekts tiek pieņemts esošajā redakcijā, LTAB būs nepieciešami ievērojami papildu finansiālie resursi un laiks, lai mēģinātu ieviest praksē ar likumprojektu paredzētās izmaiņas</w:t>
      </w:r>
      <w:r w:rsidR="006A3FD7" w:rsidRPr="00F67587">
        <w:rPr>
          <w:rFonts w:ascii="Gotham Pro LT" w:hAnsi="Gotham Pro LT" w:cs="Gotham Pro LT"/>
          <w:iCs/>
          <w:color w:val="000000"/>
          <w:lang w:eastAsia="lv-LV"/>
        </w:rPr>
        <w:t xml:space="preserve">, kas zināmā mērā ietekmēs </w:t>
      </w:r>
      <w:r w:rsidR="009358A0" w:rsidRPr="00F67587">
        <w:rPr>
          <w:rFonts w:ascii="Gotham Pro LT" w:hAnsi="Gotham Pro LT" w:cs="Gotham Pro LT"/>
          <w:iCs/>
          <w:color w:val="000000"/>
          <w:lang w:eastAsia="lv-LV"/>
        </w:rPr>
        <w:t>ikvienu transportlīdzekļa</w:t>
      </w:r>
      <w:r w:rsidR="006A3FD7" w:rsidRPr="00F67587">
        <w:rPr>
          <w:rFonts w:ascii="Gotham Pro LT" w:hAnsi="Gotham Pro LT" w:cs="Gotham Pro LT"/>
          <w:iCs/>
          <w:color w:val="000000"/>
          <w:lang w:eastAsia="lv-LV"/>
        </w:rPr>
        <w:t xml:space="preserve"> īpašnieku/tiesīgo lietotāju, jo finansējumu LTAB darbības nodrošināšanai sedz apdrošinātāji no OCTA apdrošināšanas prēmijām</w:t>
      </w:r>
      <w:r w:rsidR="00B91F0A" w:rsidRPr="00F67587">
        <w:rPr>
          <w:rFonts w:ascii="Gotham Pro LT" w:hAnsi="Gotham Pro LT" w:cs="Gotham Pro LT"/>
          <w:iCs/>
          <w:color w:val="000000"/>
          <w:lang w:eastAsia="lv-LV"/>
        </w:rPr>
        <w:t>.</w:t>
      </w:r>
      <w:r w:rsidR="006A3FD7" w:rsidRPr="00F67587">
        <w:rPr>
          <w:rFonts w:ascii="Gotham Pro LT" w:hAnsi="Gotham Pro LT" w:cs="Gotham Pro LT"/>
          <w:iCs/>
          <w:color w:val="000000"/>
          <w:lang w:eastAsia="lv-LV"/>
        </w:rPr>
        <w:t xml:space="preserve"> </w:t>
      </w:r>
      <w:r w:rsidR="00F36302" w:rsidRPr="00F67587">
        <w:rPr>
          <w:rFonts w:ascii="Gotham Pro LT" w:hAnsi="Gotham Pro LT" w:cs="Gotham Pro LT"/>
          <w:iCs/>
          <w:color w:val="000000"/>
          <w:lang w:eastAsia="lv-LV"/>
        </w:rPr>
        <w:t>P</w:t>
      </w:r>
      <w:r w:rsidR="006A3FD7" w:rsidRPr="00F67587">
        <w:rPr>
          <w:rFonts w:ascii="Gotham Pro LT" w:hAnsi="Gotham Pro LT" w:cs="Gotham Pro LT"/>
          <w:iCs/>
          <w:color w:val="000000"/>
          <w:lang w:eastAsia="lv-LV"/>
        </w:rPr>
        <w:t xml:space="preserve">roblēma ir ne tikai papildu administratīvais slogs un </w:t>
      </w:r>
      <w:r w:rsidR="00372F5F" w:rsidRPr="00F67587">
        <w:rPr>
          <w:rFonts w:ascii="Gotham Pro LT" w:hAnsi="Gotham Pro LT" w:cs="Gotham Pro LT"/>
          <w:iCs/>
          <w:color w:val="000000"/>
          <w:lang w:eastAsia="lv-LV"/>
        </w:rPr>
        <w:t>pieaugošās izmaksas, bet arī ar likumprojektu līdz šim neatrisinātās pretruna</w:t>
      </w:r>
      <w:r w:rsidR="00B91F0A" w:rsidRPr="00F67587">
        <w:rPr>
          <w:rFonts w:ascii="Gotham Pro LT" w:hAnsi="Gotham Pro LT" w:cs="Gotham Pro LT"/>
          <w:iCs/>
          <w:color w:val="000000"/>
          <w:lang w:eastAsia="lv-LV"/>
        </w:rPr>
        <w:t>s</w:t>
      </w:r>
      <w:r w:rsidR="00372F5F" w:rsidRPr="00F67587">
        <w:rPr>
          <w:rFonts w:ascii="Gotham Pro LT" w:hAnsi="Gotham Pro LT" w:cs="Gotham Pro LT"/>
          <w:iCs/>
          <w:color w:val="000000"/>
          <w:lang w:eastAsia="lv-LV"/>
        </w:rPr>
        <w:t>, kas</w:t>
      </w:r>
      <w:r w:rsidR="00B91F0A" w:rsidRPr="00F67587">
        <w:rPr>
          <w:rFonts w:ascii="Gotham Pro LT" w:hAnsi="Gotham Pro LT" w:cs="Gotham Pro LT"/>
          <w:iCs/>
          <w:color w:val="000000"/>
          <w:lang w:eastAsia="lv-LV"/>
        </w:rPr>
        <w:t xml:space="preserve"> plaši aprakstītas LTAB iebildumos un kas</w:t>
      </w:r>
      <w:r w:rsidR="00372F5F" w:rsidRPr="00F67587">
        <w:rPr>
          <w:rFonts w:ascii="Gotham Pro LT" w:hAnsi="Gotham Pro LT" w:cs="Gotham Pro LT"/>
          <w:iCs/>
          <w:color w:val="000000"/>
          <w:lang w:eastAsia="lv-LV"/>
        </w:rPr>
        <w:t xml:space="preserve"> saistītas ar vēlmi noteikt visus LTAB līdzšinējos uzdevumus par valsts deleģētajiem uzdevumiem.</w:t>
      </w:r>
      <w:r w:rsidR="007D24CE">
        <w:rPr>
          <w:rFonts w:ascii="Gotham Pro LT" w:hAnsi="Gotham Pro LT" w:cs="Gotham Pro LT"/>
          <w:iCs/>
          <w:color w:val="000000"/>
          <w:lang w:eastAsia="lv-LV"/>
        </w:rPr>
        <w:t xml:space="preserve"> Vēršam uzmanību, ka Finanšu ministrija kā likumprojekta izstrādātājs LTA</w:t>
      </w:r>
      <w:r w:rsidR="00715B1D">
        <w:rPr>
          <w:rFonts w:ascii="Gotham Pro LT" w:hAnsi="Gotham Pro LT" w:cs="Gotham Pro LT"/>
          <w:iCs/>
          <w:color w:val="000000"/>
          <w:lang w:eastAsia="lv-LV"/>
        </w:rPr>
        <w:t>B</w:t>
      </w:r>
      <w:r w:rsidR="007D24CE">
        <w:rPr>
          <w:rFonts w:ascii="Gotham Pro LT" w:hAnsi="Gotham Pro LT" w:cs="Gotham Pro LT"/>
          <w:iCs/>
          <w:color w:val="000000"/>
          <w:lang w:eastAsia="lv-LV"/>
        </w:rPr>
        <w:t xml:space="preserve"> ieskatā</w:t>
      </w:r>
      <w:r w:rsidR="00715B1D">
        <w:rPr>
          <w:rFonts w:ascii="Gotham Pro LT" w:hAnsi="Gotham Pro LT" w:cs="Gotham Pro LT"/>
          <w:iCs/>
          <w:color w:val="000000"/>
          <w:lang w:eastAsia="lv-LV"/>
        </w:rPr>
        <w:t xml:space="preserve"> līdz šim</w:t>
      </w:r>
      <w:r w:rsidR="007D24CE">
        <w:rPr>
          <w:rFonts w:ascii="Gotham Pro LT" w:hAnsi="Gotham Pro LT" w:cs="Gotham Pro LT"/>
          <w:iCs/>
          <w:color w:val="000000"/>
          <w:lang w:eastAsia="lv-LV"/>
        </w:rPr>
        <w:t xml:space="preserve"> nav sniedzis argumentētu viedokli par LTAB iebildumos minētajām pretrunām, tai skaitā arī jautājumā, kas skar Garantijas fonda finansēšanas modeli šī fonda līdzekļu nepietiekamības gadījumā</w:t>
      </w:r>
      <w:r w:rsidR="00715B1D">
        <w:rPr>
          <w:rFonts w:ascii="Gotham Pro LT" w:hAnsi="Gotham Pro LT" w:cs="Gotham Pro LT"/>
          <w:iCs/>
          <w:color w:val="000000"/>
          <w:lang w:eastAsia="lv-LV"/>
        </w:rPr>
        <w:t xml:space="preserve"> kontekstā ar Garantijas fonda administrēšanu kā valsts pārvaldes deleģēto uzdevumu.</w:t>
      </w:r>
      <w:r w:rsidR="007D24CE">
        <w:rPr>
          <w:rFonts w:ascii="Gotham Pro LT" w:hAnsi="Gotham Pro LT" w:cs="Gotham Pro LT"/>
          <w:iCs/>
          <w:color w:val="000000"/>
          <w:lang w:eastAsia="lv-LV"/>
        </w:rPr>
        <w:t xml:space="preserve"> </w:t>
      </w:r>
    </w:p>
    <w:p w14:paraId="3FDD25D1" w14:textId="66EE9101" w:rsidR="00294DB2" w:rsidRPr="00586CFD" w:rsidRDefault="00294DB2" w:rsidP="009A7FF0">
      <w:pPr>
        <w:spacing w:after="0" w:line="240" w:lineRule="auto"/>
        <w:ind w:firstLine="720"/>
        <w:jc w:val="both"/>
        <w:rPr>
          <w:rFonts w:ascii="Gotham Pro LT" w:hAnsi="Gotham Pro LT" w:cs="Gotham Pro LT"/>
        </w:rPr>
      </w:pPr>
      <w:bookmarkStart w:id="0" w:name="p59"/>
      <w:bookmarkStart w:id="1" w:name="p-689433"/>
      <w:bookmarkEnd w:id="0"/>
      <w:bookmarkEnd w:id="1"/>
      <w:r w:rsidRPr="00586CFD">
        <w:rPr>
          <w:rFonts w:ascii="Gotham Pro LT" w:hAnsi="Gotham Pro LT" w:cs="Gotham Pro LT"/>
        </w:rPr>
        <w:lastRenderedPageBreak/>
        <w:t xml:space="preserve">Ņemot vērā minēto, LTAB </w:t>
      </w:r>
      <w:r w:rsidR="00B91F0A">
        <w:rPr>
          <w:rFonts w:ascii="Gotham Pro LT" w:hAnsi="Gotham Pro LT" w:cs="Gotham Pro LT"/>
        </w:rPr>
        <w:t xml:space="preserve">uzskata, ka likumprojekta tālāka virzība nav iespējama bez likumprojekta izskatīšanas starpministriju sanāksmē, un </w:t>
      </w:r>
      <w:r w:rsidRPr="00586CFD">
        <w:rPr>
          <w:rFonts w:ascii="Gotham Pro LT" w:hAnsi="Gotham Pro LT" w:cs="Gotham Pro LT"/>
        </w:rPr>
        <w:t>lūdz Finanšu ministriju rīkot starpministriju (starpinstitūciju) sanāksmi, lai klātienē diskutētu par</w:t>
      </w:r>
      <w:r w:rsidR="00372F5F">
        <w:rPr>
          <w:rFonts w:ascii="Gotham Pro LT" w:hAnsi="Gotham Pro LT" w:cs="Gotham Pro LT"/>
        </w:rPr>
        <w:t xml:space="preserve"> </w:t>
      </w:r>
      <w:r w:rsidRPr="00586CFD">
        <w:rPr>
          <w:rFonts w:ascii="Gotham Pro LT" w:hAnsi="Gotham Pro LT" w:cs="Gotham Pro LT"/>
          <w:iCs/>
        </w:rPr>
        <w:t xml:space="preserve">LTAB 14.08.20020. vēstulē </w:t>
      </w:r>
      <w:r w:rsidRPr="00586CFD">
        <w:rPr>
          <w:rFonts w:ascii="Gotham Pro LT" w:hAnsi="Gotham Pro LT" w:cs="Gotham Pro LT"/>
          <w:bCs/>
        </w:rPr>
        <w:t>Nr.</w:t>
      </w:r>
      <w:r w:rsidRPr="00586CFD">
        <w:rPr>
          <w:rFonts w:ascii="Gotham Pro LT" w:hAnsi="Gotham Pro LT" w:cs="Gotham Pro LT"/>
        </w:rPr>
        <w:t xml:space="preserve">07/02-16/126 </w:t>
      </w:r>
      <w:r w:rsidR="00372F5F">
        <w:rPr>
          <w:rFonts w:ascii="Gotham Pro LT" w:hAnsi="Gotham Pro LT" w:cs="Gotham Pro LT"/>
        </w:rPr>
        <w:t xml:space="preserve"> un šajā vēstulē </w:t>
      </w:r>
      <w:r w:rsidRPr="00586CFD">
        <w:rPr>
          <w:rFonts w:ascii="Gotham Pro LT" w:hAnsi="Gotham Pro LT" w:cs="Gotham Pro LT"/>
        </w:rPr>
        <w:t xml:space="preserve">minētajiem iebildumiem un rastu saprātīgu un Valsts pārvaldes iekārtas likumam un </w:t>
      </w:r>
      <w:r w:rsidR="00586CFD" w:rsidRPr="00586CFD">
        <w:rPr>
          <w:rFonts w:ascii="Gotham Pro LT" w:hAnsi="Gotham Pro LT" w:cs="Gotham Pro LT"/>
        </w:rPr>
        <w:t>KP</w:t>
      </w:r>
      <w:r w:rsidRPr="00586CFD">
        <w:rPr>
          <w:rFonts w:ascii="Gotham Pro LT" w:hAnsi="Gotham Pro LT" w:cs="Gotham Pro LT"/>
        </w:rPr>
        <w:t xml:space="preserve"> ziņojumam atbilstošu risinājumu OCTA jomā.</w:t>
      </w:r>
    </w:p>
    <w:p w14:paraId="76501CDC" w14:textId="77777777" w:rsidR="009A7FF0" w:rsidRPr="000E34DB" w:rsidRDefault="009A7FF0" w:rsidP="009A7FF0">
      <w:pPr>
        <w:spacing w:after="0" w:line="240" w:lineRule="auto"/>
        <w:jc w:val="both"/>
        <w:rPr>
          <w:rFonts w:ascii="Times New Roman" w:hAnsi="Times New Roman" w:cs="Times New Roman"/>
          <w:bCs/>
          <w:sz w:val="24"/>
          <w:szCs w:val="24"/>
        </w:rPr>
      </w:pPr>
    </w:p>
    <w:p w14:paraId="0CB20488" w14:textId="3D98FB21" w:rsidR="009A7FF0" w:rsidRPr="009A7FF0" w:rsidRDefault="009A7FF0" w:rsidP="009A7FF0">
      <w:pPr>
        <w:spacing w:after="0" w:line="240" w:lineRule="auto"/>
        <w:ind w:firstLine="720"/>
        <w:jc w:val="both"/>
        <w:rPr>
          <w:rFonts w:ascii="Gotham Pro LT" w:hAnsi="Gotham Pro LT" w:cs="Gotham Pro LT"/>
          <w:iCs/>
        </w:rPr>
      </w:pPr>
    </w:p>
    <w:p w14:paraId="7AB6413A" w14:textId="3CF15697" w:rsidR="009A7FF0" w:rsidRPr="009A7FF0" w:rsidRDefault="009A7FF0" w:rsidP="009A7FF0">
      <w:pPr>
        <w:spacing w:after="0" w:line="240" w:lineRule="auto"/>
        <w:rPr>
          <w:rFonts w:ascii="Gotham Pro LT" w:hAnsi="Gotham Pro LT" w:cs="Gotham Pro LT"/>
          <w:b/>
          <w:bCs/>
          <w:iCs/>
        </w:rPr>
      </w:pPr>
    </w:p>
    <w:p w14:paraId="6ADC5970" w14:textId="77777777" w:rsidR="009A7FF0" w:rsidRPr="009A7FF0" w:rsidRDefault="009A7FF0" w:rsidP="009A7FF0">
      <w:pPr>
        <w:spacing w:after="0" w:line="240" w:lineRule="auto"/>
        <w:jc w:val="both"/>
        <w:rPr>
          <w:rFonts w:ascii="Gotham Pro LT" w:hAnsi="Gotham Pro LT" w:cs="Gotham Pro LT"/>
        </w:rPr>
      </w:pPr>
      <w:r w:rsidRPr="009A7FF0">
        <w:rPr>
          <w:rFonts w:ascii="Gotham Pro LT" w:hAnsi="Gotham Pro LT" w:cs="Gotham Pro LT"/>
        </w:rPr>
        <w:t>Ar cieņu,</w:t>
      </w:r>
    </w:p>
    <w:p w14:paraId="22600D42" w14:textId="77777777" w:rsidR="009A7FF0" w:rsidRPr="009A7FF0" w:rsidRDefault="009A7FF0" w:rsidP="009A7FF0">
      <w:pPr>
        <w:spacing w:after="0" w:line="240" w:lineRule="auto"/>
        <w:jc w:val="both"/>
        <w:rPr>
          <w:rFonts w:ascii="Gotham Pro LT" w:hAnsi="Gotham Pro LT" w:cs="Gotham Pro LT"/>
        </w:rPr>
      </w:pPr>
      <w:r w:rsidRPr="009A7FF0">
        <w:rPr>
          <w:rFonts w:ascii="Gotham Pro LT" w:hAnsi="Gotham Pro LT" w:cs="Gotham Pro LT"/>
        </w:rPr>
        <w:t xml:space="preserve">           LTAB valdes priekšsēdētājs                                                     Jānis Abāšins</w:t>
      </w:r>
    </w:p>
    <w:p w14:paraId="59E96249" w14:textId="77777777" w:rsidR="009A7FF0" w:rsidRPr="009A7FF0" w:rsidRDefault="009A7FF0" w:rsidP="009A7FF0">
      <w:pPr>
        <w:spacing w:after="0" w:line="240" w:lineRule="auto"/>
        <w:jc w:val="both"/>
        <w:rPr>
          <w:rFonts w:ascii="Gotham Pro LT" w:hAnsi="Gotham Pro LT" w:cs="Gotham Pro LT"/>
        </w:rPr>
      </w:pPr>
    </w:p>
    <w:p w14:paraId="696C6508" w14:textId="77777777" w:rsidR="009A7FF0" w:rsidRPr="009A7FF0" w:rsidRDefault="009A7FF0" w:rsidP="009A7FF0">
      <w:pPr>
        <w:spacing w:after="0" w:line="240" w:lineRule="auto"/>
        <w:jc w:val="both"/>
        <w:rPr>
          <w:rFonts w:ascii="Gotham Pro LT" w:hAnsi="Gotham Pro LT" w:cs="Gotham Pro LT"/>
        </w:rPr>
      </w:pPr>
    </w:p>
    <w:p w14:paraId="7E6CCDED" w14:textId="77777777" w:rsidR="009A7FF0" w:rsidRPr="009A7FF0" w:rsidRDefault="009A7FF0" w:rsidP="009A7FF0">
      <w:pPr>
        <w:spacing w:after="0" w:line="240" w:lineRule="auto"/>
        <w:jc w:val="both"/>
        <w:rPr>
          <w:rFonts w:ascii="Gotham Pro LT" w:eastAsia="Calibri" w:hAnsi="Gotham Pro LT" w:cs="Gotham Pro LT"/>
          <w:bCs/>
          <w:i/>
        </w:rPr>
      </w:pPr>
    </w:p>
    <w:p w14:paraId="2F24FE20" w14:textId="77777777" w:rsidR="009A7FF0" w:rsidRPr="009A7FF0" w:rsidRDefault="009A7FF0" w:rsidP="009A7FF0">
      <w:pPr>
        <w:spacing w:after="0" w:line="240" w:lineRule="auto"/>
        <w:jc w:val="both"/>
        <w:rPr>
          <w:rFonts w:ascii="Gotham Pro LT" w:hAnsi="Gotham Pro LT" w:cs="Gotham Pro LT"/>
        </w:rPr>
      </w:pPr>
    </w:p>
    <w:p w14:paraId="1193B6E6" w14:textId="3935E35F" w:rsidR="009A7FF0" w:rsidRPr="009A7FF0" w:rsidRDefault="009A7FF0" w:rsidP="009A7FF0">
      <w:pPr>
        <w:spacing w:after="0" w:line="240" w:lineRule="auto"/>
        <w:jc w:val="center"/>
        <w:rPr>
          <w:rFonts w:ascii="Gotham Pro LT" w:hAnsi="Gotham Pro LT" w:cs="Gotham Pro LT"/>
          <w:iCs/>
          <w:sz w:val="20"/>
          <w:szCs w:val="20"/>
        </w:rPr>
      </w:pPr>
      <w:r w:rsidRPr="009A7FF0">
        <w:rPr>
          <w:rFonts w:ascii="Gotham Pro LT" w:hAnsi="Gotham Pro LT" w:cs="Gotham Pro LT"/>
          <w:sz w:val="20"/>
          <w:szCs w:val="20"/>
        </w:rPr>
        <w:t>DOKUMENTS PARAKSTĪTS AR DROŠU ELEKTRONISKO PARAKSTU UN SATUR LAIKA ZĪMOGU</w:t>
      </w:r>
    </w:p>
    <w:p w14:paraId="08F3997F" w14:textId="7EE3DC9F" w:rsidR="00617E51" w:rsidRPr="009A7FF0" w:rsidRDefault="00617E51" w:rsidP="009A7FF0">
      <w:pPr>
        <w:rPr>
          <w:rFonts w:ascii="Gotham Pro LT" w:hAnsi="Gotham Pro LT" w:cs="Gotham Pro LT"/>
        </w:rPr>
      </w:pPr>
    </w:p>
    <w:sectPr w:rsidR="00617E51" w:rsidRPr="009A7FF0" w:rsidSect="00D07E80">
      <w:headerReference w:type="default" r:id="rId15"/>
      <w:footerReference w:type="default" r:id="rId16"/>
      <w:pgSz w:w="11906" w:h="16838"/>
      <w:pgMar w:top="1440" w:right="141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E4F56" w14:textId="77777777" w:rsidR="00D66A03" w:rsidRDefault="00D66A03" w:rsidP="00C62AF7">
      <w:pPr>
        <w:spacing w:after="0" w:line="240" w:lineRule="auto"/>
      </w:pPr>
      <w:r>
        <w:separator/>
      </w:r>
    </w:p>
  </w:endnote>
  <w:endnote w:type="continuationSeparator" w:id="0">
    <w:p w14:paraId="40DD5566" w14:textId="77777777" w:rsidR="00D66A03" w:rsidRDefault="00D66A03"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otham Pro LT">
    <w:altName w:val="Calibri"/>
    <w:panose1 w:val="020B0604020202020204"/>
    <w:charset w:val="BA"/>
    <w:family w:val="auto"/>
    <w:pitch w:val="variable"/>
    <w:sig w:usb0="80000AAF" w:usb1="5000204A"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&#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670BC"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8F39987" w14:textId="77777777" w:rsidR="00C62AF7" w:rsidRDefault="00C62AF7" w:rsidP="00C62AF7">
    <w:pPr>
      <w:pStyle w:val="Footer"/>
      <w:jc w:val="center"/>
    </w:pPr>
  </w:p>
  <w:p w14:paraId="08F39988" w14:textId="77777777" w:rsidR="00C62AF7" w:rsidRDefault="00C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D3040" w14:textId="77777777" w:rsidR="00D66A03" w:rsidRDefault="00D66A03" w:rsidP="00C62AF7">
      <w:pPr>
        <w:spacing w:after="0" w:line="240" w:lineRule="auto"/>
      </w:pPr>
      <w:r>
        <w:separator/>
      </w:r>
    </w:p>
  </w:footnote>
  <w:footnote w:type="continuationSeparator" w:id="0">
    <w:p w14:paraId="13811D05" w14:textId="77777777" w:rsidR="00D66A03" w:rsidRDefault="00D66A03" w:rsidP="00C62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B71EB"/>
    <w:multiLevelType w:val="hybridMultilevel"/>
    <w:tmpl w:val="1D825F72"/>
    <w:lvl w:ilvl="0" w:tplc="0426000D">
      <w:start w:val="1"/>
      <w:numFmt w:val="bullet"/>
      <w:lvlText w:val=""/>
      <w:lvlJc w:val="left"/>
      <w:pPr>
        <w:ind w:left="1150" w:hanging="360"/>
      </w:pPr>
      <w:rPr>
        <w:rFonts w:ascii="Wingdings" w:hAnsi="Wingdings" w:hint="default"/>
      </w:rPr>
    </w:lvl>
    <w:lvl w:ilvl="1" w:tplc="04260003" w:tentative="1">
      <w:start w:val="1"/>
      <w:numFmt w:val="bullet"/>
      <w:lvlText w:val="o"/>
      <w:lvlJc w:val="left"/>
      <w:pPr>
        <w:ind w:left="1870" w:hanging="360"/>
      </w:pPr>
      <w:rPr>
        <w:rFonts w:ascii="Courier New" w:hAnsi="Courier New" w:cs="Courier New" w:hint="default"/>
      </w:rPr>
    </w:lvl>
    <w:lvl w:ilvl="2" w:tplc="04260005" w:tentative="1">
      <w:start w:val="1"/>
      <w:numFmt w:val="bullet"/>
      <w:lvlText w:val=""/>
      <w:lvlJc w:val="left"/>
      <w:pPr>
        <w:ind w:left="2590" w:hanging="360"/>
      </w:pPr>
      <w:rPr>
        <w:rFonts w:ascii="Wingdings" w:hAnsi="Wingdings" w:hint="default"/>
      </w:rPr>
    </w:lvl>
    <w:lvl w:ilvl="3" w:tplc="04260001" w:tentative="1">
      <w:start w:val="1"/>
      <w:numFmt w:val="bullet"/>
      <w:lvlText w:val=""/>
      <w:lvlJc w:val="left"/>
      <w:pPr>
        <w:ind w:left="3310" w:hanging="360"/>
      </w:pPr>
      <w:rPr>
        <w:rFonts w:ascii="Symbol" w:hAnsi="Symbol" w:hint="default"/>
      </w:rPr>
    </w:lvl>
    <w:lvl w:ilvl="4" w:tplc="04260003" w:tentative="1">
      <w:start w:val="1"/>
      <w:numFmt w:val="bullet"/>
      <w:lvlText w:val="o"/>
      <w:lvlJc w:val="left"/>
      <w:pPr>
        <w:ind w:left="4030" w:hanging="360"/>
      </w:pPr>
      <w:rPr>
        <w:rFonts w:ascii="Courier New" w:hAnsi="Courier New" w:cs="Courier New" w:hint="default"/>
      </w:rPr>
    </w:lvl>
    <w:lvl w:ilvl="5" w:tplc="04260005" w:tentative="1">
      <w:start w:val="1"/>
      <w:numFmt w:val="bullet"/>
      <w:lvlText w:val=""/>
      <w:lvlJc w:val="left"/>
      <w:pPr>
        <w:ind w:left="4750" w:hanging="360"/>
      </w:pPr>
      <w:rPr>
        <w:rFonts w:ascii="Wingdings" w:hAnsi="Wingdings" w:hint="default"/>
      </w:rPr>
    </w:lvl>
    <w:lvl w:ilvl="6" w:tplc="04260001" w:tentative="1">
      <w:start w:val="1"/>
      <w:numFmt w:val="bullet"/>
      <w:lvlText w:val=""/>
      <w:lvlJc w:val="left"/>
      <w:pPr>
        <w:ind w:left="5470" w:hanging="360"/>
      </w:pPr>
      <w:rPr>
        <w:rFonts w:ascii="Symbol" w:hAnsi="Symbol" w:hint="default"/>
      </w:rPr>
    </w:lvl>
    <w:lvl w:ilvl="7" w:tplc="04260003" w:tentative="1">
      <w:start w:val="1"/>
      <w:numFmt w:val="bullet"/>
      <w:lvlText w:val="o"/>
      <w:lvlJc w:val="left"/>
      <w:pPr>
        <w:ind w:left="6190" w:hanging="360"/>
      </w:pPr>
      <w:rPr>
        <w:rFonts w:ascii="Courier New" w:hAnsi="Courier New" w:cs="Courier New" w:hint="default"/>
      </w:rPr>
    </w:lvl>
    <w:lvl w:ilvl="8" w:tplc="04260005" w:tentative="1">
      <w:start w:val="1"/>
      <w:numFmt w:val="bullet"/>
      <w:lvlText w:val=""/>
      <w:lvlJc w:val="left"/>
      <w:pPr>
        <w:ind w:left="6910" w:hanging="360"/>
      </w:pPr>
      <w:rPr>
        <w:rFonts w:ascii="Wingdings" w:hAnsi="Wingdings" w:hint="default"/>
      </w:rPr>
    </w:lvl>
  </w:abstractNum>
  <w:abstractNum w:abstractNumId="1" w15:restartNumberingAfterBreak="0">
    <w:nsid w:val="48B91FEA"/>
    <w:multiLevelType w:val="hybridMultilevel"/>
    <w:tmpl w:val="496E5EFC"/>
    <w:lvl w:ilvl="0" w:tplc="D0D05FDE">
      <w:start w:val="5"/>
      <w:numFmt w:val="bullet"/>
      <w:lvlText w:val="-"/>
      <w:lvlJc w:val="left"/>
      <w:pPr>
        <w:ind w:left="1150" w:hanging="360"/>
      </w:pPr>
      <w:rPr>
        <w:rFonts w:ascii="Gotham Pro LT" w:eastAsiaTheme="minorHAnsi" w:hAnsi="Gotham Pro LT" w:cs="Gotham Pro LT" w:hint="default"/>
      </w:rPr>
    </w:lvl>
    <w:lvl w:ilvl="1" w:tplc="04260003" w:tentative="1">
      <w:start w:val="1"/>
      <w:numFmt w:val="bullet"/>
      <w:lvlText w:val="o"/>
      <w:lvlJc w:val="left"/>
      <w:pPr>
        <w:ind w:left="1870" w:hanging="360"/>
      </w:pPr>
      <w:rPr>
        <w:rFonts w:ascii="Courier New" w:hAnsi="Courier New" w:cs="Courier New" w:hint="default"/>
      </w:rPr>
    </w:lvl>
    <w:lvl w:ilvl="2" w:tplc="04260005" w:tentative="1">
      <w:start w:val="1"/>
      <w:numFmt w:val="bullet"/>
      <w:lvlText w:val=""/>
      <w:lvlJc w:val="left"/>
      <w:pPr>
        <w:ind w:left="2590" w:hanging="360"/>
      </w:pPr>
      <w:rPr>
        <w:rFonts w:ascii="Wingdings" w:hAnsi="Wingdings" w:hint="default"/>
      </w:rPr>
    </w:lvl>
    <w:lvl w:ilvl="3" w:tplc="04260001" w:tentative="1">
      <w:start w:val="1"/>
      <w:numFmt w:val="bullet"/>
      <w:lvlText w:val=""/>
      <w:lvlJc w:val="left"/>
      <w:pPr>
        <w:ind w:left="3310" w:hanging="360"/>
      </w:pPr>
      <w:rPr>
        <w:rFonts w:ascii="Symbol" w:hAnsi="Symbol" w:hint="default"/>
      </w:rPr>
    </w:lvl>
    <w:lvl w:ilvl="4" w:tplc="04260003" w:tentative="1">
      <w:start w:val="1"/>
      <w:numFmt w:val="bullet"/>
      <w:lvlText w:val="o"/>
      <w:lvlJc w:val="left"/>
      <w:pPr>
        <w:ind w:left="4030" w:hanging="360"/>
      </w:pPr>
      <w:rPr>
        <w:rFonts w:ascii="Courier New" w:hAnsi="Courier New" w:cs="Courier New" w:hint="default"/>
      </w:rPr>
    </w:lvl>
    <w:lvl w:ilvl="5" w:tplc="04260005" w:tentative="1">
      <w:start w:val="1"/>
      <w:numFmt w:val="bullet"/>
      <w:lvlText w:val=""/>
      <w:lvlJc w:val="left"/>
      <w:pPr>
        <w:ind w:left="4750" w:hanging="360"/>
      </w:pPr>
      <w:rPr>
        <w:rFonts w:ascii="Wingdings" w:hAnsi="Wingdings" w:hint="default"/>
      </w:rPr>
    </w:lvl>
    <w:lvl w:ilvl="6" w:tplc="04260001" w:tentative="1">
      <w:start w:val="1"/>
      <w:numFmt w:val="bullet"/>
      <w:lvlText w:val=""/>
      <w:lvlJc w:val="left"/>
      <w:pPr>
        <w:ind w:left="5470" w:hanging="360"/>
      </w:pPr>
      <w:rPr>
        <w:rFonts w:ascii="Symbol" w:hAnsi="Symbol" w:hint="default"/>
      </w:rPr>
    </w:lvl>
    <w:lvl w:ilvl="7" w:tplc="04260003" w:tentative="1">
      <w:start w:val="1"/>
      <w:numFmt w:val="bullet"/>
      <w:lvlText w:val="o"/>
      <w:lvlJc w:val="left"/>
      <w:pPr>
        <w:ind w:left="6190" w:hanging="360"/>
      </w:pPr>
      <w:rPr>
        <w:rFonts w:ascii="Courier New" w:hAnsi="Courier New" w:cs="Courier New" w:hint="default"/>
      </w:rPr>
    </w:lvl>
    <w:lvl w:ilvl="8" w:tplc="04260005" w:tentative="1">
      <w:start w:val="1"/>
      <w:numFmt w:val="bullet"/>
      <w:lvlText w:val=""/>
      <w:lvlJc w:val="left"/>
      <w:pPr>
        <w:ind w:left="6910" w:hanging="360"/>
      </w:pPr>
      <w:rPr>
        <w:rFonts w:ascii="Wingdings" w:hAnsi="Wingdings" w:hint="default"/>
      </w:rPr>
    </w:lvl>
  </w:abstractNum>
  <w:abstractNum w:abstractNumId="2" w15:restartNumberingAfterBreak="0">
    <w:nsid w:val="61D16D9B"/>
    <w:multiLevelType w:val="hybridMultilevel"/>
    <w:tmpl w:val="2D660954"/>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num w:numId="1" w16cid:durableId="886255904">
    <w:abstractNumId w:val="1"/>
  </w:num>
  <w:num w:numId="2" w16cid:durableId="1257326565">
    <w:abstractNumId w:val="2"/>
  </w:num>
  <w:num w:numId="3" w16cid:durableId="82170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818D4"/>
    <w:rsid w:val="00164B09"/>
    <w:rsid w:val="00185F05"/>
    <w:rsid w:val="00190E8F"/>
    <w:rsid w:val="001B2F63"/>
    <w:rsid w:val="001E57C6"/>
    <w:rsid w:val="002541B6"/>
    <w:rsid w:val="00275A40"/>
    <w:rsid w:val="00294DB2"/>
    <w:rsid w:val="00303AD3"/>
    <w:rsid w:val="00307C0E"/>
    <w:rsid w:val="00324433"/>
    <w:rsid w:val="00325C9A"/>
    <w:rsid w:val="003427A5"/>
    <w:rsid w:val="00363F8B"/>
    <w:rsid w:val="00372F5F"/>
    <w:rsid w:val="004500C3"/>
    <w:rsid w:val="00487A23"/>
    <w:rsid w:val="004C5681"/>
    <w:rsid w:val="004D567E"/>
    <w:rsid w:val="00506161"/>
    <w:rsid w:val="00586CFD"/>
    <w:rsid w:val="00617E51"/>
    <w:rsid w:val="006365F8"/>
    <w:rsid w:val="006A3FD7"/>
    <w:rsid w:val="006A673C"/>
    <w:rsid w:val="006C5763"/>
    <w:rsid w:val="006D5791"/>
    <w:rsid w:val="00715B1D"/>
    <w:rsid w:val="007D1272"/>
    <w:rsid w:val="007D24CE"/>
    <w:rsid w:val="007F5EE9"/>
    <w:rsid w:val="00890C5C"/>
    <w:rsid w:val="009358A0"/>
    <w:rsid w:val="00962FBC"/>
    <w:rsid w:val="009A7FF0"/>
    <w:rsid w:val="009B0153"/>
    <w:rsid w:val="00A470CE"/>
    <w:rsid w:val="00AB6799"/>
    <w:rsid w:val="00B1705F"/>
    <w:rsid w:val="00B24523"/>
    <w:rsid w:val="00B26F3C"/>
    <w:rsid w:val="00B47D64"/>
    <w:rsid w:val="00B91F0A"/>
    <w:rsid w:val="00C332B4"/>
    <w:rsid w:val="00C50F73"/>
    <w:rsid w:val="00C62AF7"/>
    <w:rsid w:val="00C702E8"/>
    <w:rsid w:val="00C75066"/>
    <w:rsid w:val="00C820BD"/>
    <w:rsid w:val="00D07E80"/>
    <w:rsid w:val="00D32128"/>
    <w:rsid w:val="00D65956"/>
    <w:rsid w:val="00D66A03"/>
    <w:rsid w:val="00D812E3"/>
    <w:rsid w:val="00D82E66"/>
    <w:rsid w:val="00DA2757"/>
    <w:rsid w:val="00DF7698"/>
    <w:rsid w:val="00E3276D"/>
    <w:rsid w:val="00E37505"/>
    <w:rsid w:val="00E7084E"/>
    <w:rsid w:val="00E9354E"/>
    <w:rsid w:val="00EB667B"/>
    <w:rsid w:val="00F36302"/>
    <w:rsid w:val="00F400F8"/>
    <w:rsid w:val="00F67585"/>
    <w:rsid w:val="00F67587"/>
    <w:rsid w:val="00F86DEA"/>
    <w:rsid w:val="00FA4202"/>
    <w:rsid w:val="00FE687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ListParagraph">
    <w:name w:val="List Paragraph"/>
    <w:basedOn w:val="Normal"/>
    <w:uiPriority w:val="34"/>
    <w:qFormat/>
    <w:rsid w:val="00586CFD"/>
    <w:pPr>
      <w:ind w:left="720"/>
      <w:contextualSpacing/>
    </w:pPr>
  </w:style>
  <w:style w:type="character" w:styleId="UnresolvedMention">
    <w:name w:val="Unresolved Mention"/>
    <w:basedOn w:val="DefaultParagraphFont"/>
    <w:uiPriority w:val="99"/>
    <w:semiHidden/>
    <w:unhideWhenUsed/>
    <w:rsid w:val="00586CFD"/>
    <w:rPr>
      <w:color w:val="605E5C"/>
      <w:shd w:val="clear" w:color="auto" w:fill="E1DFDD"/>
    </w:rPr>
  </w:style>
  <w:style w:type="character" w:styleId="FollowedHyperlink">
    <w:name w:val="FollowedHyperlink"/>
    <w:basedOn w:val="DefaultParagraphFont"/>
    <w:uiPriority w:val="99"/>
    <w:semiHidden/>
    <w:unhideWhenUsed/>
    <w:rsid w:val="006D5791"/>
    <w:rPr>
      <w:color w:val="800080" w:themeColor="followedHyperlink"/>
      <w:u w:val="single"/>
    </w:rPr>
  </w:style>
  <w:style w:type="character" w:styleId="CommentReference">
    <w:name w:val="annotation reference"/>
    <w:basedOn w:val="DefaultParagraphFont"/>
    <w:uiPriority w:val="99"/>
    <w:semiHidden/>
    <w:unhideWhenUsed/>
    <w:rsid w:val="00F36302"/>
    <w:rPr>
      <w:sz w:val="16"/>
      <w:szCs w:val="16"/>
    </w:rPr>
  </w:style>
  <w:style w:type="paragraph" w:styleId="CommentText">
    <w:name w:val="annotation text"/>
    <w:basedOn w:val="Normal"/>
    <w:link w:val="CommentTextChar"/>
    <w:uiPriority w:val="99"/>
    <w:semiHidden/>
    <w:unhideWhenUsed/>
    <w:rsid w:val="00F36302"/>
    <w:pPr>
      <w:spacing w:line="240" w:lineRule="auto"/>
    </w:pPr>
    <w:rPr>
      <w:sz w:val="20"/>
      <w:szCs w:val="20"/>
    </w:rPr>
  </w:style>
  <w:style w:type="character" w:customStyle="1" w:styleId="CommentTextChar">
    <w:name w:val="Comment Text Char"/>
    <w:basedOn w:val="DefaultParagraphFont"/>
    <w:link w:val="CommentText"/>
    <w:uiPriority w:val="99"/>
    <w:semiHidden/>
    <w:rsid w:val="00F36302"/>
    <w:rPr>
      <w:sz w:val="20"/>
      <w:szCs w:val="20"/>
    </w:rPr>
  </w:style>
  <w:style w:type="paragraph" w:styleId="CommentSubject">
    <w:name w:val="annotation subject"/>
    <w:basedOn w:val="CommentText"/>
    <w:next w:val="CommentText"/>
    <w:link w:val="CommentSubjectChar"/>
    <w:uiPriority w:val="99"/>
    <w:semiHidden/>
    <w:unhideWhenUsed/>
    <w:rsid w:val="00F36302"/>
    <w:rPr>
      <w:b/>
      <w:bCs/>
    </w:rPr>
  </w:style>
  <w:style w:type="character" w:customStyle="1" w:styleId="CommentSubjectChar">
    <w:name w:val="Comment Subject Char"/>
    <w:basedOn w:val="CommentTextChar"/>
    <w:link w:val="CommentSubject"/>
    <w:uiPriority w:val="99"/>
    <w:semiHidden/>
    <w:rsid w:val="00F36302"/>
    <w:rPr>
      <w:b/>
      <w:bCs/>
      <w:sz w:val="20"/>
      <w:szCs w:val="20"/>
    </w:rPr>
  </w:style>
  <w:style w:type="paragraph" w:customStyle="1" w:styleId="tv213">
    <w:name w:val="tv213"/>
    <w:basedOn w:val="Normal"/>
    <w:rsid w:val="009358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358A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5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ja.Zitcere@fm.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Albova@f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p.gov.lv/tirgu-uzraudziba/tirgu-uzraudzibas-zinojumi"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4D5A16F4C44F29DA4359B433FD429"/>
        <w:category>
          <w:name w:val="General"/>
          <w:gallery w:val="placeholder"/>
        </w:category>
        <w:types>
          <w:type w:val="bbPlcHdr"/>
        </w:types>
        <w:behaviors>
          <w:behavior w:val="content"/>
        </w:behaviors>
        <w:guid w:val="{C0C25602-4298-4556-84A5-3528F0AB2686}"/>
      </w:docPartPr>
      <w:docPartBody>
        <w:p w:rsidR="009E1AEC" w:rsidRDefault="00EC0090" w:rsidP="00EC0090">
          <w:pPr>
            <w:pStyle w:val="A834D5A16F4C44F29DA4359B433FD429"/>
          </w:pPr>
          <w:r w:rsidRPr="008139CB">
            <w:rPr>
              <w:rStyle w:val="PlaceholderText"/>
            </w:rPr>
            <w:t>[Reģistrēšanas datums]</w:t>
          </w:r>
        </w:p>
      </w:docPartBody>
    </w:docPart>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9E1AEC"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otham Pro LT">
    <w:altName w:val="Calibri"/>
    <w:panose1 w:val="020B0604020202020204"/>
    <w:charset w:val="BA"/>
    <w:family w:val="auto"/>
    <w:pitch w:val="variable"/>
    <w:sig w:usb0="80000AAF" w:usb1="5000204A"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280560"/>
    <w:rsid w:val="003D5FA1"/>
    <w:rsid w:val="008C1526"/>
    <w:rsid w:val="009E1AEC"/>
    <w:rsid w:val="00AA2E89"/>
    <w:rsid w:val="00DD5D85"/>
    <w:rsid w:val="00EC00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090"/>
    <w:rPr>
      <w:color w:val="808080"/>
    </w:rPr>
  </w:style>
  <w:style w:type="paragraph" w:customStyle="1" w:styleId="A834D5A16F4C44F29DA4359B433FD429">
    <w:name w:val="A834D5A16F4C44F29DA4359B433FD429"/>
    <w:rsid w:val="00EC0090"/>
    <w:pPr>
      <w:spacing w:after="160" w:line="259" w:lineRule="auto"/>
    </w:p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2" ma:contentTypeDescription="Izveidot jaunu dokumentu." ma:contentTypeScope="" ma:versionID="e04299d138d0630d73a0fd67554a8ddc">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
        <AccountId xsi:nil="true"/>
        <AccountType/>
      </UserInfo>
    </DokParakstitaji>
    <DokRegDatums xmlns="f123fc61-7915-4898-8636-52bfc24319d4">2020-09-24T10:44:21+00:00</DokRegDatums>
    <DokNumurs xmlns="f123fc61-7915-4898-8636-52bfc24319d4">07/02-16/86</DokNumurs>
    <D320F758A3D245D2A7D76018125F5A02 xmlns="80613d6c-201e-4be1-b27a-7e1bf41d8677">
      <Terms xmlns="http://schemas.microsoft.com/office/infopath/2007/PartnerControls"/>
    </D320F758A3D245D2A7D76018125F5A0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BC65E-124B-4D3F-9F95-062C82D27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1C104-9573-4A73-9C45-EB4DB7462191}">
  <ds:schemaRefs>
    <ds:schemaRef ds:uri="http://schemas.microsoft.com/sharepoint/v3/contenttype/forms"/>
  </ds:schemaRefs>
</ds:datastoreItem>
</file>

<file path=customXml/itemProps3.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customXml/itemProps4.xml><?xml version="1.0" encoding="utf-8"?>
<ds:datastoreItem xmlns:ds="http://schemas.openxmlformats.org/officeDocument/2006/customXml" ds:itemID="{4ADD4917-AF86-46F1-889A-B496F870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1385</Words>
  <Characters>7901</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2</cp:revision>
  <dcterms:created xsi:type="dcterms:W3CDTF">2023-01-11T15:51:00Z</dcterms:created>
  <dcterms:modified xsi:type="dcterms:W3CDTF">2023-01-11T15:51:00Z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