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22-TA-1115: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rīkojumu projektu papildināt ar 4.punktu, kas nosaka rīcību ar rīkojuma projekta paredzēto finansējumu situācijā, ja pašvaldību faktiskie izdevumi līdz 2022. gada 30. aprīlim ir mazāki nekā prognozēts.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Situācijā, ja pašvaldību faktiskie izdevumi līdz 2022. gada 30. aprīlim ir mazāki nekā prognozēts un šā rīkojuma 1.punktā norādītais finansējums netiek izmantots pilnā apmērā, tad šā rīkojuma 1.punktā minēto finansējumu var izmantot arī pašvaldību faktisko izdevumu segšanai pēc 2022. gada 30. aprīļa šā rīkojuma 2.punktā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Vides aizsardzības un reģionālās attīstības ministrijai finansējumu, kas nepārsniedz </w:t>
            </w:r>
            <w:r w:rsidR="00000000" w:rsidRPr="00000000" w:rsidDel="00000000">
              <w:rPr>
                <w:b w:val="1"/>
                <w:rtl w:val="0"/>
              </w:rPr>
              <w:t xml:space="preserve">12 985 675 </w:t>
            </w:r>
            <w:r w:rsidR="00000000" w:rsidRPr="00000000" w:rsidDel="00000000">
              <w:rPr>
                <w:b w:val="1"/>
                <w:i w:val="1"/>
                <w:rtl w:val="0"/>
              </w:rPr>
              <w:t xml:space="preserve">euro</w:t>
            </w:r>
            <w:r w:rsidR="00000000" w:rsidRPr="00000000" w:rsidDel="00000000">
              <w:rPr>
                <w:rtl w:val="0"/>
              </w:rPr>
              <w:t xml:space="preserve">, lai nodrošinātu pašvaldību izdevumu segšanu, kas pašvaldībām radušies līdz 2022. gada 30. aprīlim, nodrošinot atbalstu Ukrainas civiliedzīvotājiem, tai skaitā finansējumu, kas nepārsniedz: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iebildumu par nepieciešamību rīkojuma projektu papildināt ar 4.punktu, lūdzam rīkojuma projekta 1.punktā svītrot vārdus “līdz 2022. gada 30.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Vides aizsardzības un reģionālās attīstības ministrijai finansējumu, kas nepārsniedz </w:t>
            </w:r>
            <w:r w:rsidR="00000000" w:rsidRPr="00000000" w:rsidDel="00000000">
              <w:rPr>
                <w:b w:val="1"/>
                <w:rtl w:val="0"/>
              </w:rPr>
              <w:t xml:space="preserve">12 997 832 </w:t>
            </w:r>
            <w:r w:rsidR="00000000" w:rsidRPr="00000000" w:rsidDel="00000000">
              <w:rPr>
                <w:b w:val="1"/>
                <w:i w:val="1"/>
                <w:rtl w:val="0"/>
              </w:rPr>
              <w:t xml:space="preserve">euro</w:t>
            </w:r>
            <w:r w:rsidR="00000000" w:rsidRPr="00000000" w:rsidDel="00000000">
              <w:rPr>
                <w:rtl w:val="0"/>
              </w:rPr>
              <w:t xml:space="preserve">, lai nodrošinātu pašvaldību izdevumu segšanu, kas pašvaldībām radušies, nodrošinot atbalstu Ukrainas civiliedzīvotājiem, tai skaitā finansējumu, kas nepārsniedz: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2.pielikuma pasākuma “</w:t>
            </w:r>
            <w:r w:rsidR="00000000" w:rsidRPr="00000000" w:rsidDel="00000000">
              <w:rPr>
                <w:i w:val="1"/>
                <w:rtl w:val="0"/>
              </w:rPr>
              <w:t xml:space="preserve">Citi pašvaldības piešķirtie sociālā atbalsta pasākumi</w:t>
            </w:r>
            <w:r w:rsidR="00000000" w:rsidRPr="00000000" w:rsidDel="00000000">
              <w:rPr>
                <w:rtl w:val="0"/>
              </w:rPr>
              <w:t xml:space="preserve"> </w:t>
            </w:r>
            <w:r w:rsidR="00000000" w:rsidRPr="00000000" w:rsidDel="00000000">
              <w:rPr>
                <w:i w:val="1"/>
                <w:rtl w:val="0"/>
              </w:rPr>
              <w:t xml:space="preserve">(</w:t>
            </w:r>
            <w:r w:rsidR="00000000" w:rsidRPr="00000000" w:rsidDel="00000000">
              <w:rPr>
                <w:i w:val="1"/>
                <w:u w:val="single"/>
                <w:rtl w:val="0"/>
              </w:rPr>
              <w:t xml:space="preserve">UCAL 7.panta trešā daļa un 19.panta sestā daļa</w:t>
            </w:r>
            <w:r w:rsidR="00000000" w:rsidRPr="00000000" w:rsidDel="00000000">
              <w:rPr>
                <w:rtl w:val="0"/>
              </w:rPr>
              <w:t xml:space="preserve">)”  apakšpasākumu “</w:t>
            </w:r>
            <w:r w:rsidR="00000000" w:rsidRPr="00000000" w:rsidDel="00000000">
              <w:rPr>
                <w:i w:val="1"/>
                <w:rtl w:val="0"/>
              </w:rPr>
              <w:t xml:space="preserve">Pašvaldību sociālo dienestu un bāriņtiesu virsstundu darbs, lai nodrošnātu atbalstu Ukrainas civiliedzīvotājiem</w:t>
            </w:r>
            <w:r w:rsidR="00000000" w:rsidRPr="00000000" w:rsidDel="00000000">
              <w:rPr>
                <w:rtl w:val="0"/>
              </w:rPr>
              <w:t xml:space="preserve">” un apakšpasākumu “</w:t>
            </w:r>
            <w:r w:rsidR="00000000" w:rsidRPr="00000000" w:rsidDel="00000000">
              <w:rPr>
                <w:i w:val="1"/>
                <w:rtl w:val="0"/>
              </w:rPr>
              <w:t xml:space="preserve">Pašvaldību sociālo dienestu un bāriņtiesu darbinieku piemaksa, lai nodrošnātu atbalstu Ukrainas civiliedzīvotājiem</w:t>
            </w:r>
            <w:r w:rsidR="00000000" w:rsidRPr="00000000" w:rsidDel="00000000">
              <w:rPr>
                <w:rtl w:val="0"/>
              </w:rPr>
              <w:t xml:space="preserve">” atdalīt kā neatkarīgus pasākumus, ņemot vērā, ka izdevumu segšanu, kas saistīta ar virsstundu darbu vai piemaksu par papildu darbu bāriņtiesu un pašvaldības sociālo dienestu darbiniekiem, kuri iesaistīti atbalsta sniegšanā Ukrainas civiliedzīvotājiem, nodrošina atbilstoši </w:t>
            </w:r>
            <w:r w:rsidR="00000000" w:rsidRPr="00000000" w:rsidDel="00000000">
              <w:rPr>
                <w:u w:val="single"/>
                <w:rtl w:val="0"/>
              </w:rPr>
              <w:t xml:space="preserve">Ukrainas civiliedzīvotāju atbalsta likuma (turpmāk – likums) 13. panta 1.</w:t>
            </w:r>
            <w:r w:rsidR="00000000" w:rsidRPr="00000000" w:rsidDel="00000000">
              <w:rPr>
                <w:u w:val="single"/>
                <w:vertAlign w:val="superscript"/>
                <w:rtl w:val="0"/>
              </w:rPr>
              <w:t xml:space="preserve">1</w:t>
            </w:r>
            <w:r w:rsidR="00000000" w:rsidRPr="00000000" w:rsidDel="00000000">
              <w:rPr>
                <w:u w:val="single"/>
                <w:rtl w:val="0"/>
              </w:rPr>
              <w:t xml:space="preserve"> un 1.</w:t>
            </w:r>
            <w:r w:rsidR="00000000" w:rsidRPr="00000000" w:rsidDel="00000000">
              <w:rPr>
                <w:u w:val="single"/>
                <w:vertAlign w:val="superscript"/>
                <w:rtl w:val="0"/>
              </w:rPr>
              <w:t xml:space="preserve">2</w:t>
            </w:r>
            <w:r w:rsidR="00000000" w:rsidRPr="00000000" w:rsidDel="00000000">
              <w:rPr>
                <w:u w:val="single"/>
                <w:rtl w:val="0"/>
              </w:rPr>
              <w:t xml:space="preserve">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pielikums precizēts atbilstoši norādījumiem.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2.pielikumu, pasākumiem, kuriem kā pamatojums norādīts Ukrainas civiliedzīvotāju atbalsta likuma 7.panta trešā daļa, ailē “Rādītāja nosaukums” norādot attiecīgo Sociālo pakalpojumu un sociālās palīdzības likuma pantu/tā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pielikums precizēts atbilstoši norādījumiem.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2.pielikuma pasākuma “</w:t>
            </w:r>
            <w:r w:rsidR="00000000" w:rsidRPr="00000000" w:rsidDel="00000000">
              <w:rPr>
                <w:i w:val="1"/>
                <w:rtl w:val="0"/>
              </w:rPr>
              <w:t xml:space="preserve">Citi pašvaldības piešķirtie sociālā atbalsta pasākumi (</w:t>
            </w:r>
            <w:r w:rsidR="00000000" w:rsidRPr="00000000" w:rsidDel="00000000">
              <w:rPr>
                <w:i w:val="1"/>
                <w:u w:val="single"/>
                <w:rtl w:val="0"/>
              </w:rPr>
              <w:t xml:space="preserve">UCAL 7.panta trešā daļa un 19.panta sestā daļa</w:t>
            </w:r>
            <w:r w:rsidR="00000000" w:rsidRPr="00000000" w:rsidDel="00000000">
              <w:rPr>
                <w:i w:val="1"/>
                <w:rtl w:val="0"/>
              </w:rPr>
              <w:t xml:space="preserve">)</w:t>
            </w:r>
            <w:r w:rsidR="00000000" w:rsidRPr="00000000" w:rsidDel="00000000">
              <w:rPr>
                <w:rtl w:val="0"/>
              </w:rPr>
              <w:t xml:space="preserve">” apakšpasākumam “</w:t>
            </w:r>
            <w:r w:rsidR="00000000" w:rsidRPr="00000000" w:rsidDel="00000000">
              <w:rPr>
                <w:i w:val="1"/>
                <w:rtl w:val="0"/>
              </w:rPr>
              <w:t xml:space="preserve">Biedrība “Latvijas sarkanais Krusts” pirmās palīdzības sniegšana UCA centrā Kongresa namā un Kaļķu ielā 1</w:t>
            </w:r>
            <w:r w:rsidR="00000000" w:rsidRPr="00000000" w:rsidDel="00000000">
              <w:rPr>
                <w:rtl w:val="0"/>
              </w:rPr>
              <w:t xml:space="preserve">”, apakšpasākumam “</w:t>
            </w:r>
            <w:r w:rsidR="00000000" w:rsidRPr="00000000" w:rsidDel="00000000">
              <w:rPr>
                <w:i w:val="1"/>
                <w:rtl w:val="0"/>
              </w:rPr>
              <w:t xml:space="preserve">Biedrība “Skalbes” psiholoģiskā palīdzības sniegšana ārkārtas situācijā UCA centrā</w:t>
            </w:r>
            <w:r w:rsidR="00000000" w:rsidRPr="00000000" w:rsidDel="00000000">
              <w:rPr>
                <w:rtl w:val="0"/>
              </w:rPr>
              <w:t xml:space="preserve">”, apakšpasākumam “</w:t>
            </w:r>
            <w:r w:rsidR="00000000" w:rsidRPr="00000000" w:rsidDel="00000000">
              <w:rPr>
                <w:i w:val="1"/>
                <w:rtl w:val="0"/>
              </w:rPr>
              <w:t xml:space="preserve">Psihologa konsultācijas</w:t>
            </w:r>
            <w:r w:rsidR="00000000" w:rsidRPr="00000000" w:rsidDel="00000000">
              <w:rPr>
                <w:rtl w:val="0"/>
              </w:rPr>
              <w:t xml:space="preserve">”, apakšpasākumam “</w:t>
            </w:r>
            <w:r w:rsidR="00000000" w:rsidRPr="00000000" w:rsidDel="00000000">
              <w:rPr>
                <w:i w:val="1"/>
                <w:rtl w:val="0"/>
              </w:rPr>
              <w:t xml:space="preserve">Braukšanas kartes pilsētas sabiedriskajā transportā un pārvietošanās atbalsta pasākumi Ukrainas civiliedzīvotājiem</w:t>
            </w:r>
            <w:r w:rsidR="00000000" w:rsidRPr="00000000" w:rsidDel="00000000">
              <w:rPr>
                <w:rtl w:val="0"/>
              </w:rPr>
              <w:t xml:space="preserve">”, apakšpasākumam “</w:t>
            </w:r>
            <w:r w:rsidR="00000000" w:rsidRPr="00000000" w:rsidDel="00000000">
              <w:rPr>
                <w:i w:val="1"/>
                <w:rtl w:val="0"/>
              </w:rPr>
              <w:t xml:space="preserve">Higiēnas centra pakalpojumi</w:t>
            </w:r>
            <w:r w:rsidR="00000000" w:rsidRPr="00000000" w:rsidDel="00000000">
              <w:rPr>
                <w:rtl w:val="0"/>
              </w:rPr>
              <w:t xml:space="preserve">” kā pamatojums tiek norādīta likuma 19. panta sestā daļa, kas paredz, ka p</w:t>
            </w:r>
            <w:r w:rsidR="00000000" w:rsidRPr="00000000" w:rsidDel="00000000">
              <w:rPr>
                <w:u w:val="single"/>
                <w:rtl w:val="0"/>
              </w:rPr>
              <w:t xml:space="preserve">ašvaldība var lemt par papildus nepieciešamo pakalpojumu piešķiršanu nepavadīta bērna sociālās situācijas uzlabošanai</w:t>
            </w:r>
            <w:r w:rsidR="00000000" w:rsidRPr="00000000" w:rsidDel="00000000">
              <w:rPr>
                <w:rtl w:val="0"/>
              </w:rPr>
              <w:t xml:space="preserve">, lūdzam skaidrot, vai visi minētie apakšpasākumi attiecas uz nepavadīta bērna sociālās situācijas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pielikuma pasākuma “Citi pašvaldības piešķirtie sociālā atbalsta pasākumi (UCAL 7.panta trešā daļa un 19.panta sestā daļa)” nosaukums koriģēts uz: “Citi pašvaldības piešķirtie sociālā atbalsta pasākumi (UCAL 7.panta 3.daļa un 1.</w:t>
            </w:r>
            <w:r w:rsidR="00000000" w:rsidRPr="00000000" w:rsidDel="00000000">
              <w:rPr>
                <w:vertAlign w:val="superscript"/>
                <w:rtl w:val="0"/>
              </w:rPr>
              <w:t xml:space="preserve">1</w:t>
            </w:r>
            <w:r w:rsidR="00000000" w:rsidRPr="00000000" w:rsidDel="00000000">
              <w:rPr>
                <w:rtl w:val="0"/>
              </w:rPr>
              <w:t xml:space="preserve"> daļa un 19.panta 6.daļa)”.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anotācijas 4.pielikuma pasākuma “Pakalpojumu un atskaišu sistēmas papildināšana” izdevumu aprēķinu, ailē “komentāri” papildinot ar informāciju, ko raksturo aprēķinā izmantotais rādītājs 6,2, kā arī skaidrojot, kura pašvaldība nodrošina pakalpojumu un atskaišu sistēmas papildināšanas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 pielikums papildināts ar pasākuma “Pakalpojumu un atskaišu sistēmas papildināšana” izdevumu detalizētu aprēķinu, kā arī ar skaidrojumu, kura pašvaldība nodrošina pakalpojumu un atskaišu sistēmas papildināšanas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2.pielikuma pasākuma “Pakalpojums pārvietošanās atbalstam” un pasākuma “Citi pašvaldības piešķirtie sociālā atbalsta pasākumi”  apakšpasākuma “Pašvaldību sociālo dienestu un bāriņtiesu virsstundu darbs, lai nodrošinātu atbalstu Ukrainas civiliedzīvotājiem” un apakšpasākuma “Pašvaldību sociālo dienestu un bāriņtiesu darbinieku piemaksa, lai nodrošinātu atbalstu Ukrainas civiliedzīvotājiem” skaidrojumā norādīto informāciju par 2022.gada maijā nepieciešamo papildu finansējumu, ņemot vērā, ka atbilstoši anotācijai finansējums, lai nodrošinātu pašvaldību izdevumu segšanu sociālā atbalsta nodrošināšanas jomā, šobrīd plānots par izdevumiem, kas pašvaldībām radušies līdz 2022.gada 30.aprīlim.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 pielikums precizēts atbilstoši norādījumiem.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2.pielikuma pasākuma “</w:t>
            </w:r>
            <w:r w:rsidR="00000000" w:rsidRPr="00000000" w:rsidDel="00000000">
              <w:rPr>
                <w:i w:val="1"/>
                <w:rtl w:val="0"/>
              </w:rPr>
              <w:t xml:space="preserve">Sociālās rehabilitācijas pakalpojums vardarbībā cietušiem bērniem</w:t>
            </w:r>
            <w:r w:rsidR="00000000" w:rsidRPr="00000000" w:rsidDel="00000000">
              <w:rPr>
                <w:rtl w:val="0"/>
              </w:rPr>
              <w:t xml:space="preserve">” saņēmēju skaitu (30), ņemot vērā  ailē “komentāri” norādīto, ka pakalpojumu saņems 30 bērni un 5 bērnu pavadoņi.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pakalpojuma saņēmēju skaits plānots 30 bērni. Bērnu pavadoņi nesaņem pakalpojumu. Pakalpojuma saņēmēji ir bērni. Pavadoņi palielina pakalpojuma izmaksas (līdz ar to skaits ir jāplāno, bet nav norādāms pie pakalpojuma saņēmēju skaita). Piemēram, ja pakalpojumu Krīzes centrā saņem viens bērns un ar viņu kopā institūcijā kā pavadonis uzturas arī viens no viņa vecākiem, tad pakalpojumu ir saņēmis viens bērns.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teikuma redakciju "Likuma 13. panta otrā daļa paredz pašvaldībām, izmantojot Valsts kases e-pakalpojumu ePārskati atbilstoši normatīvajiem aktiem par kārtību, kādā Valsts kase nodrošina informācijas apriti, izmantojot Valsts kases e-pakalpojumus, reizi mēnesī līdz pārskata mēnesim sekojošā mēneša desmitajam datumam iesniegt VARAM pārskatu par izdevumiem, kas saistīti ar Ukrainas civiliedzīvotājiem sniegto atbalstu." uz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13. panta otrā daļa paredz pašvaldībām, izmantojot Valsts kases e-pakalpojumu ePārskati atbilstoši normatīvajiem aktiem par kārtību, kādā Valsts kase nodrošina informācijas apriti, reizi mēnesī līdz pārskata mēnesim sekojošā mēneša desmitajam datumam iesniegt VARAM pārskatu par izdevumiem, kas saistīti ar Ukrainas civiliedzīvotājiem 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teikuma redakciju "Saskaņā ar Likuma 13. panta 2.1 daļu, Ekonomikas ministrija (turpmāk – EM), Izglītības un zinātnes ministrija (turpmāk – IzM) un Labklājības ministrija (turpmāk – LM), atbilstoši kompetencei piecu darbdienu laikā saskaņo minētās informācijas atbilstību Valsts kases pārskatam." uz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13. panta 2.1 daļu, Ekonomikas ministrija (turpmāk – EM), Izglītības un zinātnes ministrija (turpmāk – IzM) un Labklājības ministrija (turpmāk – LM), atbilstoši kompetencei piecu darbdienu laikā apstiprina  pašvaldību sniegto informāciju ePārskatos.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pie apakšsadaļas "Problēmas apraksts" ir minēts, ka par vienoto valsts un pašvaldību klientu apkalpošanas centru un pašvaldības klientu apkalpošanas struktūrvienību Ukrainas civiliedzīvotājiem sniegto atbalstu 90 dienām būtu nepieciešami finanšu līdzekļi 18 987 euro apmērā, savukārt rīkojuma projekts paredz pašvaldību izdevumu segšanu, kas pašvaldībām radušies līdz 2022.gada 30.aprīlim. Attiecīgi lūdzam precizēt anotāciju, norādot, ka par vienoto valsts un pašvaldību klientu apkalpošanas centru un pašvaldības klientu apkalpošanas struktūrvienību Ukrainas civiliedzīvotājiem sniegto atbalstu līdz 2022.gada 30.aprīlim būtu nepieciešami finanšu līdzekļi 18 987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teikumu redakciju: "Pēc EM, IzM un LM pašvaldību iesniegto pārskatu saskaņošanas,  Valsts kases e-pakalpojumu ePārskatos tiks ievietots ePārskata kopsavilkums iesniegšanai VARAM Pamatojoties uz minēto ePārskata kopsavilkumu, atbilstoši Likuma 13. panta trešajai daļai, reizi mēnesī pašvaldībām tiks kompensēti izdevumi, kas saistīti ar Ukrainas civiliedzīvotājiem 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EM, IzM un LM pašvaldību iesniegto pārskatu saskaņošanas, ePārskatos tiks ievietots kopsavilkums "Apkopojums par pašvaldību faktisko izdevumu segšanu, kas radušies sniedzot atbalstu Ukrainas civiliedzīvotājiem" (turpmāk - kopsavilkums)  iesniegšanai VARAM. Pamatojoties uz minēto kopsavilkumu atbilstoši Likuma 13. panta trešajai daļai, reizi mēnesī pašvaldībām tiks kompensēti izdevumi, kas saistīti ar Ukrainas civiliedzīvotājiem sniegto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redakciju: sadaļā 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13. panta trešajā daļā noteikto, VARAM katru mēnesi pēc ePārskatu saņemšanas ir jāpieprasa finansējums no valsts budžeta programmas "Līdzekļi neparedzētiem gadījumiem" par pašvaldību izdevumu segšanu, kas saistīti ar Ukrainas civiliedzīvotājiem 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13. panta trešajā daļā noteikto, VARAM katru mēnesi pēc saņemtā kopsavilkuma ir jāpieprasa finansējums no valsts budžeta programmas "Līdzekļi neparedzētiem gadījumiem" par pašvaldību izdevumu segšanu, kas saistīti ar Ukrainas civiliedzīvotājiem sniegto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22-TA-1115</w:t>
    </w:r>
    <w:r>
      <w:br/>
    </w:r>
    <w:r w:rsidR="00000000" w:rsidRPr="00000000" w:rsidDel="00000000">
      <w:rPr>
        <w:rtl w:val="0"/>
      </w:rPr>
      <w:t xml:space="preserve">02.05.2022. 15.04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22-TA-1115</w:t>
    </w:r>
    <w:r>
      <w:br/>
    </w:r>
    <w:r w:rsidR="00000000" w:rsidRPr="00000000" w:rsidDel="00000000">
      <w:rPr>
        <w:rtl w:val="0"/>
      </w:rPr>
      <w:t xml:space="preserve">02.05.2022. 15.04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Izziņa_22-TA-1115.docx</dc:title>
</cp:coreProperties>
</file>

<file path=docProps/custom.xml><?xml version="1.0" encoding="utf-8"?>
<Properties xmlns="http://schemas.openxmlformats.org/officeDocument/2006/custom-properties" xmlns:vt="http://schemas.openxmlformats.org/officeDocument/2006/docPropsVTypes"/>
</file>