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23-TA-2341: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2.2.2. specifiskā atbalsta mērķa “Pārejas uz aprites ekonomiku veicināšana” 2.2.2.2. pasākuma “Atkritumu dalītā vākšana” projektu iesniegumu pirmās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1.punktu ar jaunu apakšpunktu, paredzot, ka noteikumi nosaka komercdarbības atbalsta piešķiršanas nosacījumus, ņemot vērā noteikumu 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rosinām izdalīt noteikumu projektā atsevišķu nodaļu, kas paredz konkrētus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papildināts ar nosacījumu un izdalīta IV nodaļa Atlases kārtas un projekta īstenošanas un uzraudzības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Atlases kārtas un projekta īstenošanas un uzraudzības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kā arī finansējuma saņēmējs paraksta apliecinājumu par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24.5.apakšpunkts par minētajiem nosacījumiem un attiecīgi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Atlases kārtas un projekta īstenošanas un uzraudzības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punktā minētos nozaru un darbības ierobežojumus. Ja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2023/2831 1. panta 2.punkts paredz pienākumu veikt nodalīšanu, nodrošinot,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šo regulu (t.i., nodalīšanas pienākums ir attiecināms uz darbībām neatbalstāmajās nozarēs, nevis uz neatbalstāmajām darbībām, kas ir ietvertas Komisijas regulas Nr. 2023/2831 1. panta 1.punkta e) un f) apakšpunktā), lūdzam pārskatīt un atbilstoši precizēt noteikumu 34.2. apakšpunkta redakciju. Ja uzņēmums veic darbības, kas ir noteiktas Komisijas regulas Nr. 2023/2831 1. panta 1.punkta e) un f) apakšpunktā, atbalstu nevar piešķirt. Atbilstoši lūdzam precizēt arī anotāciju sadaļā, kur aprakstīti komercdarbības atbalsta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34.2. apakšpunkts un anotācija precizēti.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de minimis atbalstu piešķir, ievērojot regulas Nr. 2023/2831 1. panta 1. punkta a), b), c) un d) apakšpunktā minētos nozaru ierobežojumus un regulas Nr. 2023/2831 1. panta 1. punkta e) un f) apakšpunktā minētos darbības ierobežojumus. Ja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pirms</w:t>
            </w:r>
            <w:r w:rsidR="00000000" w:rsidRPr="00000000" w:rsidDel="00000000">
              <w:rPr>
                <w:i w:val="1"/>
                <w:rtl w:val="0"/>
              </w:rPr>
              <w:t xml:space="preserve"> de minimis</w:t>
            </w:r>
            <w:r w:rsidR="00000000" w:rsidRPr="00000000" w:rsidDel="00000000">
              <w:rPr>
                <w:rtl w:val="0"/>
              </w:rPr>
              <w:t xml:space="preserve"> atbalsta piešķiršanas pārbauda, vai komersantam minētais atbalsts pēdējos trijos gados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Nr. 2023/2831 3. panta 2. punktā  minēto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2023/2831 2. panta 2. 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34.3. apakšpunkta redakciju pret Komisijas regulas Nr. 2023/2831 3. panta 2. punktā lietoto formulējumu, ka de minimis kopsummu kopā ar plānoto ir jāpārbauda trīs gadu periodā skaitot no de minimis atbalsta piešķiršanas lēmuma pieņemšanas dienas. Vienlaikus lūdzam arī svītrot noteikumu 34.1. apakšpunktu, jo tas dublē noteikumu 34.3. apakšpunktā noteikto. Atbilstoši aicinām precizēt arī anotāciju sadaļā, kur aprakstīti komercdarbības atbalsta nosacījumi, norādot, ka Komisijas regulas Nr. 2023/2831 ietvaros trīs gadu laikposms ir jāvērtē kā slīdošs periods un attiecībā uz katru jaunu de minimis atbalsta piešķiršanu jāņem vērā de minimis atbalsta kopsumma, kas piešķirta iepriekšējos trīs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w:t>
            </w:r>
            <w:r w:rsidR="00000000" w:rsidRPr="00000000" w:rsidDel="00000000">
              <w:rPr>
                <w:i w:val="1"/>
                <w:rtl w:val="0"/>
              </w:rPr>
              <w:t xml:space="preserve">de minimis </w:t>
            </w:r>
            <w:r w:rsidR="00000000" w:rsidRPr="00000000" w:rsidDel="00000000">
              <w:rPr>
                <w:rtl w:val="0"/>
              </w:rPr>
              <w:t xml:space="preserve">atbalsta piešķiršanas pārbauda, vai komersantam plānotais </w:t>
            </w:r>
            <w:r w:rsidR="00000000" w:rsidRPr="00000000" w:rsidDel="00000000">
              <w:rPr>
                <w:i w:val="1"/>
                <w:rtl w:val="0"/>
              </w:rPr>
              <w:t xml:space="preserve">de minimis</w:t>
            </w:r>
            <w:r w:rsidR="00000000" w:rsidRPr="00000000" w:rsidDel="00000000">
              <w:rPr>
                <w:rtl w:val="0"/>
              </w:rPr>
              <w:t xml:space="preserve"> atbalsts kopā ar iepriekšējos trīs gados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Nr.2023/2831 3.panta 2.punktā noteikto robežlielumu. Viens vienots uzņēmums ir tāds uzņēmums, kas atbilst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34.1. apakšpunkts svītrots, bet 34.3. apakšpunkts precizēts.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pirms plānotā </w:t>
            </w:r>
            <w:r w:rsidR="00000000" w:rsidRPr="00000000" w:rsidDel="00000000">
              <w:rPr>
                <w:i w:val="1"/>
                <w:rtl w:val="0"/>
              </w:rPr>
              <w:t xml:space="preserve">de minimis</w:t>
            </w:r>
            <w:r w:rsidR="00000000" w:rsidRPr="00000000" w:rsidDel="00000000">
              <w:rPr>
                <w:rtl w:val="0"/>
              </w:rPr>
              <w:t xml:space="preserve"> atbalsta piešķiršanas pārbauda, vai komersantam iepriekšējos trīs gados no plānotā atbalsta piešķiršanas dienas jau saņemtais un plānotais </w:t>
            </w:r>
            <w:r w:rsidR="00000000" w:rsidRPr="00000000" w:rsidDel="00000000">
              <w:rPr>
                <w:i w:val="1"/>
                <w:rtl w:val="0"/>
              </w:rPr>
              <w:t xml:space="preserve">de minimis</w:t>
            </w:r>
            <w:r w:rsidR="00000000" w:rsidRPr="00000000" w:rsidDel="00000000">
              <w:rPr>
                <w:rtl w:val="0"/>
              </w:rPr>
              <w:t xml:space="preserve"> atbalsts viena vienota uzņēmuma līmenī nepārsniedz regulas Nr.2023/2831 3.panta 2.punktā noteikto robežlielumu. Viens vienots uzņēmums ir tāds uzņēmums, kas atbilst regulas Nr. 2023/2831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5.punktā norādīts, ka FM iebildums ir ņemts vērā, taču izskatot precizēto anotāciju ir secināms, ka nav aizpildīts anotācijas 3.sadaļas 2.1. apakšpunkts. Attiecīgi atkārtoti lūdzam aizpildīt anotācijas 3.sadaļas 2.1. apakšpunktu, atbilstoši 1.1. apakšpunktam. Papildus lūdzam precizēt anotācijas 3.sadaļas 6.punkta 1.rindkopā gadu, 2025.gada vietā norādot 2026. gadu pie noslēguma maksājumiem finansējuma saņēmējiem 1 275 613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2.1.punkts un precizēts gadskaitlis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informāciju, ka sadarbības iestāde finansējumu noslēgumu maksājumu veikšanai (Kohēzijas fonda finansējuma apmērā) pieprasīs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ieteikumam.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39.punktā paredzēto, lūdzam anotācijas 3.sadaļas 6.punktā pirmajā rindkopā vārdu “atmaksas” precizēt uz “noslēguma maksājumi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paredzēts apstiprināt jauna pasākuma īstenošanas noteikumus, lūdzam anotācijas 3.sadaļā 2024. un 2025.gadam ailē “saskaņā ar vidēja termiņa budžeta ietvaru” norādīto informāciju pārcelt uz aili “izmaiņas, salīdzinot ar vidēja termiņa budžeta ietvaru”, kā arī aizpildīt 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informācija pārcelta.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un atlases kārtas mērķis ir attīstīt atkritumu dalītas vākšanas sistēmu, sagatavošanu atkārtotai izmantošanai, pārstrādi un reģenerāciju.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nosaka pasākuma mērķa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ņemts vērā, jo pasākuma mērķa grupa ir pārāk plaša jeb visi atkritumu dalītās vākšanas pakalpojuma saņēmēji (atkritumu radītāji), kam projektu realizācijas rezultātā tiks dota iespēja iekļauties pašvaldību organizētajā dalītās vākšanas sistēmā un lietot atkritumu apsaimniekošanas komersantu iegādātos konteinerus.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un atlases kārtas mērķis ir attīstīt atkritumu dalītas vākšanas sistēmu, sagatavošanu atkārtotai izmantošanai, pārstrādei un reģenerācijai.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rādītājs - atbalstīto uzņēmumu (tai skaitā mazi, vidēji un lieli uzņēmumi) skaits. Iznākuma rādītāja vērtība tiek sasniegta, ja atlases kārtas projektu ietvaros veikti ieguldījumi atkritumu dalītas savākšanas sistēmas attīstībā, nodrošinot atbalstu vismaz četriem uzņēmumiem, tai skaitā līdz 2024. gada 31. decembrim - vismaz trim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rādītājs, kas ietver vārdu “uzņēmums” ir noteikts Eiropas Savienības kohēzijas politikas programmā 2021.–2027. gadam kā iznākuma rādītājs “i.2.2.2.a Atbalstītie uzņēmumi (tai skaitā: mikrouzņēmumi, mazi, vidēji un lieli uzņēmumi) - 25”, uz 2.2.2.2. pasākuma pirmo kārtu ir attiecināma vērtība 4, līdz ar noteikumu projektā tiek ietverta darbības programmas rādītāja redakcija. Programmā vārds “uzņēmums” rādītāja aprakstā tika ieviests, jo tāds ir izmantots Eiropas Parlamenta un Padomes Regula (ES) 2021/1058 (2021. gada 24. jūnijs) par Eiropas Reģionālās attīstības fondu un Kohēzijas fondu 1.pielikuma rādītāju definīcijās.  Skaidrojums par termina lietojumu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rādītājs - atbalstīto uzņēmumu (tai skaitā mazi, vidēji un lieli uzņēmumi) skaits. Iznākuma rādītāja vērtība tiek sasniegta, ja atlases kārtas projektu ietvaros veikti ieguldījumi atkritumu dalītas savākšanas sistēmas attīstībā, nodrošinot atbalstu vismaz četriem uzņēmumiem, tai skaitā līdz 2024. gada 31. decembrim - vismaz trim uzņēmumiem;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iesniedzējs, kas pēc projekta iesnieguma apstiprināšanas kļūst par finansējuma saņēmēju, atlases kārtas ietvaros ir atkritumu apsaimniekotājs (komersants), kurš normatīvajos aktos noteiktajā kārtībā ir saņēmis atbilstošu atkritumu apsaimniekošanas atļauju vai atļauju A vai B kategorijas piesārņojošo darbību veikšanai, un tā darbība atbilstoši Saimniecisko darbību statistiskās klasifikācijas Eiropas Kopienā 2. redakcijai atbilst E sadaļas 38. vai 39. nodaļai: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10. punkta ievaddaļā vārdus "kļūst par finansējuma saņēmēju" ar vārdiem "ir finansējuma saņēmējs", ievērojot Eiropas Savienības fondu 2021.—2027. gada plānošanas perioda vadības likuma 1. panta 3.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10.punkta redakcija grozīta, šobrīd tas numerācijas izmaiņu dēļ ir 11.punkts.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atlases pirmās kārtas ietvaros ir atkritumu apsaimniekotājs (komersants), kurš pēc civiltiesiskā līguma par projekta īstenošanu noslēgšanas ir finansējuma saņēmējs un kurš normatīvajos aktos noteiktajā kārtībā ir saņēmis atbilstošu atkritumu apsaimniekošanas atļauju vai atļauju A vai B kategorijas piesārņojošo darbību veikšanai, un tā darbība atbilstoši Saimniecisko darbību statistiskās klasifikācijas Eiropas Kopienā 2. redakcijai atbilst E sadaļas 38. vai 39. nodaļai: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dažādu veidu atkritumu dalītās vākšanas jaunu un nelietotu konteineru iegāde atbilstoši atbildīgās iestādes apstiprinātajai un vadošās iestādes saskaņotajai vienas vienības izmaksu likmju aprēķina un piemērošanas metodikai (turpmāk –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"un nelietotu",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veidu atkritumu dalītās vākšanas jaunu konteineru iegāde atbilstoši atbildīgās iestādes apstiprinātajai un vadošās iestādes saskaņotajai vienas vienības izmaksu likmju aprēķina un piemērošanas metodikai (turpmāk –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13.1.apakšpunkta redakcija, šobrīd numerācijas izmaiņu dēļ tas ir 14.1.apakšpunkts.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dažādu veidu atkritumu dalītās vākšanas jaunu konteineru iegāde atbilstoši atbildīgās iestādes apstiprinātajai un vadošās iestādes saskaņotajai vienas vienības izmaksu likmju aprēķina un piemērošanas metodikai (turpmāk – metodika);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Dažāda veida specializēto konteineru iegāde šādu atkritumu veidu savākšanai: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noteiktiem konteineru viediem ir norādīti to pieļaujamie tilpumi, bet citu kategoriju, piemēram, tekstila, nav norādīts konteineru tilpums. Ņemot vērā minēto, lūdzam precizēt apakšpunktus, izmantojot vienādu pieeju, t.i., lūdzam visiem konteineru veidiem norādīt pieļaujamo tilpumu vai šādu norādi uz pieļaujamo tilpumu dzēst.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14.1.apakšpunkta redakcija,  kur iespējams un attiecināms, piemēram, tekstila konteineriem, tilpumi ir norādīti. Tilpumi sākotnēji tika norādīti tiem standarta konteineru veidiem, ko plaši lieto Latvijas atkritumu saimniecībā, tilpumi netika norādīti tiem konteineru veidiem, kam nav noteikta starptautiska standarta, piemēram, EN840. Numerācijas izmaiņu dēļ tas ir 16.1.apakšpunkts.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Dažāda veida specializēto konteineru iegāde šādu atkritumu veidu savākšanai: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Projekta informācijas un publicitātes pasākumu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pantam un 50. pantam un normatīvajiem aktiem par kārtību, kādā Eiropas Savienības fondu vadībā iesaistītās institūcijas nodrošina šo fondu ieviešanu 2021.–2027. gada plānošanas periodā.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Savienības fondu regulējošajos normatīvajos aktos un praksē lietoto jēdzienu "komunikācijas un vizuālās identitātes prasību nodrošināšanas nosacījumi", lūdzam precizēt noteikumu projekta 14.2. un 13.2.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14.2. apakšpunktā minētajos normatīvajos aktos nav noteiktas attiecīgo prasību </w:t>
            </w:r>
            <w:r w:rsidR="00000000" w:rsidRPr="00000000" w:rsidDel="00000000">
              <w:rPr>
                <w:u w:val="single"/>
                <w:rtl w:val="0"/>
              </w:rPr>
              <w:t xml:space="preserve">izmaksas</w:t>
            </w:r>
            <w:r w:rsidR="00000000" w:rsidRPr="00000000" w:rsidDel="00000000">
              <w:rPr>
                <w:rtl w:val="0"/>
              </w:rPr>
              <w:t xml:space="preserve">, bet prasību </w:t>
            </w:r>
            <w:r w:rsidR="00000000" w:rsidRPr="00000000" w:rsidDel="00000000">
              <w:rPr>
                <w:u w:val="single"/>
                <w:rtl w:val="0"/>
              </w:rPr>
              <w:t xml:space="preserve">saturs</w:t>
            </w:r>
            <w:r w:rsidR="00000000" w:rsidRPr="00000000" w:rsidDel="00000000">
              <w:rPr>
                <w:rtl w:val="0"/>
              </w:rPr>
              <w:t xml:space="preserve">. Ievērojot minēto, aicinām vai nu papildināt noteikumu projektu ar atsevišķu punktu par minēto prasību ievērošanu atbilstoši attiecīgajiem normatīvajiem aktiem, vai arī papildināt noteikumu projekta 14.2. apakšpunktu aiz vārda "izmaksas" ar vārdiem "lai nodrošinātu minēto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 tostarp salāgojot ar noteikumu projekta 14.2. apakšpunktā minēto par piemērojamiem normatīvajiem aktiem. Papildus lūdzam anotācijā norādīt, ka attiecīgās prasības tiek ievērotas atbilstoši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13.2. un 14.2.apakšpunktu redakcijas. Šobrīd numerācijas izmaiņu dēļ  tie ir 14.2.un 16.2.apakšpunkti.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citas ar projektu saistītās attiecināmās izmaksas, kas tiek segtas atbilstoši atbildīgās iestādes apstiprinātajai un vadošās iestādes saskaņotajai metodikai.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komunikācijas un vizuālās identitātes prasību nodrošināšanas pasākumi, kas veiktas saskaņā ar normatīvajiem aktiem par kārtību, kādā 2021.–2027. gada plānošanas periodā publisko informāciju par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noteikumu projekta 16.2.apakšpunkta redakciju aizstāt ar "citas ar projektu saistītās attiecināmās izmaksas, kas tiek segtas atbilstoši atbildīgās iestādes apstiprinātajai un vadošās iestādes saskaņotajai metodikai". Secīgi aicinām izvērtēt noteikumu projekta 14.2.apakšpunkta redakciju, jo šīs izmaksas arī ir ietvertas vienas vienības izmaksu likmē kā citas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anotācijas 3.sadaļā "Cita informācija" norādīto informāciju par projekta informācijas un publicitātes pasākumu izmaksām, ņemot vērā, ka projekta kopējās izmaksas - konteineru iegāde un citas izmaksas, t.sk. informācijas un publicitātes pasākumu izmaksas, ir ietvertas vienas vienības izmaksu likmē.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14.2. un 16.2.apakspunktu redakcijas, kā arī precizēta anotācijas 3.sadaļas “Cita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citas ar projektu saistītās attiecināmās izmaksas, kas tiek segtas atbilstoši atbildīgās iestādes apstiprinātajai un vadošās iestādes saskaņotajai metodikai.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Pievienotās vērtības nodokļa maksājumi, kas tiešā veidā saistīti ar projektu, nav attiecināmās izmaksas. Pievienotās vērtības nodoklis ir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punktā noteikto, ņemot vērā noteikumu projektā paredzētā attiecināmā finansējuma apmēru, kas ir mazāks nekā 5 000 000 </w:t>
            </w:r>
            <w:r w:rsidR="00000000" w:rsidRPr="00000000" w:rsidDel="00000000">
              <w:rPr>
                <w:i w:val="1"/>
                <w:rtl w:val="0"/>
              </w:rPr>
              <w:t xml:space="preserve">euro</w:t>
            </w:r>
            <w:r w:rsidR="00000000" w:rsidRPr="00000000" w:rsidDel="00000000">
              <w:rPr>
                <w:rtl w:val="0"/>
              </w:rPr>
              <w:t xml:space="preserve"> (ieskaitot PVN). Proti, lūdzam noteikumu projekta 17. punktā noteikt, ka pasākuma atlases pirmās kārtas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Atlases kārtas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vienas vienības izmaksu likme, ko nosaka atbilstoši atbildīgās iestādes apstiprinātajai un vadošās iestādes saskaņotajai vienas vienības izmaksu likmju aprēķina un piemērošanas metodikai, pēc vadošās iestādes norādījumiem neietver PVN maksājumus, t.i. tajā tiek paredzēta tikai konteinera cena bez PVN. Tas skaidrojams ar faktu, ka lielāko daļu no plānotajiem konteineriem ražo tikai ārvalstīs gan Eiropas Savienībā, gan ārpus tās, kur katrā valstī ir atšķirīga PVN likme. Lai izvairītos no situācijas ar dažādajām PVN likmēm gan viena projekta ietvaros, ja projekta ietvaros tiks pirkti dažādi konteineru veidi no dažādiem ražotājiem, gan atlases kārtas projektos kopumā, tika pieņemts lēmums neiekļaut PVN projektos kā attiecināmās izmaksas, jo PVN ir atgūstams.  Metodikas sagatavošanā tirgus piedāvājuma izpētes laikā, ja bija pieejamas konteineru cenas ar PVN, tās tika pārrēķinātas, lai nebūtu iekļauts attiecīgās valsts PVN. Projektos nav paredzēti avansa maksājumi, finansējuma saņēmējs saņem tikai noslēguma maksājumu atbilstoši vienas vienības likmei, ko nosaka atbilstoši metodikai.  Finansējuma saņēmēja samaksātais PVN maksājums ir atgūstams kārtībā, kādu to nosaka normatīvie akti.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Pievienotās vērtības nodokļa maksājumi, kas tiešā veidā saistīti ar projektu, nav attiecināmās izmaksas. Pievienotās vērtības nodoklis ir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veic nepieciešamās darbības, lai nodrošinātu horizontālā principa "Nenodarīt būtisku kaitējumu", "Klimatdrošināšana", un "Vienlīdzība, iekļaušana, nediskriminācija un pamattiesību ievērošana" ievērošanu, datu uzkrāšanu un ievadi Kohēzijas politikas fondu vienotās informācijas sistēmā projekta īstenošanas un pēcuzraudzības laikā, tai skaitā piecus gadus pēc noslēguma maksājuma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15.punktu attiecinot to uz finansējuma saņēmēju un neparedzēt prasību uzkrāt datus par projekta ietekmi uz horizontālo principu īstenošanu un sniegt par tiem informāciju pēc projekta pabeigšanas. Ja svarīgi atrunāt, ka pēcuzraudzības periodā nepieciešams nodrošināt šo principu ievērošanu, ierosinām precizēt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projekta īstenošanas un pēcuzraudzības laikā ievēro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saņēmējs projekta īstenošanas laikā uzkrāj datus un sniedz informāciju sadarbības iestādei Kohēzijas politikas fondu vadības informācijas sistēmā par projekta ietekmi uz horizontālo principu īstenošanu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15.punkta redakcija, šobrīd numerācijas izmaiņu dēļ tas ir 23.7.apakšpunkts.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saņēmējs nodrošina, ka projektā plānotās darbības netiek finansētas no citiem valsts, pašvaldības un ārvalstu finanšu atbalsta instrumentiem vai citiem publiskiem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16. punktu, nosakot, ka finansējuma saņēmējs nodrošinās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16.punkta redakcija. Šobrīd numerācijas izmaiņu dēļ tas ir 19.punkts.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Finansējuma saņēmējs nodrošina dubultā finansējuma neiestāšanos un projektā plānotās darbību nepārklāšanos un to nefinansēšanu vai līdzfinansēšanu no citiem valsts, pašvaldības un ārvalstu finanšu atbalsta instrumentiem vai citiem publiskiem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projektā sasniegto rādītāju pamatojošajai dokumentācijai nosaka saskaņā ar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norādot, kāda tieši metodika tiks izmantota projektā sasniegto rādītāju pamatojošās dokumentācijas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18.punkta redakcija, metodikas nosacījumi numerācijas izmaiņu dēļ ietverti 21. un 22.punktā.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Prasības projektā sasniegto rādītāju pamatojošajai dokumentācijai nosaka saskaņā ar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metodiku.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projekta ietvaros iegādātais atkritumu dalītas savākšanas aprīkojums pastāvīgi piecus gadus tiek izmantots projekta noteikto mērķu sasniegšanai un projektā norādītā sasniedzamā dalīti vākto atkritumu daudzuma rādītāja vērtības nodrošināšanai pēc projekta noslēguma maksājuma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22.1. apakšpunktu, norādot, no kura brīža tiek skaitīts piecu gadu termiņš.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22.1.apakšpunkta redakcija. Šobrīd numerācijas izmaiņu dēļ tas ir 24.1.apakšpunkts.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projekta ietvaros iegādātais atkritumu dalītas savākšanas aprīkojums pastāvīgi piecus gadus no projekta noslēguma maksājuma veikšanas dienas finansējuma saņēmējam tiek izmantots projekta noteikto mērķu sasniegšanai un rezultātu ilgtspējas nodrošināšanai, tai skaitā projektā norādītā sasniedzamā dalīti vākto atkritumu daudzuma rādītāja vērtības sasniegšanai;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par līdzekļiem, par kuriem nav saņemts nekāds komercdarbības atbalsts, tiek nodrošināti sabiedrības izglītošanas un vides apziņas celšanas pasākumi vismaz piecu procentu apmērā proporcionāli realizētā projekta kopējām attiecināmajām izmaksām, ietverot informācijas sniegšanu atkritumu radītājiem drukātā, vizuālā veidā dažādos informācijas nesējos par aprites ekonomikas ieviešanas un atkritumu apsaimniekošanas pasākumu nepieciešamību (informatīvi bukleti, info grafikas, video klipi, semināri namu apsaimniekotājiem, ziņu lapas, preses relīzes, baneri un citi).   Līdzekļu izmantošanu finansējuma saņēmējs apliecina ik gadu iesniedzot atskaiti sadarbības iestādē.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pēdējo teikumu, nosakot finansējuma saņēmējam konkrētākas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par līdzekļiem, par kuriem nav saņemts nekāds komercdarbības atbalsts, tiek nodrošināti sabiedrības izglītošanas un vides apziņas celšanas pasākumi vismaz piecu procentu apmērā proporcionāli realizētā projekta kopējām attiecināmajām izmaksām, ietverot informācijas sniegšanu atkritumu radītājiem drukātā, vizuālā veidā dažādos informācijas nesējos par aprites ekonomikas ieviešanas un atkritumu apsaimniekošanas pasākumu nepieciešamību (informatīvi bukleti, info grafikas, video klipi, semināri namu apsaimniekotājiem, ziņu lapas, preses relīzes, baneri un citi). Līdzekļu izmantošanu finansējuma saņēmējs apliecina, ik gadu iesniedzot atskaiti kopā ar izmaksas pamatojošiem dokumentiem sadarbības iestādē.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22.2.apakšpunkta redakcija. Šobrīd numerācijas izmaiņu dēļ tas ir 24.3.apakšpunkts.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par līdzekļiem, par kuriem nav saņemts nekāds komercdarbības atbalsts, tiek nodrošināti sabiedrības izglītošanas un vides apziņas celšanas pasākumi vismaz piecu procentu apmērā proporcionāli realizētā projekta kopējām attiecināmajām izmaksām, ietverot informācijas sniegšanu atkritumu radītājiem drukātā, vizuālā veidā dažādos informācijas nesējos par aprites ekonomikas ieviešanas un atkritumu apsaimniekošanas pasākumu nepieciešamību (informatīvi bukleti, info grafikas, video klipi, semināri namu apsaimniekotājiem, ziņu lapas, preses relīzes, baneri un citi). Līdzekļu izmantošanu finansējuma saņēmējs apliecina, ik gadu iesniedzot atskaiti kopā ar izmaksas pamatojošiem dokumentiem sadarbības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nodrošina, ka projekta ietvaros iegādātie pārvietojamie atkritumu dalītas savākšanas konteineri tiek uzstādīti jaunā pakalpojuma sniegšanas teritorijā projekta vērtēšanas situācijai līdzvērtīgos apstākļos, par ko atkritumu apsaimniekotājam ir noslēgts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aprakstu, kā tiks noteikts, vai izpildās noteikumu projekta 23.1. apakšpunktā noteiktais "projekta vērtēšanas situācijai līdzvērtīgos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Numerācijas izmaiņu dēļ tas ir 25.1.punkts. Anotācijas teksta redakcija attiecīgi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nodrošina, ka projekta ietvaros iegādātie pārvietojamie atkritumu dalītas savākšanas konteineri tiek uzstādīti jaunā pakalpojuma sniegšanas teritorijā projekta vērtēšanas situācijai līdzvērtīgos apstākļos, par ko atkritumu apsaimniekotājam ir noslēgts līgums;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iestādei saskaņā ar civiltiesisko līgumu ir tiesības projekta īstenošanas un pēcuzraudzības laikā pārbaudīt civiltiesiskajā līgumā par projekta īstenošanu sniegto informāciju, veicot pārbaudi projekta īstenošanas vietā atbilstoši Eiropas Savienības fondu projektu pārbaužu veikšanas kārtībai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 punkta sākumu, lai ir skaidri saprotams, uz kādu civiltiesisko līgumu ir norāde.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Ministru kabineta 2009. gada 3. februāra noteikumu Nr. 108 "Normatīvo aktu projektu sagatavošanas noteikumi" 137. punktu noteikumu projektā, ja nepieciešams, raksta atsauci, kas norāda uz normatīvajiem aktiem noteiktā jomā. Ievērojot minēto, lūdzam izteikt noteikumu projekta 24.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iestādei saskaņā ar civiltiesisko līgumu </w:t>
            </w:r>
            <w:r w:rsidR="00000000" w:rsidRPr="00000000" w:rsidDel="00000000">
              <w:rPr>
                <w:u w:val="single"/>
                <w:rtl w:val="0"/>
              </w:rPr>
              <w:t xml:space="preserve">par projekta īstenošanu</w:t>
            </w:r>
            <w:r w:rsidR="00000000" w:rsidRPr="00000000" w:rsidDel="00000000">
              <w:rPr>
                <w:rtl w:val="0"/>
              </w:rPr>
              <w:t xml:space="preserve"> ir tiesības projekta īstenošanas un pēcuzraudzības laikā pārbaudīt civiltiesiskajā līgumā par projekta īstenošanu sniegto informāciju, veicot pārbaudi projekta īstenošanas vietā atbilstoši normatīvajiem aktiem,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24.punkta redakcija. Šobrīd numerācijas izmaiņu dēļ tas ir 26.punkts.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Sadarbības iestādei saskaņā ar civiltiesisko līgumu par projekta īstenošanu ir tiesības projekta īstenošanas un pēcuzraudzības laikā pārbaudīt civiltiesiskajā līgumā par projekta īstenošanu sniegto informāciju, veicot pārbaudi projekta īstenošanas vietā atbilstoši normatīvajiem aktiem, kas nosaka Eiropas Savienības fondu projektu pārbaužu veikšanas kārtību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tiek pārkāptas komercdarbības atbalsta normas, kas izriet no regulas Nr. 1407/2013 prasībām, finansējuma saņēmējam ir pienākums atmaksāt sadarbības iestādei visu projekta ietvaros saņemto nelikumīgo de minimis atbalstu kopā ar procentiem no līdzekļiem, kas ir brīvi no komercdarbības atbalsta, atbilstoši Komercdarbības atbalsta kontroles likuma IV vai V nodaļas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35.punktu, lai nodrošinātu Eiropas Savienības tiesu judikatūrai atbilstošu pienākumu atgūt nelikumīgo komercdarbības atbalstu, un izteikt to, piemēram, šādā redakcijā: "Ja tiek pārkāpti regulas Nr. 1407/2013 nosacījumi, finansējuma saņēmējam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35.punkta redakcija. Šobrīd numerācijas izmaiņu dēļ tas ir 39.punkts.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Avansa maksājums finansējuma saņēmējam nav paredzēts.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37. punktam nav juridiskā slodze. Attiecīgi lūdzam 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37.punkts ir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Avansa maksājums finansējuma saņēmējam nav paredzēts.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37. punkta nepieciešamību, ņemot vērā, ka norma ir deklaratīva. Minēto informāciju var iekļaut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37.punkts ir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Pievienotās vērtības nodokļa maksājumi, kas tiešā veidā saistīti ar projektu, nav attiecināmās izmaksas. Tie nav atgūstami atbilstoši normatīvajiem aktiem par pievienotās vērtības nodokli.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38. punktu. Vēršam uzmanību, ka, ja pievienotās vērtības nodoklis nav atgūstams atbilstoši normatīvajiem aktiem nodokļu politikas jomā, tas pasākuma atbalstāmo darbību ietvaros ir attiecināms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38.punkts (šobrīd numerācijas izmaiņu dēļ tas ir 17.punkts)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projekta pēcuzraudzības periodā nav veikti  vai ir veikti nepilnā apmērā šo noteikumu 22.2.pakšpunktā noteiktie sabiedrības izglītošanas pasākumi, finansējuma saņēmējam ir pienākums atmaksāt sadarbības iestādei projekta ietvaros saņemto atbalstu tādā apmērā, kā nav izpildītas pēcprojekta uzraudzības saistības, veicot finanšu korekciju.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Piedāvāta redakcija 41.punktam, kurā precizēts nosacījums un izņemts "pēcprojekta uzraudzības saistības": un "finanšu korekcija", jo tie ir Sadarbības iestādes pienākumi, uz Finansējuma saņēmēju attiecas 22.2. punktā noteiktie pienākumi.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projekta pēcuzraudzības periodā nav veikti  vai ir veikti nepilnā apmērā šo noteikumu 22.2.pakšpunktā noteiktie sabiedrības izglītošanas pasākumi, finansējuma saņēmējam ir pienākums atmaksāt sadarbības iestādei projekta ietvaros saņemto atbalstu tādā apmērā, kādā nav izpildītas saistības pēcuzraudzības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41.punkta redakcija. Šobrīd pēc numerācijas izmaiņām tas ir 31.punkts.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pasākuma ietvaros netiek iztērēts viss pieejamais Kohēzijas fonda finansējums, pēc atlases kārtas noslēgšanās tas tiek pārdalīts uz pasākuma otro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42. punktu, nosakot, ka, ja pirmās atlases kārtas ietvaros netiek iztērēts viss pieejamais finansējums, ņemot vērā, ka noteikumu projekta 7. punktā norādīts pirmās atlases kārtas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42.punkta redakcija. Šobrīd numerācijas izmaiņu dēļ tas ir 8.punkts.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Dokumentāciju par </w:t>
            </w:r>
            <w:r w:rsidR="00000000" w:rsidRPr="00000000" w:rsidDel="00000000">
              <w:rPr>
                <w:i w:val="1"/>
                <w:rtl w:val="0"/>
              </w:rPr>
              <w:t xml:space="preserve">de minimis</w:t>
            </w:r>
            <w:r w:rsidR="00000000" w:rsidRPr="00000000" w:rsidDel="00000000">
              <w:rPr>
                <w:rtl w:val="0"/>
              </w:rPr>
              <w:t xml:space="preserve"> atbalsta piešķiršanu saskaņā ar regulas Nr. 2023/2831 6. panta 3. punktu sadarbības iestāde glabā 10 gadus no programmas ietvaros pēdējā piešķirtā atbalsta, bet finansējuma saņēmējs –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nosacījumi par dokumentu glabāšanu izrietēja no Komisijas regulas Nr. 1407/2013  6. panta 4. punkta, šobrīd dokumentu glabāšanas nosacījumi izriet no Komisijas regulas Nr. 2023/2831 6.panta 3.punkta. Skaidrojam, ka Komisijas regulas Nr. 2023/2831 6. panta 3. punkts nosaka, ka "Dalībvalstis reģistrēto informāciju par </w:t>
            </w:r>
            <w:r w:rsidR="00000000" w:rsidRPr="00000000" w:rsidDel="00000000">
              <w:rPr>
                <w:i w:val="1"/>
                <w:rtl w:val="0"/>
              </w:rPr>
              <w:t xml:space="preserve">de minimis</w:t>
            </w:r>
            <w:r w:rsidR="00000000" w:rsidRPr="00000000" w:rsidDel="00000000">
              <w:rPr>
                <w:rtl w:val="0"/>
              </w:rPr>
              <w:t xml:space="preserve"> atbalstu glabā 10 gadus no atbalsta piešķiršanas dienas", taču vienlaikus Komisijas regulas Nr. 2023/2831 6. panta 7. punkts nosaka, ka “Pēc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w:t>
            </w:r>
            <w:r w:rsidR="00000000" w:rsidRPr="00000000" w:rsidDel="00000000">
              <w:rPr>
                <w:i w:val="1"/>
                <w:rtl w:val="0"/>
              </w:rPr>
              <w:t xml:space="preserve">de minimis </w:t>
            </w:r>
            <w:r w:rsidR="00000000" w:rsidRPr="00000000" w:rsidDel="00000000">
              <w:rPr>
                <w:rtl w:val="0"/>
              </w:rPr>
              <w:t xml:space="preserve">atbalsta kopsummu šīs regulas un citu </w:t>
            </w:r>
            <w:r w:rsidR="00000000" w:rsidRPr="00000000" w:rsidDel="00000000">
              <w:rPr>
                <w:i w:val="1"/>
                <w:rtl w:val="0"/>
              </w:rPr>
              <w:t xml:space="preserve">de minimis</w:t>
            </w:r>
            <w:r w:rsidR="00000000" w:rsidRPr="00000000" w:rsidDel="00000000">
              <w:rPr>
                <w:rtl w:val="0"/>
              </w:rPr>
              <w:t xml:space="preserve"> regulu nozīmē”, tādējādi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 2023/2831 6. panta 1. punktā ietverto informācijas apjomu. Attiecīgi lūdzam atbilstoši precizēt noteikumu 39.punkta redakciju, ietverot tajā atsauci arī uz Komisijas regulas Nr. 2023/2831 6. panta 7. punktu. Vienlaikus lūdzam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programmas ietvaros pēdējā piešķirtā atbalsta, bet finansējuma saņēmējs – 10 gadus no atbalsta piešķiršanas dienas.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minēto praktisko piemēru, jo atbilstoši Padomes Regulai (EEK, Euratom) Nr. 1182/71 (1971. gada 3. jūnijs), ar ko nosaka laikposmiem, datumiem un termiņiem piemērojamus noteikumus, ja jaunā atbalsta piešķiršanas datums ir 2024.gada 18.jūnijs, trīs gadu periods būs skaitāms līdz 2021.gada 18.jūnijam, nevis 2021.gada 19.jūnijam.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datums anotācijas tekstā.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nepārprotamu informāciju, lūdzam precizēt vai svītrot anotācijas 1.3.sadaļā "Atbalstāmās darbības un attiecināmās izmaksas" ietverto teikuma daļu "..un ar metodiku projektā tiks nosegti 85% attiecināmo izmaksu". Vēršam uzmanību, ka metodikā noteiktā likme ir par vienību un tā ietver sevī kopējās attiecināmās izmaksas, savukārt Kohēzijas fonda finansējuma apmērs nepārsniedz 85 procentus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teikuma daļa dzēsta.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plānoto investīciju ietekmi uz horizontālo principu "Energoefektivitāte pirmajā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rindkopu "Metodiku atbildīgā iestāde ievieto savā tīmekļvietnē pēc tās apstiprināšanas, bet ne vēlāk kā piecu darbdienu laikā pirms atlases kārtas izsludināšanas." ar informāciju, ka metodiku plānots izstrādāt līdz projektu iesniegum atlases uzsākšanai un ar metodiku tiks nosegtas visas izmaksas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nelietot noteikumu projektā un anotācijā metodikas nosaukumu, ņemot vērā, ka metodika vēl nav saskaņota, un pastāv iespēja, ka nosaukums var mainīties.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pirmās kārtas projektos ir plānota atkritumu dalītās vākšanas konteineru iegāde atbilstoši vienas vienības izmaksu metodikā noteiktajiem  konteineru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netiek lietots precīzs metodikas nosaukums.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RISINĀJUMA APRAKSTA 3.rindkopā "Finansējuma saņēmējam par līdzekļiem, par kuriem nav saņemts nekāds komercdarbības atbalsts, ir jānodrošina  sabiedrības izglītošanas un vides apziņas celšanas pasākumi vismaz piecu procentu apmērā proporcionāli realizētā projekta kopējām attiecināmajām izmaksām, ietverot informācijas sniegšanu atkritumu radītājiem drukātā, vizuālā veidā dažādos informācijas nesējos par aprites ekonomikas ieviešanas un atkritumu apsaimniekošanas pasākumu nepieciešamību (informatīvi bukleti, info grafikas, video klipi, semināri namu apsaimniekotājiem, ziņu lapas, preses relīzes, baneri un citi)" lūdzam norādīt, ka šie pasākumi jāveic pēcprojekta laikā, ti, 5 gadu laikā pēc noslēguma maksājuma veikšanas finansējuma saņēmējam.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sadaļu ar norādi, ka Vides aizsardzības un reģionālās attīstības ministrija pildīs atbildīgās iestādes funkcijas. Vienlaikus lūdzam papildināt ar[i anotācijas 7.1. sadaļu ar norādi uz Vides aizsardzības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23-TA-2341</w:t>
    </w:r>
    <w:r>
      <w:br/>
    </w:r>
    <w:r w:rsidR="00000000" w:rsidRPr="00000000" w:rsidDel="00000000">
      <w:rPr>
        <w:rtl w:val="0"/>
      </w:rPr>
      <w:t xml:space="preserve">29.02.2024. 08.32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23-TA-2341</w:t>
    </w:r>
    <w:r>
      <w:br/>
    </w:r>
    <w:r w:rsidR="00000000" w:rsidRPr="00000000" w:rsidDel="00000000">
      <w:rPr>
        <w:rtl w:val="0"/>
      </w:rPr>
      <w:t xml:space="preserve">29.02.2024. 08.32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Izziņa_23-TA-2341.docx</dc:title>
</cp:coreProperties>
</file>

<file path=docProps/custom.xml><?xml version="1.0" encoding="utf-8"?>
<Properties xmlns="http://schemas.openxmlformats.org/officeDocument/2006/custom-properties" xmlns:vt="http://schemas.openxmlformats.org/officeDocument/2006/docPropsVTypes"/>
</file>