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22-TA-3784: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valsts iestāžu, biedrību un nodibinājumu, kas ir sociālo pakalpojumu sniedzēji, sociālā darba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biedrībām un nodibinājumiem, kas ir sociālo pakalpojumu sniedzēji un minēti noteikumu projekta 3.1.3.apakšpunktā, ir noteikts veikt attiecīgo pakalpojumu valsts vai pašvaldību funkciju ietvaros saskaņā ar noslēgto deleģējuma līgumu. Tādā gadījumā, lūdzam papildināt noteikumus, ka attiecīgais līgums ir jāiesniedz kopā ar pieteikumu. Savukārt, ja gadījumā biedrībām un nodibinājumiem atbalsts plānots saimnieciskās darbības veikšanai, lūdzam anotācijā iekļaut analīzi atbilstoši Komercdarbības atbalsta kontroles likuma 5.panta pazīmēm, secinot, vai atbalsts kvalificējas vai nekvalificējas kā komercdarbības atbalsts. Ja secināt, ka visas pazīmes izpildās, lūdzam noteikumus papildināt ar piemērojamā komercdarbības atbalsta regulējuma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valsts iestāžu, biedrību un nodibinājumu, kas ir sociālo pakalpojumu sniedzēji, sociālā darba speciālisti;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programmas iznākuma rādītājs – nodarbināto, tostarp pašnodarbināto personu skaits – 3 099, tai skaitā līdz 2024. gada 31. decembrim – 692;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4.1.punktā definēt rādītāja EECO05 nosaukumu atbilstoši Programmā noteiktajam, t.i.  "</w:t>
            </w:r>
            <w:r w:rsidR="00000000" w:rsidRPr="00000000" w:rsidDel="00000000">
              <w:rPr>
                <w:i w:val="1"/>
                <w:rtl w:val="0"/>
              </w:rPr>
              <w:t xml:space="preserve">Nodarbinātas personas, tostarp pašnodarbinātas personas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programmas iznākuma rādītājs – nodarbinātas personas, tostarp pašnodarbinātas personas – 3 099, tai skaitā līdz 2024. gada 31. decembrim – 692;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profesionālās kompetences pilnveide,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attiecībā uz sociālā darba studiju programmu studentiem, ietverot informāciju, vai noteikumu projekta 12.1.apakšpunktā minētās izglītības programmas apmācības ir daļa no šo studentu augstākās izglītības programmas vai attiecīgās apmācības pieejamas tikai sociālā darba jomā studējušajiem studentiem kā papildus kursi. Lūdzam ietvert analīzi komercdarbības atbalsta kontroles kontekstā, tostarp, vai izglītības programma ir vispārējās izglītības daļa un vai augstākās izglītības iestāde īsteno saimnieciskas vai nesaimnieciskas darbības, sniedzot izglītības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profesionālās kompetences pilnveide,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14.3.3.2. darba vietas aprīkojuma iegādei vai nomai, tai skaitā aprīkojuma uzturēšanai un remontam, finansējuma saņēmēja projekta īstenošanas un vadības personālam jaunu darba vietu radīšanai vai esošo darba vietu atjaunošanai var plānot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Finanšu ministrijas vadlīniju Nr.1.2. "Vadlīnijas attiecināmo izmaksu noteikšanai Eiropas Savienības kohēzijas politikas programmas 2021.-2027.gada plānošanas periodā" 9.1.apakšpunktu, lūdzam vārdus "vai esošo darba vietu atjaunošanai" aizstāt ar vārdiem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Finanšu ministrijas vadlīniju Nr.1.2. "Vadlīnijas attiecināmo izmaksu noteikšanai Eiropas Savienības kohēzijas politikas programmas 2021.-2027.gada plānošanas periodā" 33.punktu jāņem vērā darbinieka iesaistes periods projektā pret projekta kopējo īstenošanas ilgumu un daļlaika proporcija darbam projektā. 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papildinājumi veikti arī anotācijas sadaļā “Risinājuma apraksts” ietvertajā informācijā, tai skaitā papildinot ar norādi, ka, paredzot darba vietas aprīkojuma izmaksas, tiks ievērots Vadlīniju Nr.1.2. “Vadlīnijas attiecināmo izmaksu noteikšanai Eiropas Savienības kohēzijas politikas programmas 2021.-2027.gada plānošanas periodā” 33. punktā noteiktais, tai skaitā ņemts vērā nodarbinātā iesaistes periods projektā pret projekta kopējo īstenošanas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13.2.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13.1.</w:t>
            </w:r>
            <w:r w:rsidR="00000000" w:rsidRPr="00000000" w:rsidDel="00000000">
              <w:rPr>
                <w:rtl w:val="0"/>
              </w:rPr>
              <w:t xml:space="preserve">​​​​​ apakšpunktā minētajām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apstiprinātajā informatīvajā ziņojumā tika paredzēta netiešo izmaksu likme 15 % apmērā no personāla atlīdzības izmaksām, savukārt šobrīd tiek paredzēta netiešo izmaksu likme 7 % apmērā no tiešajām attiecināmajām izmaksām, aicinām papildināt anotāciju ar skaidrojumu par pieejas maiņu, kā arī ietekmi, kas radīsies pieejas maiņas rezultātā.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13.2.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13.1.</w:t>
            </w:r>
            <w:r w:rsidR="00000000" w:rsidRPr="00000000" w:rsidDel="00000000">
              <w:rPr>
                <w:rtl w:val="0"/>
              </w:rPr>
              <w:t xml:space="preserve">​​​​​ apakšpunktā minētajām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īstenošanas noteikumi (turpmāk – noteikumu projekts) 25. punktā ir noteikts, ka finansējuma saņēmēja izvēlēts pakalpojuma sniedzējs veiks projekta ex-post izvērtējumu, ietverot vismaz projekta sasniegto rezultātu un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 normas satura nav saprotams, vai  izvērtējuma veikšanā tiks apstrādāti personu dati Vispārīgās datu aizsardzības regulas (turpmāk – Datu regula) izpratnē, vai arī nē. Gadījumā, ja izvērtējumā tiks apstrādāti personu dati (informācija no kuras personu iespējams idetificēt), norma būtu jāprecizē, norādot tajā informācija par datu kategorijām, kuras ir plānot apstrādāt, datu subjektiem, kuru datus ir paredzēts apstrādāt, tāpat arī informācija par to, vai personu dati tiks glabāti un cik ilgi, kā arī - vai dati tiks nodoti citām vienībām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skaidro, ka personu datu apstrādē ir jāievēro Vispārīgās datu aizsardzības regulas (turpmāk – Datu regula) prasības, tostarp Datu regulas 5. pantā nostiprinātie datu apstrādes principi. Datu regulas 5. panta 1. punkta a) apakšpunktā nostiprināts princips “likumīgums, godprātība un pārredzamība”, saskaņā ar kuru dati ir jāapstrādā likumīgi (jābūt kādam no Datu regulas 6. panta 1. punktā minētajiem datu apstrādes pamatojumiem), godprātīgi un pārredzami (datu subjektam ir jābūt skaidrai veicamajai datu apstrādei, tās apjomam, nolūkiem, glabāšanas termiņiem). Datu regulas 5. panta 1. punkta b) apakšpunktā nostiprināts nolūka ierobežojuma princips, kas būtībā nosaka, ka datu apstrādi veic skaidros un leģitīmos nolūkos, un to turpmāku apstrādi neveic ar minētajiem nolūkiem nesavienojamā veidā. Tāpat svarīgs ir arī Datu regulas 5. panta 1. punkta c) apakšpunktā nostiprinātais datu minimizēšanas princips, saskaņā ar kuru, apstrādāti tiek tikai tie dati, kas ir patiesi un absolūti “nepieciešami” konkrēta nolūka sasniegšanai kā arī e) apakšpunktā nostiprinātais “glabāšanas ierobežojuma” princips, saskaņā ar kuru dati glabājami ne ilgāk kā nepieciešams nolūkiem,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Datu regulā nostiprinātajiem principiem izriet, ka gadījumā, kad tiek paredzēta personu datu apstrāde, tiesību aktā ar kuru to paredz būtu gana skaidri jānorāda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skaidrs datu apstrādes nolūks (gana skaidrs, lai varētu izsecināt iespējamos apstrādājamos datu veidus jeb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subjekti, kuru datus paredzēts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veidus jeb kategorijas, kuras paredzēts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glabāšanas termiņus (ja datus ir paredzēts uzglabāt), papildus anotācijā skaidrojot to, kāpēc šāds termiņš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vienības, kam dati var tikt nodoti un kādā nolūkā (ja datus paredzēts kādam nodot).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noteikumu projekta 25. punktā ir paredzēta personu datu apstrāde, tas būtu papildināms, taču ja izvērtējumā nav paredzēta personu datu apstrāde, bet tikai statistikas norādīšana vai anonimizētu datu apstrāde, tad norma atstājama esošajā redakcijā, anotācijā skaidri un nepārprotami norādot, ka noteikumu projektā personas datu apstrāde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Inspekcija norāda, ka arī no noteikumu projekta 26.6. apakšpunkta, kurā noteikts, ka, īstenojot projektu, finansējuma saņēmējs uzkrās datus par horizontālā principa "vienlīdzība, iekļaušana, nediskriminācija un pamattiesību ievērošana" rādītājiem, piemēram, izglītoto personu par vienlīdzīgu iespēju aspektiem (..) skaits, sniegto ekspertu konsultāciju (..) skaits - nav saprotams, vai 26.6. punktā ir paredzēts uzkrāt datus tīri statistiskā izpratnē (piemēram, bez informācijas no kuras personu var identificēt vai anonimizētus datus), jeb uzkrātajos datos būs ietverti arī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ar noteikumu projekta 26.6. apakšpunktu paredzēts apstrādāt personu datus Datu regulas izpratnē, norma būtu jāpapildina ar visu Inspekcijas jau augstāk minēto informāciju, kas normā norādāma attiecībā uz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iebilstams, ka noteikumu projekta 26.7. apakšpunktā, kurā ir paredzēta personu datu apstrāde, tostarp datus uzkrājot, būtu jāprecizē termiņš, cik ilgi dati tiks glabāti, papildus anotācijā sniedzot skaidrojumu par to, kāpēc tieši šāds termiņš ir nepieciešams konkrētā datu apstrādes nolūka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DVI 1. un 2. priekšlikums ņemts vērā, precizējot TA projektu un tā anotāciju. Skaidrojums par DVI 1.priekšlikumu sniegts anotācijas 1.3. sadaļā. Vienlaikus attiecībā uz glabāšanas termiņa ietveršanu normatīvajā aktā LM informē, ka, pamatojoties uz MK 2009. gada 3.februāra noteikumu Nr.108 “Normatīvo aktu projektu sagatavošanas noteikumi” 3.2. apakšpunktu, normatīvajā aktā nav pieļaujams  dublēt citu normatīvo aktu normas. Tādējādi DVI 3. priekšlikums nav ņemts vērā, anotācijā sniedzot skaidrojumu par šo personas datu glabāšanas termiņiem, ietverot atsauci uz normatīvajiem aktiem, kas šo jautājumu jau regulē.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projekta īstenošanas, maksājuma pieprasījumu un dalībnieku pārskata sagatavošanas un mērķa grupas atbilstības pārbaudes nolūkā un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iesaistei profesionālās kompetences pilnveides pasākumos veic šo mērķa grupas personu identificēšanu un uzskaiti, norādot personas datus atbilstoši 2023. gada 21. marta Ministru kabineta noteikumu Nr.135 “Eiropas Savienības fondu projektu pārbaužu veikšanas kārtība 2021.–2027. gada plānošanas periodā” 1.pielikumam, un iesniedz tos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18.9., 19.2.12., 21.4., 22.8. un 23.8. apakšpunktā minēta personu datu uzkrāšana atbilstības pārbaudes mērķa grupai veikšanas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8.1.13. apakšsadaļā minēts, ka mērķa grupas atbilstību pārbaudīs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finansējuma saņēmējs varēs pārbaudīt personas atbilstību mērķa grupai, ja profesionālās kompetences pilnveides pasākumus, supervīzijas u.c. īstenos pakalpojumu sniedzēji un pašvaldības. Aicinām izvērtēt, vai finansējuma saņēmējs neveiks tikai atbilstības pārbaudes pēcpārbaudi.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pēc nepieciešamības precizēt noteikumu projektu un anotācijas 8.1.13.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atbilstību mērķa grupai pārbaudīs finansējuma saņēmējs. Atbilstoši pakalpojuma sniedzēja apkopotajai un iesniegtajai informācijai par personām, kuras pieteikušās profesionālās kompetences pilnveides pasākumiem, kas tiek īstenoti mācību veidā, finansējuma saņēmējs pārbaudīs personu atbilstību pasākuma mērķa grupām un apstiprinās vai noraidīs personas iekļaušanu mācību grupā. Atbilstoši pašvaldības iesniegtajai informācijai par personām, kuras saņēmušas supervīziju, finansējuma saņēmējs pārbaudīs šo personu atbilstību pasākuma mērķa grupai un kompensācija par supervīziju tiks piešķirta tikai par tām personām, kuras atbildīs konkrētajai mērķa grupai un pasākuma īstenošanas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projekta īstenošanas, maksājuma pieprasījumu un dalībnieku pārskata sagatavošanas un mērķa grupas atbilstības pārbaudes nolūkā un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iesaistei profesionālās kompetences pilnveides pasākumos veic šo mērķa grupas personu identificēšanu un uzskaiti, norādot personas datus atbilstoši 2023. gada 21. marta Ministru kabineta noteikumu Nr. 135 “Eiropas Savienības fondu projektu pārbaužu veikšanas kārtība 2021. – 2027. gada plānošanas periodā” 1. pielikumam, un iesniedz tos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kompensē pašvaldībai šo noteikumu </w:t>
            </w:r>
            <w:r w:rsidR="00000000" w:rsidRPr="00000000" w:rsidDel="00000000">
              <w:rPr>
                <w:rtl w:val="0"/>
              </w:rPr>
              <w:t xml:space="preserve">12.1.3.</w:t>
            </w:r>
            <w:r w:rsidR="00000000" w:rsidRPr="00000000" w:rsidDel="00000000">
              <w:rPr>
                <w:rtl w:val="0"/>
              </w:rPr>
              <w:t xml:space="preserve"> apakšpunktā minētās supervīzijas izmaksas,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pašvaldības iesaisti projekta īstenošanā un nepieciešamību kompensēt noteikumu projekta 12.1.3. apakšpunktā minētās darbības ietvaros radušās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pakalpojumu un sociālās palīdzības likuma (turpmāk – SPSPL) 9.panta sesto daļu pašvaldībai ir pienākums nodrošināt pašvaldības sociālā dienesta un citu pašvaldības izveidoto sociālo pakalpojumu sniedzēju sociālā darba speciālistiem profesionālās kompetences pilnveidi — apmācības un supervīziju;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SPSPL Pārejas noteikumu 29. punktu līdz 2028. gada 30. jūnijam atbalstu pašvaldībām sociālā dienesta un citu pašvaldības izveidoto sociālo pakalpojumu sniedzēju iestāžu sociālā darba speciālistu profesionālās kompetences pilnveides nodrošināšanai Ministru kabineta noteiktajā apmērā īsteno Eiropas Savienības politiku instrumentu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jāmin, ka līdzšinēji kompensācija pašvaldībām par supervīziju nodrošināšanu sociālā darba speciālistiem tika nodrošināta LM īstenotā pasākuma Nr. 9.2.1.1. projekta ietvaros, ko plānots turpināt 4.3.5.4. pasākuma ietvaros, tādējādi nodrošinot, ka atbalsts tiek nodrošināts, piesaistot finansējumu Eiropas Savienības politiku instrumentu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Īstenojot šo noteikumu </w:t>
            </w:r>
            <w:r w:rsidR="00000000" w:rsidRPr="00000000" w:rsidDel="00000000">
              <w:rPr>
                <w:rtl w:val="0"/>
              </w:rPr>
              <w:t xml:space="preserve">12.1.3.</w:t>
            </w:r>
            <w:r w:rsidR="00000000" w:rsidRPr="00000000" w:rsidDel="00000000">
              <w:rPr>
                <w:rtl w:val="0"/>
              </w:rPr>
              <w:t xml:space="preserve"> apakšpunktā minēto atbalstāmo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regulējumu, kas paredz pašvaldības kā sadarbības partnerus, un finansējuma saņēmēja pienākumu slēgt sadarbības līgumus ar pašvaldībām, ņemot vērā, ka noteikumu projektā pašvaldībām paredzēti pienākumi, tostarp pret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izziņā skaidrots, ka līdzšinēji kompensācija pašvaldībām par supervīziju nodrošināšanu sociālā darba speciālistiem tika nodrošināta Labklājības ministrijas īstenotā pasākuma Nr. 9.2.1.1. projekta ietvaros. Norādām, ka Ministru kabineta 2019. gada 17. decembra noteikumi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paredz pašvaldības kā sadarbības partnerus.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2019. gada 17. decembra noteikumu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11.2. apakšpunkts paredz, ka pašvaldība ir sadarbības partneris tikai pasākuma ietvaros paredzēto pilotprojektu īstenošanā, kā arī saistībā ar mācību īstenošanu, kuru izmaksas tiek kompensētas pašvaldībām. 9.2.1.1. pasākumā sadarbības līgumi ar pašvaldībām par supervīziju kompensēšanu netiek slēgti. Tāpat arī 4.3.5.4. pasākumā sadarbības līgumus ar pašvaldībām par supervīziju kompensēšanu nav paredzēts slēgt, ņemot vērā, ka nosacījumi kompensācijas saņemšanai tiek noteikti MK noteikumu ietvaros un tie visām pašvaldībām ir vienādi, turklāt kompensācija tiek un arī turpmāk tiks piešķirta saskaņā ar vienas vienības izmaksu metodiku. Atsevišķu sadarbības līgumu slēgšana ar katru pašvaldību par supervīziju kompensācijas piešķiršanu uzliktu papildu administratīvo slogu gan finansējuma saņēmējam, gan pašvaldībai un nav lietderīga, ņemot vērā, ka sadarbības līgumi saturētu tādus pašus nosacījumus kā MK noteikumos noteiktie.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pašvaldība: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pašvaldība supervīzijas pakalpojuma sniedzēju ir izvēlējusies saskaņā ar normatīvajiem aktiem publisko iepirkumu jomā, īstenojot  konkurenci nodrošinošu, pārredzamu, nediskriminējošu un, kur tas ir attiecināms un atbilstošs projekta darbības specifikai, sociāli atbildīgu iepirkumu veikšanu, kas atbilst publiskā iepirkuma principiem un tādējādi izslēdz komercdarbības atbalstu preču un pakalpojumu sniedzēju līmenī, kā arī ir izvēlējusies supervīzijas pakalpojuma sniedzēju, kurš ir noteiktas profesionālās nozares speciālists un kurš papildus ir ieguvis supervizora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19.2. apakšpunkta redakciju, norādot precīzāk, </w:t>
            </w:r>
            <w:r w:rsidR="00000000" w:rsidRPr="00000000" w:rsidDel="00000000">
              <w:rPr>
                <w:u w:val="single"/>
                <w:rtl w:val="0"/>
              </w:rPr>
              <w:t xml:space="preserve">kādas profesionālās nozares</w:t>
            </w:r>
            <w:r w:rsidR="00000000" w:rsidRPr="00000000" w:rsidDel="00000000">
              <w:rPr>
                <w:rtl w:val="0"/>
              </w:rPr>
              <w:t xml:space="preserve"> speciālistam ir jābūt izvēlētajam supervīzijas pakalpojuma sniedzējam.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precizēts attiecībā uz supervīzijas pakalpojuma sniedzējam izvirzāmajām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pašvaldība: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veic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minēto mērķa grupu – līderu atlasi, tai skaitā izstrādā līderu atlases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plānots organizēt atlasi, kur tiks nodefinēti kritēriji un atlases nosacījumi. Papildus lūdzam skaidrot "līdera" nozīmi, ņemot vērā, ka noteikumu projekta 3.1.2. un 3.1.3. apakšpunktā minēto mērķa grupa ir atrunāta vispārīgi.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paredzēts, ka līderu atlases kritērijus sadarbībā ar finansējuma saņēmēju un saskaņojot ar Sociālās darba speciālistu sadarbības padomi izstrādās iepirkuma procedūrā izvēlēts pakalpojuma sniedzējs. Līderu atlase tiks īstenota, izsludinot publisku pieteikšanos LM tīmekļvietnē, sociālā tīkla kontā. Līderu atlases procedūru, saskaņojot tās nosacījumus un procedūru ar finansējuma saņēmēju īstenos iepirkuma procedūrā izvēlēts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Konkrētās darbības ietvaros tiks sniegts atbalsts pašvaldību iestāžu, valsts iestāžu, biedrību un nodibinājumu, kas ir sociālo pakalpojumu sniedzēji, sociālā darba speciālistiem (sociālajiem darbiniekiem, sociālajiem aprūpētājiem, sociālajiem rehabilitētājiem un sociālās palīdzības organizatoriem). Attīstīt sociālā darba speciālistu līderības prasmes un kompetences ir būtiski, lai celtu sociālā darba speciālistu profesionālo prestižu, veicinātu aktīvu iesaisti sociālās politikas plānošanā, kā arī kvalitatīva profesionālā viedokļa paušanu, profesijas tēla veidošanu publiskajā telpā. Tāpat plānots, ka līderi būs iedvesmas avots un profesionāls atbalsts citiem sociālā darba speciālistiem, kā arī sociālā darba jomā studējošajiem. Mērķa grupa aptver visu veidu sociālā darba speciālistus (sociālie darbinieki, sociālie aprūpētāji, sociālie rehabilitētāji un sociālās palīdzības organizatori), ņemot vērā, ka līderiem nepieciešamas specifiskas personības iezīmes (harizma, oratora talants, augsta emocionālā inteliģence, autoritāte citu profesionāļu vidū), kas var piemist šauram lokam sociālā darba jomā strādājošajiem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piesaistītu un atlasītu  20 augsta profesionālā snieguma  sociālos darbiniekus  no visas valsts viņu līderības potenciāla aktualizēšanai un profesijas līderu grupas  profesionālās pilnveides pasākumiem, ir nepieciešama  profesionāla personāla atlases speciālista dalība iepirkuma pretendenta piedāvātā speciālistu komandā. Atlases process organizēts kā personāla speciālista pienākums, iepirkumā kā nepieciešamu ekspertu norādot personāla speciālistu ar pieredzi  zemāka un vidēja līmeņa vadītāju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Līdzīgu mācību īstenošana (piemēram, </w:t>
            </w:r>
            <w:r w:rsidR="00000000" w:rsidRPr="00000000" w:rsidDel="00000000">
              <w:rPr>
                <w:i w:val="1"/>
                <w:rtl w:val="0"/>
              </w:rPr>
              <w:t xml:space="preserve">Iespējamā misija</w:t>
            </w:r>
            <w:r w:rsidR="00000000" w:rsidRPr="00000000" w:rsidDel="00000000">
              <w:rPr>
                <w:rtl w:val="0"/>
              </w:rPr>
              <w:t xml:space="preserve">) liecina par projekciju ar 25% caurlaidību (ja atlase veikta no 100 kandidātiem).  Atlases speciālistu darbu veido līderu mācību kandidātu 100 anketu analīze un aptuveni 40 intervijas ar 2.kārtas kandidātiem. Intervējot pretendentus, personāla speciālists sagatavos virkni jautājumu, kuri vērsti uz kandidāta līderības potenciāla noskaidrošanu.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Līderu atlases kritērijiem jāsniedz skaidrs ieguldījums 4.3.5.4. pasākuma projekta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paaugstinot sociālā darba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paaugstinot sociālās jomas speciālistu profesionalitāti.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Līderiem būs jābūt motivētiem un proaktīviem, jāspēj saskatīt darba efektivitātes celšanas un optimizācijas iespējas, kā arī pieredzējušiem un kompetentiem, lai dalītos savā pieredzē un celtu mazāk pieredzējušo komandas biedru profesionālās kompetences, kā arī ar līdera īpašībām – atbildīgumu, pacietību, izcilām komunikācijas prasmēm.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atlasīti indikatīvi 20 sociālā darba speciālisti – līderi;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izstrādāta un īstenota profesionālās pilnveides izglītības programma līderības prasmju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veic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 līderu atlasi, tai skaitā izstrādā līderu atlases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šobrīd esošās MK noteikumu projekta 26.2.apakšpunkta redakcijas nav nepārprotami skaidrs, ka visās MK noteikumu projekta 12.punktā minētajās darbībās finansējuma saņēmējs preču un pakalpojumu sniedzējus izvēlēsies saskaņā ar normatīvajiem aktiem publisko iepirkumu jomā, īstenojot konkurenci nodrošinošu, pārredzamu, atklātu, nediskriminējošu konkursa procedūru, tādējādi izslēdzot komercdarbības atbalsta sniegšanas risku pakalpojuma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pasākuma virzītāju pārskatīt un izvērtēt 4.3.5.4.pasākumu un, ja komercdarbības atbalsta sniegšanas riska novēršanai ir iespējams pakalpojuma sniedzējus izvēlēties saskaņā ar 26.2.apakšpunktā noteikto, lūdzam to atbilstoši norādīt MK noteikumu projektā. Piemēram šobrīd nav skaidrs, vai 20.,22.,23.,24.,25.punktā paredzētās aktivitātes nodrošinās tāds finansējuma saņēmēja izvēlēts pakalpojuma sniedzējs, kas piesaistīts saskaņā ar normatīvajiem aktiem publisko iepirkumu jomā, īstenojot konkurenci nodrošinošu, pārredzamu, atklātu, nediskriminējošu konkursa procedūru.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26.2. apakšpunkta redakcija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pakalpojuma sniedzēja un piegādātāja piesaistīšanai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norādīts, ka gadījumā, ja subjekti (piemēram, sociālo pakalpojumu sniedzēji) nodarbojas ar saimnieciskām aktivitātēm, tiem piešķirtais atbalsts kvalificējams kā komercdarbības atbalsts, skaidrojam, ka saimnieciskās darbības veikšana nav automātisks priekšnosacījums, kuram izpildoties ir jāpiemēro komercdarbības atbalsta kontroles regulējums. Gadījumā, ja atbalsta pretendents veic saimniecisko darbību, attiecībā uz to vēl veic izvērtējumu par Komercdarbības atbalsta kontroles likuma 5.pantā noteikto komercdarbības atbalsta pazīmju vienlaicīgu izpildīšanos un tikai gadījumā, ja izpildās visas komercdarbības atbalsta pazīmes (šīs atbalsta programmas ietvaros atbalsta pretendentiem būtu jāizvērtē arī, vai pastāv ietekme uz tirdzniecību un konkurenci ES iekšējā tirgū), ir jāpiemēro komercdarbības atbalsta kontroles regulējums (piemēram, de minimis). Līdz ar to, aicinām izvērtēt, vai komercdarbības atbalsta kontroles regulējums atbalsta programmas ietvaros ir jāpiemēro, un attiecīgi precizēt noteikumu projekta V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papildināt anotāciju ar informāciju, kuros gadījumos subjekts veic darbības valsts deleģētās funkcijas ietvaros (ja tas tā ir) vai kuros gadījumos ir konstatējama saimnieciskā darbība un attiecībā uz šādu subjektu izpildās visas 4 komercdarbības atbalsta pazīmes. Tikai tādā gadījumā, ja atbalsts attiecīgajam subjektam ir kvalificējams kā komercdarbības atbalsts, ir jāpiemēro komercdarbības atbalsta regulējuma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ir papildināta ar plānotā atbalsta gala labuma saņēmējiem izvērtējumu attiecībā uz informāciju, kuros gadījumos subjekts veic darbības valsts deleģētās funkcijas ietvaros un kuros gadījumos ir konstatējama saimnieciskā darbība un attiecībā uz šādu subjektu izpildās visas komercdarbības atbalsta pazīmes.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12.1.2.</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29.punkts neatspoguļo anotācijā norādīto, ka: "</w:t>
            </w:r>
            <w:r w:rsidR="00000000" w:rsidRPr="00000000" w:rsidDel="00000000">
              <w:rPr>
                <w:i w:val="1"/>
                <w:rtl w:val="0"/>
              </w:rPr>
              <w:t xml:space="preserve">sociālo pakalpojumu sniedzējiem, augstskolām, augstskolu mācībspēkiem un  sociālā darba studiju programmu studentiem, izņemot sociālo pakalpojumu sniedzējus, augstskolas, kas nodarbojas ar saimnieciskām aktivitātēm un kuriem piešķirtais atbalsts kvalificējams kā komercdarbības atbalsts (turpmāk – atbalsta saņēmēji) un tiks sniegts saskaņā ar Komisijas 2013. gada 18. decembra Regulu (ES) Nr. 1407/2013 par Līguma par Eiropas Savienības darbību 107. un 108. panta piemērošanu de minimis atbalstam (turpmāk – Komisijas regula Nr. 1407/2013);</w:t>
            </w:r>
            <w:r w:rsidR="00000000" w:rsidRPr="00000000" w:rsidDel="00000000">
              <w:rPr>
                <w:rtl w:val="0"/>
              </w:rPr>
              <w:t xml:space="preserve">". Atbilstoši anotācijā skaidrotajam, MK noteikumu projektā arī ir jābūt norādītam, ka finansējuma saņēmējs vērtēs saimnieciskās darbības veicējus, vai tiem piešķiramais publiskais finansējums kvalificējams kā komercdarbības atbalsts, un lēmumu par de minimis atbalsta piešķiršanu pieņems tikai tad, ja tiks secināts, ka uz konkrēto atbalsta piešķīrumu izpildās visas Komercdarbības atbalsta kontroles likuma 5.pantā minētās pazīmes vienlaikus. Aicinām atbilstoši precizēt MK noteikumu projektu, kā arī anotācijā norādīt, ka finansējuma saņēmējs izstrādās metodiku izvērtējumam, lai secinātu, vai sociālo pakalpojumu sniedzēji un augstskolas uzskatāmi par saimnieciskās darbības veicējiem un vai tiem piešķiramais publiskais finansējums kvalificējams kā komercdarbības atbalsts, kuram piemērojami MK noteikumu projekta V.sadaļas nosacījumi par de minimis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precizēta. Papildus skaidrojam, ka mācību un stažēšanās pakalpojuma sniedzēji tiks izvēlēti iepirkuma procedūrā. Vienlaikus komercdarbības atbalsta regulējums nav attiecināms arī uz šī pakalpojuma gala labuma saņēmējiem, jo esošie vai topošie mācībspēki, kas saņēmuši atbalstu, nav piesaistīti konkrētai mācību iestādei, darba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12.1.2.</w:t>
            </w:r>
            <w:r w:rsidR="00000000" w:rsidRPr="00000000" w:rsidDel="00000000">
              <w:rPr>
                <w:rtl w:val="0"/>
              </w:rPr>
              <w:t xml:space="preserve"> un </w:t>
            </w:r>
            <w:r w:rsidR="00000000" w:rsidRPr="00000000" w:rsidDel="00000000">
              <w:rPr>
                <w:rtl w:val="0"/>
              </w:rPr>
              <w:t xml:space="preserve">12.1.5.</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anotācijā norādīto arī noteikumu projekta 12.2.apakšpunktā norādītajām izmaksām (profesionālās pilnveides izglītības programmas līderības prasmju attīstībai un starpdisciplinārās ekspertu komandas atbalstu sociālo pakalpojumu sniedzējiem) gadījumā, ja sociālo pakalpojumu sniedzējs veic saimnieciskas aktivitātes, piešķirtais atbalsts kvalificējams kā komercdarbības atbalsts un tiks sniegts saskaņā ar Komisijas regulu Nr. 1407/2013, aicinām atbilstoši papildināt noteikumu projekta 29.punktu.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pašvaldību sociālo pakalpojumu sniedzēju iestādes darbības šīs atbalsta programmas ietvaros veic tām deleģēto funkciju ietvaros. Papildus aicinām norādīt kādos normatīvajos aktos šīs funkcijas ir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augstskolas ir saimnieciskās darbības veicēji un vai attiecībā uz tām būtu jāpiemēro komercdarbības atbalsta kontroles regulējums. Skaidrojam, ka atbilstoši Komisijas paziņojuma par valsts atbalsta jēdzienu saskaņā ar Līguma par Eiropas Savienības darbību 107.panta 33.-37.punktam, piešķirot atbalstu izglītības pasākumiem valsts izglītības sistēmas ietvaros, jāvērtē, vai ieņēmumi no maksas par pakalpojumu nepārsniegs 50% no kopējiem izdevumiem. Tikai tādā gadījumā, ja ieņēmumi no maksas par pakalpojumu nepārsniegs 50% no kopējiem izdevumiem, varēs secināt, ka atbalsts attiecīgajam subjektam netiks piešķirts saimniecisku darbību veikšanai, t.i. atbalsta pasākums tālāk nav jāvērtē atbilstoši KAKL 5.pantā minētajām komercdarbības atbalsta pazīmēm un līdz ar to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attiecīgās augstskolas veic saimniecisko darbību, aicinām papildināt anotāciju arī ar secinājumiem par to, vai attiecībā uz to izpildās KAKL 5.pantā minētās komercdarbības atbalsta pazīmes (it īpaši, vai ir konstatējama vietējā ietekme) un ir/ nav jāpiemēro komercdarbības atbalsta kontroles regulējuma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likmes apmēra pamatojums, t.sk. apraksts vēl ir saskaņošanas procesā ar vadošo iestādi, lūdzam veikt nepieciešamos precizējumus anotācijā, kas tiks nosūtīti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likmes aprēķins ir saskaņots ar Finanšu ministriju – vadošo iestādi 2023. gada 27.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informāciju par konkrētiem attiecīgās prioritātes un fonda SAM, kuru ietvaros tiks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4.3.5.4. pasākuma ietvaros elastības finansējums nav plānots, attiecināmā daļa programmas 4.3.5.4. pasākumam paredzētajā apmērā tiks kompensēta, nosakot elastības finansējumu programmas 4.3. prioritātei “Nodarbinātība un sociālā iekļaušana” 4.3.3.1. pasākuma “Bezdarbnieku, darba meklētāju un bezdarba riskam pakļauto personu kvalifikācijas un prasmju paaugstināšana” ietvaros 28 772 500 </w:t>
            </w:r>
            <w:r w:rsidR="00000000" w:rsidRPr="00000000" w:rsidDel="00000000">
              <w:rPr>
                <w:i w:val="1"/>
                <w:rtl w:val="0"/>
              </w:rPr>
              <w:t xml:space="preserve">euro </w:t>
            </w:r>
            <w:r w:rsidR="00000000" w:rsidRPr="00000000" w:rsidDel="00000000">
              <w:rPr>
                <w:rtl w:val="0"/>
              </w:rPr>
              <w:t xml:space="preserve">apmērā un programmas 4.3.3.2. pasākuma “Nelabvēlīgākā situācijā esošu bezdarbnieku un ekonomiski neaktīvo iedzīvotāju iekļaušanās darba tirgū sekmēšana” ietvaros 11 900 000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27.punkts nosaka, ka pasākuma ietvaros projektu īsteno ne ilgāk kā līdz 2029.gada 31.decembrim, savukārt anotācijas 3.sadaļas 6.punktā projektam plānots finansējums līdz 2028.gadam, līdz ar to lūdzam salāgot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pieejamajam finansējumam šobrīd 4.3.5.4. pasākuma darbības un finansējums saplānots līdz 2028. gadam. Vienlaikus, ņemot vērā  projektu īstenošanas  pieredzi, kad dažādu objektīvu iemeslu dēļ var veidoties gan neparedzēti finanšu ietaupījumi, gan novirzes plānoto darbību grafikā, TA projektā ir noteikts maksimālais projekta īstenošanas termiņš – 2029. gads. Minētā pieeja ļaus finansējuma saņēmējam, ja nepieciešams, operatīvi pārplānot darbības, kā arī mazinās administratīvo slogu MK noteikumu grozījumu izstrādē un saskaņošanā iesaistītajām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kurā Labklājības ministrijas pamatbudžeta apakšprogrammā tiks plānots finansējums noteikumu projektā paredzēto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punktā “Cita informācija” norādīto informāciju “Pēc projekta īstenošanas noslēgšanās, LM normatīvajos aktos paredzētajā kārtībā, veicot detalizētus aprēķinus, sagatavos un iesniegs priekšlikumus papildu nepieciešamā finansējuma iestrādei valsts budžetā, lai pēc projekta īstenošanas noslēgšanās varētu tikt nodrošināta projekta ilgtspējas turpināšana”. Vēršam uzmanību, ka MK 17.01.2023. noteikumu Nr.15 “Maksimāli pieļaujamā valsts budžeta izdevumu kopapjoma un katrai ministrijai un citai centrālajai valsts iestādei paredzētā izdevumu kopējā apjoma noteikšanas kārtība vidējam termiņam” 9.4.apakšpunkts attiecas uz izdevumiem pabeigto Eiropas Savienības politiku instrumentu un pārējās ārvalstu finanšu palīdzības līdzfinansēto projektu uzturēšanai, ja projekts vai tā posms ir pilnībā pabeigts, nodots ekspluatācijā un par to ir veikts galīgā norēķina maksājums, un tas turpmāk jāfinansē no valsts budžeta līdzekļiem. Savukārt, ja izdevumi nav attiecināmi uz projekta uzturēšanas izdevumiem, tad jautājums par papildu finansējuma piešķiršanu skatāms Ministru kabinetā gadskārtējā valsts budžeta un vidēja termiņa budžeta ietvara likumprojekta sagatavošanas un izskatīšanas procesā kopā ar visu ministriju iesniegtajiem pieteikumiem prioritārajiem pasākumiem atbilstoši valsts budžeta finansiālajām iespējām, Labklājības ministrijai iesniedzot attiecīgu pieteikumu prioritārajam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dati tiek uzkrāti un uzglabāti ne tikai Kohēzijas politikas fondu informācijas sistēmā. Finansējums saņēmējs, īstenojot projektu, arī uzkrāj minētos datus un uzglabā projekta īstenošanas vietā. Dati, kas tiek iesniegti Kohēzijas politikas fondu informācijas sistēmā tiek uzkrāti, lai izpildītu Eiropas Komisijas normatīvo aktu prasības. Par datu uzglabāšanu Kohēzijas politikas fondu informācijas sistēmā ir noteikts regulējums Ministru kabineta 2022. gada 13. decembra noteikumos Nr.770 “Kārtība, kādā Eiropas Savienības fondu 2021.–2027. gada plānošanas periodā nodrošina ieguldījumu uzraudzību un izvērtēšanu, kā arī izstrādā un uztur Kohēzijas politikas fondu vadības informācijas sistēmu” un par to ir atbildīga sadarbības iestāde. Tā kā minētie noteikumi neregulē kārtību attiecībā uz finansējuma saņēmēju, lūdzam papildināt anotācijas 8.13.sadaļu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1.3.punktu ar vārdiem "un nacionālā līdzfinansējuma likmi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 un nacionālā līdzfinansējuma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1.4.punktu ar vārdiem "un </w:t>
            </w:r>
            <w:r w:rsidR="00000000" w:rsidRPr="00000000" w:rsidDel="00000000">
              <w:rPr>
                <w:rtl w:val="0"/>
              </w:rPr>
              <w:t xml:space="preserve">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nacionālais iznākuma rādītājs – izstrādāto metodiku darbam ar dažādām klientu grupām skaits – 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"Vadlīnijām Ministru kabineta noteikumu par specifiskā atbalsta mērķa īstenošanu izstrādei Eiropas Savienības fondu 2021.—2027. gada plānošanas periodā" ir paredzēti tikai trīs rādītāju veidi (nacionālais, iznākuma un rezultāta), lūdzam dzēst vārdu "iznākuma".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nacionālais rādītājs – izstrādāto metodiku darbam ar dažādām klientu grupām skaits – 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programmas specifiskais rezultāta rādītājs – personu, kuras pilnveidojušas savu profesionālo kompetenci, skaits – 2 603.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4.3.punktā definēt rādītāja r.4.3.5.b nosaukumu atbilstoši Programmā noteiktajam,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b w:val="1"/>
                <w:i w:val="1"/>
                <w:rtl w:val="0"/>
              </w:rPr>
              <w:t xml:space="preserve">Personas</w:t>
            </w:r>
            <w:r w:rsidR="00000000" w:rsidRPr="00000000" w:rsidDel="00000000">
              <w:rPr>
                <w:i w:val="1"/>
                <w:rtl w:val="0"/>
              </w:rPr>
              <w:t xml:space="preserve">, kuras pilnveidojušas savu profesionālo kompetenci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rezultāta rādītājs – personas, kuras pilnveidojušas savu profesionālo kompetenci – 2 603.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programmas specifiskais rezultāta rādītājs – personu, kuras pilnveidojušas savu profesionālo kompetenci, skaits – 2 603.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"Vadlīnijām Ministru kabineta noteikumu par specifiskā atbalsta mērķa īstenošanu izstrādei Eiropas Savienības fondu 2021.—2027. gada plānošanas periodā" ir paredzēti tikai trīs rādītāju veidi (nacionālais, iznākuma un rezultāta), lūdzam dzēst vārdus "programmas specifiskais".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rezultāta rādītājs – personas, kuras pilnveidojušas savu profesionālo kompetenci – 2 603.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izmaksas ir attiecināmas, ja tās atbilst šajos noteikumos minētajām izmaksu pozīcijām un ir radušās no 2022. gada 1. 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ja noteikumu projekts paredz attiecināt izmaksas, kas radušās pirms MK noteikumu apstiprināšanas vai līgumu un vienošanās noslēgšanas brīža - nedrīkst attiecināt jau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ar informāciju par izmaksu attiecināmību saistībā ar darbībām, kas nav pabeigtas.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izmaksas ir attiecināmas, ja tās atbilst šajos noteikumos minētajām izmaksu pozīcijām un ir radušās no 2022. gada 1. septembra.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informāciju, jo ierobežotas projektu iesniegumu atlases gadījumā noteikumu projektā vai tā anotācijā ir jābūt ietvertai informācijai par plānotajiem projektu iesniedzējiem, kuri tiks aicināti iesniegt projekta iesniegumus vai arī jābūt ietvertai informācijai, kādā dokumentā (piemēram, atsevišķā MK rīkojumā) tiks noteikti plānotie projektu iesniedzēji, t.sk. anotācijā ir ietverta informācija, kas pamato izvēlēto projektu iesniedzēju loku (piemēram, informācija par veiktu priekšatlasi).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LM kā plānotais projekta iesniedzējs ir noteikta kā valsts pārvaldes iestāde, kas atbilstoši MK 2004. gada 27. janvāra noteikumu Nr.49 "Labklājības ministrijas nolikums" 5.2.2. apakšpunktam izstrādā valsts politiku sociālās palīdzības, sociālā darba, sociālās aprūpes, sociālās un profesionālās rehabilitācijas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II sadaļas nosaukumu ar vārdiem ", finansējuma saņēmējam", kā papildināt ar citām prasībām, kā piemēram, 1) projekta iesniedzējs saskaņā ar projekta iesnieguma atlases nolikumu sagatavo projekta iesniegumu un iesniedz to sadarbības iestādē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 3)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TA projekta nodaļas nosaukums un 26.12.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Eiropas Savienības fondu 2021.—2027. gada plānošanas perioda vadības likuma 20. panta piektajā daļā ir noteikts, ka projekta iesniedzējs sagatavo un iesniedz projekta iesniegumu saskaņā ar projektu iesniegumu atlases nolikuma prasībām. Savukārt Ministru kabineta 13.07.2023. noteikumu Nr. 408  “Kārtība, kādā Eiropas Savienības fondu vadībā iesaistītās institūcijas nodrošina šo fondu ieviešanu 2021.–2027. gada plānošanas periodā” 14. punkts nosaka nolikumā ietveramo informāciju, tostarp, ka projekta iesniegums iesniedzams, izmantojot Kohēzijas politikas fondu vadības informācijas sistēmu (14.7. apakšpunkts), kā arī projektu iesniegumu sagatavošanas un iesniegšanas kārtību (14.8. apakšpunkts). Ņemot vērā minēto, prasība projekta iesniegumu iesniegt, izmantojot KPVIS, un nosacījums, ka finansējuma saņēmējs 4.3.5.4. pasākuma ietvaros iesniedz vienu projekta iesniegumu, tiks noteikta projektu iesniegumu atlases nolikumā. Attiecīgi, lai nedublētu citā normatīvajā regulējumā noteikto, LM ieskatā nav nepieciešams papildināt TA projektu ar iebildumā norādīto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komunikācijas un vizuālās identitātes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izmaksu pozīcijā tiek plānots iekļaut noteikumu projekta 12.6. apakšpunktā norādīto atbalstāmo darbību, un pēc nepieciešamības attiecīgi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komunikācijas un vizuālās identitātes pasākumu par projekta īstenošanu izmaksas ir plānotas finansējuma saņēmēja personāla izmaksu un, ja nepieciešams, iepirkuma līgumu izmaksu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komunikācijas un vizuālās identitātes pasākumi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14.3.2.1. iekšzemes komandējumu un darba (dienesta) braucienu izmaksas finansējuma saņēmēja projekta vadības un īstenošanas personālam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minētās atbalstāmās darbības īstenošanai. Iekšzemes komandējumu un darba (dienesta) braucienu izmaksām piemēro vadošās iestādes metodikas par vienas vienības izmaksu standarta likmes aprēķinu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pilnos metodiku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ieteikumam nozares ESF+ pasākumu īstenošanas MK noteikumu projektos tiek norādīta  metodiku joma, precīzus metodiku nosaukumus ietverot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14.3.2.1. iekšzemes komandējumu un darba braucienu izmaksas finansējuma saņēmēja projekta vadības un īstenošanas personālam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14.3.3. Šo noteikumu </w:t>
            </w:r>
            <w:r w:rsidR="00000000" w:rsidRPr="00000000" w:rsidDel="00000000">
              <w:rPr>
                <w:rtl w:val="0"/>
              </w:rPr>
              <w:t xml:space="preserve">14.3.1.</w:t>
            </w:r>
            <w:r w:rsidR="00000000" w:rsidRPr="00000000" w:rsidDel="00000000">
              <w:rPr>
                <w:rtl w:val="0"/>
              </w:rPr>
              <w:t xml:space="preserve"> apakšpunktā minēto iepirkuma līgumu ietvaros izmaksu plānošanā ņem vērā,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14.3.1. un 14.3.3.apakšpunktu apvienošanu.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apakšpunkti ir apvienoti. 14.3.3. 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14.3.3.1. šo noteikumu </w:t>
            </w:r>
            <w:r w:rsidR="00000000" w:rsidRPr="00000000" w:rsidDel="00000000">
              <w:rPr>
                <w:rtl w:val="0"/>
              </w:rPr>
              <w:t xml:space="preserve">12.1.2.</w:t>
            </w:r>
            <w:r w:rsidR="00000000" w:rsidRPr="00000000" w:rsidDel="00000000">
              <w:rPr>
                <w:rtl w:val="0"/>
              </w:rPr>
              <w:t xml:space="preserve"> apakšpunktā minētās atbalstāmās darbības ietvaros stažēšanās sociālo pakalpojumu sniedzēju iestādē Latvijā izmaksas par vienu šo noteikumu </w:t>
            </w:r>
            <w:r w:rsidR="00000000" w:rsidRPr="00000000" w:rsidDel="00000000">
              <w:rPr>
                <w:rtl w:val="0"/>
              </w:rPr>
              <w:t xml:space="preserve">3.2.</w:t>
            </w:r>
            <w:r w:rsidR="00000000" w:rsidRPr="00000000" w:rsidDel="00000000">
              <w:rPr>
                <w:rtl w:val="0"/>
              </w:rPr>
              <w:t xml:space="preserve"> apakšpunktā minēto mērķa grupas personu nepārsniedz 2 200 </w:t>
            </w:r>
            <w:r w:rsidR="00000000" w:rsidRPr="00000000" w:rsidDel="00000000">
              <w:rPr>
                <w:i w:val="1"/>
                <w:rtl w:val="0"/>
              </w:rPr>
              <w:t xml:space="preserve">euro</w:t>
            </w:r>
            <w:r w:rsidR="00000000" w:rsidRPr="00000000" w:rsidDel="00000000">
              <w:rPr>
                <w:rtl w:val="0"/>
              </w:rPr>
              <w:t xml:space="preserve">, tai skaitā ceļa izdevumu izmaksām piemērojot vadošās iestādes metodiku par vienas vienības izmaksu standarta likmes aprēķinu un piemērošanu 1 km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pilno metodikas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ieteikumam nozares ESF+ pasākumu īstenošanas MK noteikumu projektos tiek norādīta  metodiku joma, precīzus metodiku nosaukumus ietverot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īstenošanu pārvalda Labklājības ministrijas izveidotā Sociālā darba speciālistu sadarbības padome (turpmāk – padome). Padomes sastāvā ir valsts iestāžu, augstākās izglītības iestāžu, pašvaldību, biedrību un nodibinājumu pārstāvji. Atbildīgās iestādes un finansējuma saņēmēja pārstāvji padomes darbībā piedalās bez balsstiesībām, bet vadošās iestādes pārstāvji var piedalīties novērotāja statusā. Padomes personālsastāvu apstiprina labklājības ministrs un 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vadošās iestādes dalībai padomes darbā. Nepieciešamības gadījumā piedāvājam precizēt noteikumu projekta 17.punkta 3.teikuma noslēguma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bet vadošās iestādes pārstāvis nepieciešamības gadījumā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īstenošanu pārvalda Labklājības ministrijas izveidotā Sociālā darba speciālistu sadarbības padome (turpmāk – padome). Padomes sastāvā ir valsts iestāžu, augstākās izglītības iestāžu, pašvaldību, biedrību un nodibinājumu pārstāvji. Atbildīgās iestādes un finansējuma saņēmēja pārstāvji padomes darbībā piedalās bez balsstiesībām, bet vadošās iestādes pārstāvis, ja nepieciešams, var piedalīties novērotāja statusā. Padomes personālsastāvu apstiprina labklājības ministrs un 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kompensē pašvaldībai šo noteikumu </w:t>
            </w:r>
            <w:r w:rsidR="00000000" w:rsidRPr="00000000" w:rsidDel="00000000">
              <w:rPr>
                <w:rtl w:val="0"/>
              </w:rPr>
              <w:t xml:space="preserve">12.1.3.</w:t>
            </w:r>
            <w:r w:rsidR="00000000" w:rsidRPr="00000000" w:rsidDel="00000000">
              <w:rPr>
                <w:rtl w:val="0"/>
              </w:rPr>
              <w:t xml:space="preserve"> apakšpunktā minētās supervīzijas izmaksas,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19.punkta ievadu, vēršam uzmanību, ka noteikumu projekta 12.punktā ir noteiktas darbības, kas ir atbalstāmas īstenojot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Īstenojot šo noteikumu </w:t>
            </w:r>
            <w:r w:rsidR="00000000" w:rsidRPr="00000000" w:rsidDel="00000000">
              <w:rPr>
                <w:rtl w:val="0"/>
              </w:rPr>
              <w:t xml:space="preserve">12.1.3.</w:t>
            </w:r>
            <w:r w:rsidR="00000000" w:rsidRPr="00000000" w:rsidDel="00000000">
              <w:rPr>
                <w:rtl w:val="0"/>
              </w:rPr>
              <w:t xml:space="preserve"> apakšpunktā minēto atbalstāmo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ja šo noteikumu </w:t>
            </w:r>
            <w:r w:rsidR="00000000" w:rsidRPr="00000000" w:rsidDel="00000000">
              <w:rPr>
                <w:rtl w:val="0"/>
              </w:rPr>
              <w:t xml:space="preserve">12.1.3.</w:t>
            </w:r>
            <w:r w:rsidR="00000000" w:rsidRPr="00000000" w:rsidDel="00000000">
              <w:rPr>
                <w:rtl w:val="0"/>
              </w:rPr>
              <w:t xml:space="preserve"> apakšpunktā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izvēlas supervīzijas pakalpojuma sniedzēju tirgus izpētē saskaņā ar normatīvajiem aktiem par publiskajiem iepirkumiem, īstenojot konkurenci nodrošinošu, pārredzamu, nediskriminējošu un, kur tas ir attiecināms un atbilstošs projekta darbības specifikai, sociāli atbildīgu konkursa procedūru, kas atbilst publiskā iepirkuma principiem un tādējādi izslēdz komercdarbības atbalstu preču un pakalpojumu sniedzēju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19.2.1. un 19.2.2.apakšpunktus apvienot vienā punktā, nosakot, ka supervīzijas pakalpojums veicams atbilstoši normatīvajiem aktiem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ir izvērtējusi priekšlikumu par noteikumu projekta apakšpunktu apvienošanu un secinājusi, ka tā nav nepieciešama, jo LM ieskatā supervīzijas pakalpojuma sniedzēju nosacījumi, kas ietverti atsevišķos punktos, ir labāk uztverami.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ja šo noteikumu </w:t>
            </w:r>
            <w:r w:rsidR="00000000" w:rsidRPr="00000000" w:rsidDel="00000000">
              <w:rPr>
                <w:rtl w:val="0"/>
              </w:rPr>
              <w:t xml:space="preserve">12.1.3.</w:t>
            </w:r>
            <w:r w:rsidR="00000000" w:rsidRPr="00000000" w:rsidDel="00000000">
              <w:rPr>
                <w:rtl w:val="0"/>
              </w:rPr>
              <w:t xml:space="preserve"> apakšpunktā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izvēlas supervīzijas pakalpojuma sniedzēju tirgus izpētē saskaņā ar normatīvajiem aktiem par publiskajiem iepirkumiem, īstenojot konkurenci nodrošinošu, pārredzamu, nediskriminējošu un, kur tas ir attiecināms un atbilstošs projekta darbības specifikai, sociāli atbildīgu konkursa procedūru, kas atbilst publiskā iepirkuma principiem un tādējādi izslēdz komercdarbības atbalstu preču un pakalpojumu sniedzēju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ja tiek veikta </w:t>
            </w:r>
            <w:r w:rsidR="00000000" w:rsidRPr="00000000" w:rsidDel="00000000">
              <w:rPr>
                <w:rtl w:val="0"/>
              </w:rPr>
              <w:t xml:space="preserve">19.2.1.</w:t>
            </w:r>
            <w:r w:rsidR="00000000" w:rsidRPr="00000000" w:rsidDel="00000000">
              <w:rPr>
                <w:rtl w:val="0"/>
              </w:rPr>
              <w:t xml:space="preserve"> apakšpunktā minētā tirgus izpēte, izvēlas supervīzijas pakalpojuma sniedzēju, kas ir sertificēts un iekļauts sertificētu supervīzijas pakalpojuma sniedzēju reģistrā, kas publicēts tās organizācijas tīmekļa vietnē, kura pārstāv Latviju Eiropas nacionālo supervizoru organizāciju asociācijā </w:t>
            </w:r>
            <w:r w:rsidR="00000000" w:rsidRPr="00000000" w:rsidDel="00000000">
              <w:rPr>
                <w:i w:val="1"/>
                <w:rtl w:val="0"/>
              </w:rPr>
              <w:t xml:space="preserve">ANSE</w:t>
            </w:r>
            <w:r w:rsidR="00000000" w:rsidRPr="00000000" w:rsidDel="00000000">
              <w:rPr>
                <w:rtl w:val="0"/>
              </w:rPr>
              <w:t xml:space="preserv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būtu nosakāmas atšķirīgas prasības supervīzijas pakalpojumu sniedzējiem, piemērojot dažādu normatīvo aktu regulējumu, ņemot vērā, ka saskaņā ar profesionālo maģistra grāda kvalifikāciju šāda mācību programma atbilst Eiropas Nacionālo supervīzijas organizāciju asociācijas (ANSE) vadlīnijām un supervizora profesijas standarta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priekšlikumu. Skaidrojam, ka jau iepriekšējā plānošanas periodā, izstrādājot 9.2.1.1.pasākuma īstenošanas nosacījumus, pēc konsultēšanās ar Finanšu ministriju un Iepirkumu uzraudzības biroju 9.2.1.1. pasākuma ietvaros supervīzijas pakalpojuma sniedzējiem  prasība sertificēties Eiropas nacionālo supervizoru organizāciju asociācijā ANSE (Association of National Organisations for Supervision in Europe) tika izvirzīta tikai gadījumos, kad  pakalpojuma līgumcena bija paredzama mazāka par 750 000 euro. Savukārt supervīzijas pakalpojuma iepirkumu līgumiem virs 750 000 euro šāda prasība netika izvirzīta, t.i., to nebija pamata izvirzīt. Jāatzīmē, ka saskaņā ar 9.2.1.1. pasākuma projekta sniegto informāciju pašvaldības faktiski nav slēgušas tādus līgumus, kas pārsniegtu zemsliekšņa iepirkuma robežu, t.i. 750 000 euro. Arī 4.3.5.4. pasākuma projekta īstenošanā ir prognozējama zema šādas līgumcenas varbūtība. Tā kā prasība sertificēties Eiropas nacionālo supervizoru organizāciju asociācijā ANSE (Association of National Organisations for Supervision in Europe) MK noteikumos ir noteikta tikai zemsliekšņu iepirkumiem, LM plāno veikt attiecīgus grozījumus atbildīgās iestādes izstrādātajā vienas vienības izmaksu standarta likmes aprēķina un piemērošanas metodikā supervīzijas pakalpojumam. Attiecīgi tiks noteikts, ka gadījumā, ja likmi piemēro supervīzijām, kas tiek nodrošinātas iepirkumu līgumu virs 750 000 euro ietvaros, prasība sertificēties Eiropas nacionālo supervizoru organizāciju asociācijā ANSE (Association of National Organisations for Supervision in Europe) nav attiecināma.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ja tiek veikta </w:t>
            </w:r>
            <w:r w:rsidR="00000000" w:rsidRPr="00000000" w:rsidDel="00000000">
              <w:rPr>
                <w:rtl w:val="0"/>
              </w:rPr>
              <w:t xml:space="preserve">19.2.1.</w:t>
            </w:r>
            <w:r w:rsidR="00000000" w:rsidRPr="00000000" w:rsidDel="00000000">
              <w:rPr>
                <w:rtl w:val="0"/>
              </w:rPr>
              <w:t xml:space="preserve"> apakšpunktā minētā tirgus izpēte, izvēlas supervīzijas pakalpojuma sniedzēju, kas ir sertificēts un iekļauts sertificētu supervīzijas pakalpojuma sniedzēju reģistrā, kas publicēts tās organizācijas tīmekļa vietnē, kura pārstāv Latviju Eiropas nacionālo supervizoru organizāciju asociācijā </w:t>
            </w:r>
            <w:r w:rsidR="00000000" w:rsidRPr="00000000" w:rsidDel="00000000">
              <w:rPr>
                <w:i w:val="1"/>
                <w:rtl w:val="0"/>
              </w:rPr>
              <w:t xml:space="preserve">ANSE</w:t>
            </w:r>
            <w:r w:rsidR="00000000" w:rsidRPr="00000000" w:rsidDel="00000000">
              <w:rPr>
                <w:rtl w:val="0"/>
              </w:rPr>
              <w:t xml:space="preserv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12.1.4.</w:t>
            </w:r>
            <w:r w:rsidR="00000000" w:rsidRPr="00000000" w:rsidDel="00000000">
              <w:rPr>
                <w:rtl w:val="0"/>
              </w:rPr>
              <w:t xml:space="preserve"> apakšpunktā minētās atbalstāmās darbības ietvaros finansējuma saņēmēja izvēlēts 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IKT/ IT ieguldījumiem norādot, vai ieguldījumi plānoti publiskās pārvaldes īpašumā esošajos digitālajos risinājumos, t.sk.,vai īpašumā atrodas pirmkodi, intelektuālā īpašuma tiesības, t.sk. risinājuma modificēšanas tiesības, lai novērstu gadījumus, kad tiek kropļota konkurence, veicot publiskus ieguldījumus kāda konkrēta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Digitālais risinājums būs nepieciešams e-mācību materiālu izvietošanai internetā. Iepirkumā izvēlētais pakalpojuma sniedzējs nodrošinās e-mācību materiālu izvietošanu internetā, to pieejamību ikvienam interesentam, kā arī e-mācību izsludināšanu un grupu komplektēšanu. Tehniskā realizācija (platforma, kurā tiks nodrošināta e-mācību izvietošana) pašlaik nav zināma, jo pretendents tiks izvēlēts iepirkumu procedūrā. Līguma ietvaros ar pakalpojuma sniedzēju var tikt paredzēts finansējums digitālās platformas pielāgojumiem, kā arī uzturēšanas izdevumiem, kas nepieciešami, lai nodrošinātu E-mācību materiālu izvietošanu un pieejamību. E-mācību materiāli būs LM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12.1.4.</w:t>
            </w:r>
            <w:r w:rsidR="00000000" w:rsidRPr="00000000" w:rsidDel="00000000">
              <w:rPr>
                <w:rtl w:val="0"/>
              </w:rPr>
              <w:t xml:space="preserve"> apakšpunktā minētās atbalstāmās darbības ietvaros finansējuma saņēmēja izvēlēts pakalpojuma sniedzējs: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projekta īstenošanas, maksājuma pieprasījumu un dalībnieku pārskata sagatavošanas un mērķa grupas atbilstības pārbaudes nolūkā un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3.1.7.</w:t>
            </w:r>
            <w:r w:rsidR="00000000" w:rsidRPr="00000000" w:rsidDel="00000000">
              <w:rPr>
                <w:rtl w:val="0"/>
              </w:rPr>
              <w:t xml:space="preserve"> apakšpunktā minētās mērķa grupas iesaistei profesionālās kompetences pilnveides pasākumos veic šo mērķa grupas personu identificēšanu un uzskaiti, norādot personas datus atbilstoši 2023. gada 21. marta Ministru kabineta noteikumu Nr.135 “Eiropas Savienības fondu projektu pārbaužu veikšanas kārtība 2021.–2027. gada plānošanas periodā” 1.pielikumam, un iesniedz tos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dati ievācami par visām noteikumu projekta 3.1.apakšpunktos minētajām mērķa grupas personām, lūdzam izvērtēt, vai nebūtu norādāma atsauce uz 3.1.apakšpunktu, neizdalot detalizētāk.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projekta īstenošanas, maksājuma pieprasījumu un dalībnieku pārskata sagatavošanas un mērķa grupas atbilstības pārbaudes nolūkā un šo noteikumu </w:t>
            </w:r>
            <w:r w:rsidR="00000000" w:rsidRPr="00000000" w:rsidDel="00000000">
              <w:rPr>
                <w:rtl w:val="0"/>
              </w:rPr>
              <w:t xml:space="preserve">3.1.</w:t>
            </w:r>
            <w:r w:rsidR="00000000" w:rsidRPr="00000000" w:rsidDel="00000000">
              <w:rPr>
                <w:rtl w:val="0"/>
              </w:rPr>
              <w:t xml:space="preserve"> apakšpunktā minētās mērķa grupas iesaistei profesionālās kompetences pilnveides pasākumos veic šo mērķa grupas personu identificēšanu un uzskaiti, norādot personas datus atbilstoši 2023. gada 21. marta Ministru kabineta noteikumu Nr. 135 “Eiropas Savienības fondu projektu pārbaužu veikšanas kārtība 2021. – 2027. gada plānošanas periodā” 1. pielikumam, un iesniedz tos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26.2.apakšpunktā paredzēto, ka "publiskie iepirkumi tiks veikti saskaņā ar normatīvajiem aktiem publisko iepirkumu jomā, īstenojot konkurenci nodrošinošu, pārredzamu, atklātu, nediskriminējošu konkursa procedūru", aicinām papildināt anotācijā ietverto nosacījumu "Atbalstāmo darbību īstenos iepirkuma procedūrā izvēlēts pakalpojuma sniedzējs", lai informācija anotācijā pilnībā atbilstu noteikumu projektā noteiktajam, paredzot, ka publiskie iepirkumi tiks veikti saskaņā ar normatīvajiem aktiem publisko iepirkumu jomā, īstenojot konkurenci nodrošinošu, pārredzamu, atklātu, nediskriminējošu konkursa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pakalpojuma sniedzēja un piegādātāja piesaistīšanai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uzkrāj, uzskaita un iesniedz sadarbības iestādē informāciju par atbalstu saņēmušām šo noteikumu </w:t>
            </w:r>
            <w:r w:rsidR="00000000" w:rsidRPr="00000000" w:rsidDel="00000000">
              <w:rPr>
                <w:rtl w:val="0"/>
              </w:rPr>
              <w:t xml:space="preserve">3.</w:t>
            </w:r>
            <w:r w:rsidR="00000000" w:rsidRPr="00000000" w:rsidDel="00000000">
              <w:rPr>
                <w:rtl w:val="0"/>
              </w:rPr>
              <w:t xml:space="preserve"> punktā minētajām personām atbilstoši Eiropas Parlamenta un Padomes 2021. gada 24. jūnija Regulas (ES) 2021/1057, ar ko izveido Eiropas Sociālo fondu Plus (ESF+) un atceļ Regulu (ES) Nr. 1296/2013, 1. un 2. pielikumam normatīvajam aktam par kārtību, kādā tiek veiktas pārbaudes Eiropas Savienības fondu projektos 2021.–2027. gada plānošanas periodā, 1.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dzēst noteikumu projekta 26.7.apakšpunktā minētās atsauces uz Regulas 2021/1057 2.pielikumu, ņemot vērā, ka tas attiecas uz konkrētās Regulas 4.panta  1.punkta  L) apakšpunktā minēto mērķi (veicināt nabadzības vai sociālās atstumtības riskam pakļauto personu, arī vistrūcīgāko personu un bērnu, sociālo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uzkrāj, uzskaita un iesniedz sadarbības iestādē informāciju par atbalstu saņēmušām šo noteikumu </w:t>
            </w:r>
            <w:r w:rsidR="00000000" w:rsidRPr="00000000" w:rsidDel="00000000">
              <w:rPr>
                <w:rtl w:val="0"/>
              </w:rPr>
              <w:t xml:space="preserve">3.1.</w:t>
            </w:r>
            <w:r w:rsidR="00000000" w:rsidRPr="00000000" w:rsidDel="00000000">
              <w:rPr>
                <w:rtl w:val="0"/>
              </w:rPr>
              <w:t xml:space="preserve"> apakšpunktā minētajām mērķa grupas personām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 – 2027. gada plānošanas periodā" 1. pielikumam;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uzkrāj, uzskaita un iesniedz sadarbības iestādē informāciju par atbalstu saņēmušām šo noteikumu </w:t>
            </w:r>
            <w:r w:rsidR="00000000" w:rsidRPr="00000000" w:rsidDel="00000000">
              <w:rPr>
                <w:rtl w:val="0"/>
              </w:rPr>
              <w:t xml:space="preserve">3.</w:t>
            </w:r>
            <w:r w:rsidR="00000000" w:rsidRPr="00000000" w:rsidDel="00000000">
              <w:rPr>
                <w:rtl w:val="0"/>
              </w:rPr>
              <w:t xml:space="preserve"> punktā minētajām personām atbilstoši Eiropas Parlamenta un Padomes 2021. gada 24. jūnija Regulas (ES) 2021/1057, ar ko izveido Eiropas Sociālo fondu Plus (ESF+) un atceļ Regulu (ES) Nr. 1296/2013, 1. un 2. pielikumam normatīvajam aktam par kārtību, kādā tiek veiktas pārbaudes Eiropas Savienības fondu projektos 2021.–2027. gada plānošanas periodā, 1.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26.7. apakšpunktā precizēt norādīto atsauci no 3.punkta uz 3.1. apakšpunktu, t.i., datus uzkrāt tikai par personām, kas tiks uzskaitītas iznākuma rādītājā.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uzkrāj, uzskaita un iesniedz sadarbības iestādē informāciju par atbalstu saņēmušām šo noteikumu </w:t>
            </w:r>
            <w:r w:rsidR="00000000" w:rsidRPr="00000000" w:rsidDel="00000000">
              <w:rPr>
                <w:rtl w:val="0"/>
              </w:rPr>
              <w:t xml:space="preserve">3.1.</w:t>
            </w:r>
            <w:r w:rsidR="00000000" w:rsidRPr="00000000" w:rsidDel="00000000">
              <w:rPr>
                <w:rtl w:val="0"/>
              </w:rPr>
              <w:t xml:space="preserve"> apakšpunktā minētajām mērķa grupas personām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 – 2027. gada plānošanas periodā" 1. pielikumam;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nodrošina informācijas un publicitātes, kā arī vizuālās identitātes pasākumus, kas noteikti Regulas Nr. 2021/1060 47. un 50. pantā un atbilstoši normatīvajam aktam par kārtību, kādā Eiropas Savienības fondu vadībā iesaistītās institūcijas nodrošina šo fondu ieviešanu 2021. – 2027. gada plānošanas periodā un Eiropas Savienības fondu 2021. – 2027. gada plānošanas periodam;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26.9.apakšpunktu ar frāzi "un Eiropas Savienības fondu 2021. – 2027. gada plānošanas perioda un Atveseļošanas fonda komunikācijas un dizaina vadlīnijās".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nodrošina komunikācijas un vizuālās identitātes pasākumus, kas noteikti Regulas 2021/1060 47. un 50. pantā un atbilstoši normatīvajiem aktiem par kārtību, kādā Eiropas Savienības fondu vadībā iesaistītās institūcijas nodrošina šo fondu ieviešanu 2021. – 2027. gada plānošanas periodā un Eiropas Savienības fondu 2021. – 2027. gada plānošanas perioda, kā arī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savā tīmekļa vietnē un sociālajos tīklos ne retāk kā reizi sešos mēnešos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26.10.apakšpunktu izteikt šādā redakcijā : " savā tīmekļa vietnē un sociālajos tīklos ievieto aktuālu informāciju par projekta īstenošanu un aktualizē to tiklīdz pieejama aktuālāka informācija, bet ne retāk kā reizi sešos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savā tīmekļa vietnē un sociālajos tīklos ievieto aktuālu informāciju par projekta īstenošanu un aktualizē to, tiklīdz pieejama aktuālāka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izteikts izziņas 14.punktā un vēršam uzmanību, ka šobrīd anotācijā norādītais, ka: "</w:t>
            </w:r>
            <w:r w:rsidR="00000000" w:rsidRPr="00000000" w:rsidDel="00000000">
              <w:rPr>
                <w:i w:val="1"/>
                <w:rtl w:val="0"/>
              </w:rPr>
              <w:t xml:space="preserve">sociālo pakalpojumu sniedzējiem, izņemot sociālo pakalpojumu sniedzējus,  kas nodarbojas ar saimnieciskām aktivitātēm un kuriem piešķirtais atbalsts kvalificējams kā komercdarbības atbalsts (turpmāk – atbalsta saņēmēji) un tiks sniegts saskaņā ar Komisijas regulu Nr. 1407/2013</w:t>
            </w:r>
            <w:r w:rsidR="00000000" w:rsidRPr="00000000" w:rsidDel="00000000">
              <w:rPr>
                <w:rtl w:val="0"/>
              </w:rPr>
              <w:t xml:space="preserve">" ir pretrunā ar MK noteikumu projekta 29.punktā noteiktajam, kur paredzēts, ka šo noteikumu 3. punktā minētajām fiziskajām un juridiskajām personām, kas ir saimnieciskās darbības veicēji, atbalstu sniedz saskaņā ar Komisijas regulu Nr. 1407/2013, t.i. de minimis atbalsts tiks sniegts visiem saimnieciskās darbības veicējiem, neatkarīgi no tā, vai tas ir kvalificējams kā komercdarbības atbalsts, saskaņā ar Komercdarbības atbalsta kontroles likuma 5.pantā noteiktajām četrām komercdarbības atbalsta pazīmēm. Attiecīgi aicinām novērst pretrunu un veikt precizējumus vai nu MK noteikumu projektā vai anotācijā. Ja tiek izvēlēta anotācijā aprakstītā pieeja, lūdzam atbilstoši precizēt MK noteikumu projektu, kā arī anotācijā norādīt, ka finansējuma saņēmējs izstrādās metodiku izvērtējumam, lai secinātu, vai  saimnieciskās darbības veicējiem piešķiramais publiskais finansējums kvalificējams kā komercdarbības atbalsts, kuram piemērojami MK noteikumu projekta V.sadaļas nosacījumi par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12.1.2.</w:t>
            </w:r>
            <w:r w:rsidR="00000000" w:rsidRPr="00000000" w:rsidDel="00000000">
              <w:rPr>
                <w:rtl w:val="0"/>
              </w:rPr>
              <w:t xml:space="preserve"> un </w:t>
            </w:r>
            <w:r w:rsidR="00000000" w:rsidRPr="00000000" w:rsidDel="00000000">
              <w:rPr>
                <w:rtl w:val="0"/>
              </w:rPr>
              <w:t xml:space="preserve">12.1.5.</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projekta 29. punktu nav jāpapildina ar 22.2. un 22.6. apakšpunktu. (Anotācijas 17.lpp. norādīts, ka arī profesionālās pilnveides izglītības programma līderības prasmju attīstībai un starpdisciplinārās ekspertu komandas atbalsts sociālo pakalpojumu sniedzējiem ir kvalificējams kā komercdarbības atbalsts, ja sociālo pakalpojumu sniedzējs nodarbojas ar saimnieciskām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Pieņemot lēmumu par </w:t>
            </w:r>
            <w:r w:rsidR="00000000" w:rsidRPr="00000000" w:rsidDel="00000000">
              <w:rPr>
                <w:i w:val="1"/>
                <w:rtl w:val="0"/>
              </w:rPr>
              <w:t xml:space="preserve">de minimis </w:t>
            </w:r>
            <w:r w:rsidR="00000000" w:rsidRPr="00000000" w:rsidDel="00000000">
              <w:rPr>
                <w:rtl w:val="0"/>
              </w:rPr>
              <w:t xml:space="preserve">atbalsta piešķiršanu, atbalsta sniedzējs un atbalsta pretendents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atbalsta sniedzēju un atbalsta pretendentu neattiecas visi MKN 30.punkta nosacījumi, piemēram, 30.1., 30.2., apakšpunkta nosacījumi ir piemērojami tikai atbalsta sniedzējam. Lūdzam MKN 30.punkta nosacījumus izdalīt atsevišķi, nosakot uz atbalsta sniedzēju un atbalsta pretendentu attiecināmos MKN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Pieņemot lēmumu par </w:t>
            </w:r>
            <w:r w:rsidR="00000000" w:rsidRPr="00000000" w:rsidDel="00000000">
              <w:rPr>
                <w:i w:val="1"/>
                <w:rtl w:val="0"/>
              </w:rPr>
              <w:t xml:space="preserve">de minimis </w:t>
            </w:r>
            <w:r w:rsidR="00000000" w:rsidRPr="00000000" w:rsidDel="00000000">
              <w:rPr>
                <w:rtl w:val="0"/>
              </w:rPr>
              <w:t xml:space="preserve">atbalsta piešķiršanu, ievēro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atbalsta pretendents, iesniedzot atbalsta sniedzējam pieteikumu </w:t>
            </w:r>
            <w:r w:rsidR="00000000" w:rsidRPr="00000000" w:rsidDel="00000000">
              <w:rPr>
                <w:i w:val="1"/>
                <w:rtl w:val="0"/>
              </w:rPr>
              <w:t xml:space="preserve">de minimis </w:t>
            </w:r>
            <w:r w:rsidR="00000000" w:rsidRPr="00000000" w:rsidDel="00000000">
              <w:rPr>
                <w:rtl w:val="0"/>
              </w:rPr>
              <w:t xml:space="preserve">atbalsta saņemšanai, pieteikumam pievieno sistēmā sagatavotās veidlapas izdruku vai norāda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pretendents De minimis atbalsta uzskaites sistēmā aizpilda veidlapu un to saglabā un reģistrē, aicinām precizēt noteikumu projekta 30.3.apakšpunkta redakciju, aizvietojot vārdus “izveidotās un apstiprinātās” ar vārdu “sagatavotās”.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atbalsta pretendents, iesniedzot atbalsta sniedzējam pieteikumu </w:t>
            </w:r>
            <w:r w:rsidR="00000000" w:rsidRPr="00000000" w:rsidDel="00000000">
              <w:rPr>
                <w:i w:val="1"/>
                <w:rtl w:val="0"/>
              </w:rPr>
              <w:t xml:space="preserve">de minimis </w:t>
            </w:r>
            <w:r w:rsidR="00000000" w:rsidRPr="00000000" w:rsidDel="00000000">
              <w:rPr>
                <w:rtl w:val="0"/>
              </w:rPr>
              <w:t xml:space="preserve">atbalsta saņemšanai, pieteikumam pievieno sistēmā sagatavotās veidlapas izdruku vai norāda sistēmā sagatavotās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Konstatējot Regulā Nr. 1407/2013 noteikto nosacījumu pārkāpumu, komercdarbības gala labuma guvējam ir pienākums atmaksāt atbalsta sniedzējam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noteikumu projekta 35.punktu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1407/2013 nosacījumi, atbalsta saņēmējam ir pienākums atmaksāt atbalsta sniedzējam visu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tiek pārkāpti Komisijas regulas Nr. 1407/2013 nosacījumi, atbalsta saņēmējam ir pienākums atmaksāt atbalsta sniedzējam visu projekta ietvaros saņemto nelikumīgo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1.1.apakšsadaļā ietverto atsauci uz Eiropas Savienības fondu 2021. – 2027. gada plānošanas perioda vadības likuma 19. panta 2.punktu. Vēršu uzmanību, ka noteikumu projekts nav izstrādāts uz minētā deleģējuma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ar informāciju, ka finansējuma saņēmējs izstrādās kārtību, kādā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norādījusi,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Informatīvo ziņojumu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kas izskatīts MK 2022. gada 20.septembra sēdē, 4.3.5.4. pasākuma īstenošana tika uzsākta 2022. gada 4. ceturksnī, t.i., pirms MK noteikumu par 4.3.5.4. pasākuma īstenošanu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piekrītam, ka pasākumam, kura īstenošana ir uzsākta, izmaksu un ieguvumu analīzes veikšana nav lietderīga. Vienlaikus lūdzam svītrot pārējos argumentus, kas izmantoti, lai neveiktu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pasākuma paredzēšana politikas plānošanas dokumentos vai tiesību aktos nav arguments izmaksu un ieguvumu analīzes neveikšanai, un tas negarantē, ka ieguvumi no pasākuma īstenošanas būs vismaz tikpat lieli, cik pasākumam piešķirtais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darbībai ir jābūt orientētai uz rezultātu, nevis procesu. Kā pasākuma mērķis ir norādīts - paaugstināt sociālā darba efektivitāti un sociālajā jomā strādājošo speciālistu profesionalitāti, bet gala labuma guvēji tomēr ir personas, kurām šie speciālisti sniedz palīdzību. Attiecīgi pasākuma efektivitāte jāmēra, balstoties uz gala labuma guvējus pozitīvi ietekmējošām izmaiņām, piemēram, par cik samazināsies valsts sociālā budžeta izmaksas, ņemot vērā to personu skaita samazinājumu, kurām profesionālāku pakalpojumu sniegšanas rezultātā vairs nebūs nepieciešama sociālā palīdzība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pretrunīgu informāciju, jo anotācijā ir norādīts, ka "vienlaikus 4.3.5.4. pasākuma ietvaros plānots veikt īstenoto darbību ietekmes novērtējumu, īstenojot projekta ex-post izvērtējumu", savukārt anotācijas 1.5.sadaļā "Pēcpārbaudes (ex-post) izvērtējums" ir norādīts, ka pēcpārbaudes (ex-post) izvērtējums netiks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šo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aprēķinā iekļautā informācija nav tieši izmantojama projekta īstenošanai nepieciešamā valsts budžeta līdzekļu plānošanai, jo likmes aprēķins ir balstīts uz pieņēmumiem (proti, tā ir personāla un tam nepieciešamā finansējuma prognoze).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informācija ir ietverta anotācijā ar mērķi skaidrot iespējamās informācijas nesakritību starp valsts budžeta līdzekļu plānojumu projekta personālam un likmes aprēķinā iekļauto informāciju kādā no projekta īstenošanas posmiem. Papildus vēlamies vērst uzmanību, ka valsts budžeta pieprasījuma saskaņošanas procesā esam saskārušies ar situāciju, kad tieši tiek izmantota likmes apmēru pamatojošā informācija. Labklājības ministrijas ieskatā, minētā pieeja nav optimālais iespējamais valsts budžeta pieprasījuma veidošanas risinājums, jo personāla izmaksu vienoto likmi pamatojošie aprēķini būvēti uz pieņēmumiem visā projekta īstenošanas laikā (piemēram, piemērojot atalgojuma viduspunktu).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apakšsadaļā "Risinājuma apraksts" precizēt teikumu "Netiešās attiecināmās izmaksas finansējuma saņēmējs plāno kā vienu izmaksu pozīciju 7 procentu apmērā no 4.3.5.4. pasākuma kopējām attiecināmajām izmaksām", ņemot vērā, ka saskaņā ar Finanšu ministrijas vadlīnijām Nr.1.1. "Vadlīnijas vienkāršoto izmaksu izmaksu izmantošanas iespējām un to piemērošanu Eiropas Savienības kohēzijas politikas programmas 2021.-2027.gada plānošanas periodā"  netiešo izmaksu aprēķina bāze ir tiešās attiecināmās izmaksas, nevis pasākuma kopējās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sniedzot pamatojumu,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kādi izvērtējumi veikti pirms investīciju plānošanas, kādi ir atdeves rādītāji, kādi ir paredzamie ieguvumi īstenojot 4.3.5.4.pasākumu, kā arī sniegt vērtējumu,  par ietekmi uz konkrēto jomu, speciālistiem un mērķa grupu, gadījumā, ja šīs investīcijas netiktu veiktas. Lūdzam sniegt papildus viedokli par noteikumu projekta lietderību, kādas būtu alternatīvas, un tā ietekmi uz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programmas ietvaros kā finansējuma saņēmējs ir noteikta Labklājības ministrija, kas ir valsts pārvaldes iestāde, kas izstrādā valsts politiku sociālā darba jomā, aicinām papildināt anotācijā ietverto informāciju, norādot, ka finansējuma saņēmējs atbalsta programmas ietvaros veiks darbības, kas ir noteiktas kā tā valsts funkcija, līdz ar to atbalsts Labklājības ministrijai nav jāvērtē komercdarbības atbalsta kontekstā un tas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apakšsadaļas "</w:t>
            </w:r>
            <w:r w:rsidR="00000000" w:rsidRPr="00000000" w:rsidDel="00000000">
              <w:rPr>
                <w:i w:val="1"/>
                <w:rtl w:val="0"/>
              </w:rPr>
              <w:t xml:space="preserve">Mērķa grupas atbilstības nosacījumi:</w:t>
            </w:r>
            <w:r w:rsidR="00000000" w:rsidRPr="00000000" w:rsidDel="00000000">
              <w:rPr>
                <w:rtl w:val="0"/>
              </w:rPr>
              <w:t xml:space="preserve">" 4. punktu nav nepieciešams papildināt, ka, pamatojoties uz savstarpēju vienošanos ar Valsts ieņēmumu dienestu par pieeju datiem (darba ņēmēja vārds, uzvārds, personas kods, nodarbinātības statuss, nodarbinātības periods) tiks pārbaudīts, vai aprūpes speciālists uz iesaistīšanās brīdi pasākumā ir nodarbināts uz darba līguma pamata pie konkrētā darba devēja (atbilstoši anotācijas 8.1.13.apakšpunktā norādītajai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apakšsadaļu "</w:t>
            </w:r>
            <w:r w:rsidR="00000000" w:rsidRPr="00000000" w:rsidDel="00000000">
              <w:rPr>
                <w:i w:val="1"/>
                <w:rtl w:val="0"/>
              </w:rPr>
              <w:t xml:space="preserve">Mērķa grupas atbilstības nosacījumi</w:t>
            </w:r>
            <w:r w:rsidR="00000000" w:rsidRPr="00000000" w:rsidDel="00000000">
              <w:rPr>
                <w:rtl w:val="0"/>
              </w:rPr>
              <w:t xml:space="preserve">:" papildināt ar skaidrojumu par nepieciešamību finansējuma saņēmējam veikt attiecīgo speciālistu izglītības dokumentu pārbaudi pirms to iesaistes atbalstāmajās darbībās - vai to jau nav pārbaudījis darba devējs, pieņemot speciālistu darbā.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w:t>
            </w:r>
            <w:r w:rsidR="00000000" w:rsidRPr="00000000" w:rsidDel="00000000">
              <w:rPr>
                <w:i w:val="1"/>
                <w:rtl w:val="0"/>
              </w:rPr>
              <w:t xml:space="preserve">Risinājuma apraksts</w:t>
            </w:r>
            <w:r w:rsidR="00000000" w:rsidRPr="00000000" w:rsidDel="00000000">
              <w:rPr>
                <w:rtl w:val="0"/>
              </w:rPr>
              <w:t xml:space="preserve">" sadaļas "</w:t>
            </w:r>
            <w:r w:rsidR="00000000" w:rsidRPr="00000000" w:rsidDel="00000000">
              <w:rPr>
                <w:i w:val="1"/>
                <w:rtl w:val="0"/>
              </w:rPr>
              <w:t xml:space="preserve">4.3.5.4. pasākuma tiešās attiecināmās izmaksas ietver šādas galvenās izmaksu pozīcijas</w:t>
            </w:r>
            <w:r w:rsidR="00000000" w:rsidRPr="00000000" w:rsidDel="00000000">
              <w:rPr>
                <w:rtl w:val="0"/>
              </w:rPr>
              <w:t xml:space="preserve">:" 2.punktu papildināt ar informāciju, uz kāda pamata finansējuma saņēmējs nodrošinās supervīziju kompensēšanu pašvaldībām, ņemot vērā, ka sadarbības līgumi ar tām netiks slēgti.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Labklājības ministriju un papildināt anotācijas 2.1. sadaļas atbilstošo apakšsadaļu "Ietekmes apraksts", ka Labklājības ministrija pildīs atbildīgās iestādes un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sadaļas apakšsadaļa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22-TA-3784</w:t>
    </w:r>
    <w:r>
      <w:br/>
    </w:r>
    <w:r w:rsidR="00000000" w:rsidRPr="00000000" w:rsidDel="00000000">
      <w:rPr>
        <w:rtl w:val="0"/>
      </w:rPr>
      <w:t xml:space="preserve">01.12.2023. 10.07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22-TA-3784</w:t>
    </w:r>
    <w:r>
      <w:br/>
    </w:r>
    <w:r w:rsidR="00000000" w:rsidRPr="00000000" w:rsidDel="00000000">
      <w:rPr>
        <w:rtl w:val="0"/>
      </w:rPr>
      <w:t xml:space="preserve">01.12.2023. 10.07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Izziņa_22-TA-3784.docx</dc:title>
</cp:coreProperties>
</file>

<file path=docProps/custom.xml><?xml version="1.0" encoding="utf-8"?>
<Properties xmlns="http://schemas.openxmlformats.org/officeDocument/2006/custom-properties" xmlns:vt="http://schemas.openxmlformats.org/officeDocument/2006/docPropsVTypes"/>
</file>