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23-TA-994: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1.3.1.2. pasākuma "Inovācijas laboratorija digitalizācijas priekšrocību izmantošanai"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un pieejamo finansējumu un nacionālā līdzfinansējuma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nav regulēts jautājums par nacionālā līdzfinansējuma likmi, lūdzam noteikumu projekta 1.3. apakšpunktā svītrot vārdus "un nacionālā līdzfinansējuma likmi" vai atbilstoši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un pieejamo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ietvaros plānotais kopējais finansējums ir 1 305 000 euro (tai skaitā elastības finansējuma apjoms 205 832 euro), tai skaitā Eiropas Reģionālās attīstības fonda finansējums 1 109 250 euro (tai skaitā elastības finansējuma apjoms 174 956 euro) un valsts budžeta līdzfinansējums 195 750 euro (tai skaitā elastības finansējuma apjoms 30 876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3.punktu atbilstoši finansējuma samazinājumam. Vēršam uzmanību, ka 1.3.1.2.pasākuma plānotais ERAF finansējuma apmērs ir 1 287 968 EUR, tai skaitā elastības finansējums 172 674 EUR, un valsts budžeta līdzfinansējums 193 196 EUR, tai skaitā elastības finansējums 30 471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noteikuma projekta 10.punktu un anotācijas 3.sadaļas 6.punktā "Detalizēts ieņēmumu un izdevumu aprēķins" sniegto informāciju. Vienlaicīgi lūdzam pārcelt noteikumu projekta 10.punktu aiz noteikumu projekta 3.punkta.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vadošo iestādi.Tā kā ar EK nav saskaņots finansējuma samazinājums un nav zināms precīzs finansējuma apjoms pēc samazinājuma, punkts netiek precizēts. Kad mēs saņemsim precīzu informāciju par tālāko progresu sarunās ar EK par mazināmā finansējuma apjomiem, mēs izvērtēsim kā šīs prasības ietkmēs KP programmas rādītājus un vai paliksim pie tā, ka varam mazināt tikai projektu līmeņa rādītājus un darbību apjomu/tvērumu vai tomēr būs nepieciešams veikt arī KP programmas grozījumus, samazinot plānotos rādītājus KP programmas līmenī.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ietvaros plānotais kopējais finansējums ir 1 305 002 euro (tai skaitā elastības finansējuma apjoms 205 832 euro), tai skaitā Eiropas Reģionālās attīstības fonda finansējums 1 109 250 euro (tai skaitā elastības finansējuma apjoms 174 956 euro) un valsts budžeta līdzfinansējums 195 752 euro (tai skaitā elastības finansējuma apjoms 30 876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Pasākumu īsteno līdz 2029. gada 31. decembrim, sasniedzot šādu iznākuma rādītāju – publiskā sektora iestāžu skaits, kuras tiek atbalstītas digitālo pakalpojumu un produktu procesu izstrādei, – 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noteikumu projekta 8.punktā ir ietverts nacionālais rādītājs, jo programmas papildinājums nesatur 1.3.1.2.pasākuma rādītājus. Savukārt, mūsu ieskatā, noteikumu projekta 8.punktā ietvertais rādītājs atbilst Eiropas Komisijas definētajam rādītājam RCO 14 "Publiskā sektora iestādes, kas atbalstītas digitālo pakalpojumu, produktu un procesu izstrādei". Lūdzam sniegt skaidrojumu, kāpēc 1.3.1.2.pasākuma rādītāji nav ietverti programmas papildinājumā, vai tas ir pārņemts no 1.3.1.1.pasākuma un vai ir nepieciešami programmas grozījumi, minētā rādītāja iekļaušanai vai rādītāja mērķa vērtības precizēšanai. </w:t>
            </w:r>
            <w:r w:rsidR="00000000" w:rsidRPr="00000000" w:rsidDel="00000000">
              <w:rPr>
                <w:rtl w:val="0"/>
              </w:rPr>
              <w:t xml:space="preserve">Nepieciešamības gadījumā aicinām precizēt programmas papildinājumu un 1.3.1.SAM rādītāju metodoloģijas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projektā nepārprotami izteikt, ko nozīmē “pakalpojumi un produkti ir izgājuši pilnveides dizaina domāšanas sprintu”.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saskaņošanas sanāksmes laikā (20.07.2023).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līdz 2029. gada 31. decembrim sasniedzams šāds iznākuma rādītājs: publiskā sektora iestādes, kas atbalstītas digitālo pakalpojumu, produktu un procesu izstrādei, – 20.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digitālo dizaineru piesaiste;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iebildumu pie projekta anotācijas, lūdzu papildināt ar digitālās piekļūstamības ekspertu piesaisti.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dizaineru un digitālās piekļūstamības ekspertu piesaiste;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iebilduma sniedzēju. Skaidrojumu skatīt izzziņas 8.punktā.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digitālo dizaineru piesaiste;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ir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ir attiecināmas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projekta tiešās attiecināmās personāla atlīdzības izmaksas, kuras ir šo noteikumu 13.2. apakšpunktā minētās atbalstāmās darbības attiecināmās izmaksas saskaņā ar Eiropas Parlamenta un Padomes </w:t>
            </w:r>
            <w:r w:rsidR="00000000" w:rsidRPr="00000000" w:rsidDel="00000000">
              <w:rPr>
                <w:rtl w:val="0"/>
              </w:rPr>
              <w:t xml:space="preserve">Regulas Nr. 2021/1060</w:t>
            </w:r>
            <w:r w:rsidR="00000000" w:rsidRPr="00000000" w:rsidDel="00000000">
              <w:rPr>
                <w:rtl w:val="0"/>
              </w:rPr>
              <w:t xml:space="preserve"> </w:t>
            </w:r>
            <w:r w:rsidR="00000000" w:rsidRPr="00000000" w:rsidDel="00000000">
              <w:rPr>
                <w:rtl w:val="0"/>
              </w:rPr>
              <w:t xml:space="preserve">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19,5% apmērā no pārējām šo noteikumu 15.2. apakšpunktā minētajām pārējām projekta tiešajām attiecināmajām īstenošanas izmaksām. Minētās atbalstāmās darbības ietvaros ir attiecināmas finansējuma saņēmēja projekta vadības personāla un īstenošanas personāla atlīdzības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konkrēts likmes apmērs, t.sk. anotācijā ietveramā informācija, ir saskaņojama ar VI, līdz ar to lūdzam iesniegt likmes apmēru pamatojošos aprēķinus 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ir saskaņots ar VI, un noteikta procentu likme - 20%.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projekta tiešās attiecināmās personāla atlīdzības izmaksas, kuras ir šo noteikumu 13.2. apakšpunktā minētās atbalstāmās darbības attiecināmās izmaksas saskaņā ar Eiropas Parlamenta un Padomes </w:t>
            </w:r>
            <w:r w:rsidR="00000000" w:rsidRPr="00000000" w:rsidDel="00000000">
              <w:rPr>
                <w:rtl w:val="0"/>
              </w:rPr>
              <w:t xml:space="preserve">Regulas Nr. 2021/1060</w:t>
            </w:r>
            <w:r w:rsidR="00000000" w:rsidRPr="00000000" w:rsidDel="00000000">
              <w:rPr>
                <w:rtl w:val="0"/>
              </w:rPr>
              <w:t xml:space="preserve"> </w:t>
            </w:r>
            <w:r w:rsidR="00000000" w:rsidRPr="00000000" w:rsidDel="00000000">
              <w:rPr>
                <w:rtl w:val="0"/>
              </w:rPr>
              <w:t xml:space="preserve">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20% apmērā no pārējām šo noteikumu 15.2. apakšpunktā minētajām pārējām projekta tiešajām attiecināmajām īstenošanas izmaksām. Minētās atbalstāmās darbības ietvaros ir attiecināmas finansējuma saņēmēja projekta vadības personāla un īstenošanas personāla atlīdzības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(zaļais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noteikumos normu, ka tiek atbalstīts arī sociāli atbildīgs publiskais iepirkums. Skaidrojam, ka sociāli atbildīgs publiskais iepirkums ļauj līgumslēdzējām iestādēm ņemt vērā dažādus sociālos apsvērumus, piemēram, sociālo integrāciju, darba standartus, dzimumu līdztiesību un ētisku tirdzniecību, iekļaut īpašas prasības (piemēram, sociālās vai vidiskās) kā piešķiršanas kritērijus, ja izmanto labāko cenas un kvalitātes attiecību. Sociāli atbildīgi un ētikas kritērijiem atbilstoši iepirkumi palīdz valstij izpildīt tās starptautiski uzņemtās saistības, kā arī stimulē uzņēmējus pielikt pūles, lai panāktu, ka pakalpojumu sniegšana un strādājošo darbinieku pārvaldība notiek atbildīgāk un ilgtspējīgāk.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publiskos iepirkumus veic atklātā, pārredzamā, nediskriminējošā, konkurenci nodrošinošā, un, kur attiecināms,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aprakstītie pasākumi cieši saistāmi ar publisko iestāžu tīmekļvietņu un mobilo lietotņu piekļūstamības jautājumiem, kas izriet no  Eiropas Parlamenta un Padomes 2016. gada 26. oktobra Direktīvas 2016/2102/ES par publiskā sektora struktūru tīmekļvietņu un mobilo lietotņu piekļūstamību un no tās izrietošiem Eiropas Komisijas īstenošanas lēmumiem (t.sk. 2021. gada 11. augusta Īstenošanas lēmuma (ES) 2021/1339 par Īstenošanas lēmuma (ES) 2018/2048 grozījumiem, kas attiecas uz tīmekļvietņu un mobilo lietotņu saskaņoto standartu). Lai gan šis ir būtisks aspekts noteikumu projekta kontekstā, šobrīd anotācijā uz publisko iestāžu tīmekļvietņu un mobilo lietotņu piekļūstamības prasībām nav iekļauta norāde, kas pamatotu attiecīgu ekspertu piesaisti projekta pasākumu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norādi, ka pasākumu īstenošanā tiks piesaistīti eksperti ar apliecinātu pieredzi un zināšanām tīmekļvietņu un mobilo lietotņu piekļūstamībā (t.sk. pārzina standartus, kas ieriet no  Eiropas Parlamenta un Padomes 2016. gada 26. oktobra Direktīvas 2016/2102/ES par publiskā sektora struktūru tīmekļvietņu un mobilo lietotņu piekļūstamību).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Saskaņotas ar iebilduma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projekta vērtēšanas kritēriji tika saskaņoti Eiropas Savienības struktūrfondu un Kohēzijas fonda 2021. - 2027. gada plānošanas perioda Uzraudzības komitejas apakškomitejas 1.politikas mērķa “Viedāka Eiropa” 26.05.2023 sēdē, kur ir iekļauti kritēriji attiecībā uz projektā paredzētajām darbībām, kas veicina horizontālā principa ”Vienlīdzība, iekļaušana, nediskriminācija un pamattiesību ievērošana” īstenošanu, kā arī norādītas saites, kur atrodami vērtēšanā izmantojamie dokumenti. Līdz ar to ir noteiktas prasības visiem projektā iesaistītajiem ekspertiem. Projektā paredzēts inovācijas laboratorijas metodiskais atbalsts digitālo pakalpojumu, produktu un procesu pārveidē pielietojot UI/UX metodiku. Projekta ietvaros netiek izstrādātas prasības tīmekļu vietnēm vai IT sistēmā, bet gan sniegs atbalsta procesus 1.3.1.1.pasākuma ieviešanai. Plānotās aktivitātes ir aprakstītas anotācijas sadaļā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izmaksas, kas ir paredzētas mācībām, semināriem un pieredzes apmaiņai ir saistītas ar projekta īstenošanu, proti, vai mācību un semināru ietvaros plānots sniegt apmācības publiskā sektora iestāžu darbiniekiem, kas izmantos Inovācijas laboratorijas pakalpojumus, vai plānots sniegt apmācības Inovācijas laboratorijā nodarbinātajām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projekta iesniedzējam būtu plašāks attiecināmo izmaksu loks un iespēja veikt plašākas atbalstāmās darbības, tika definētas izmaksas, kuras iespējams izmantot, īstenojot noteikto projekta mērķi.  Apmācības plānots sniegt publiskā sektora iestāžu darbiniekiem, kas izmantos Inovācijas laboratorijas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8.punkta var skaidri saprast, ka pasākuma ietvaros tiks atbalstīti 20 publiskā sektora iestādes. Savukārt anotācijā ir aprakstīts, ka plānots izveidot 20 produktus vai pakalpojumus. Lūdzam precizēt noteikumu projektu vai anotāciju, novēršot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no kādiem līdzekļiem tiks nodrošināta pasākuma rezultātu ilgtspēja un uzturēšana pēc projekta noslēgšanas.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jau iekļautajam risinājumu aprakstam, plānots nodrošināt pasākuma rezultātu ilgtspēju sadarbībā ar VARAM rodot finansēšanas iespējas laboratorijā izietajiem sprintiem, un nodrošināt izvēlēto prototipu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kohēzijas politikas programmas 2021.–2027. gadam 1.3.1.SAM "Izmantot digitalizācijas priekšrocības iedzīvotājiem, uzņēmumiem, pētniecības organizācijām un publiskajām iestādēm" sniegto aprakstu, ka […] </w:t>
            </w:r>
            <w:r w:rsidR="00000000" w:rsidRPr="00000000" w:rsidDel="00000000">
              <w:rPr>
                <w:i w:val="1"/>
                <w:rtl w:val="0"/>
              </w:rPr>
              <w:t xml:space="preserve">plānota sinerģija ar ESSBJR politikas jomas “Inovācija” ietvaros paredzētās aktivitātes Nr.2 “Digitālā inovācija un pārveide” ietvaros plānotajiem pasākumiem, kā arī citu ESSBJR aktivitāšu ietvaros paredzētajiem digitalizācijas pasākumiem, ņemot vērā, ka digitalizācija ir caurvijošs elements arī citās ESSBJR ietvertajās politikas jomās, kā arī ar citiem starptautiskiem sadarbības formātiem un to aktivitātēm</w:t>
            </w:r>
            <w:r w:rsidR="00000000" w:rsidRPr="00000000" w:rsidDel="00000000">
              <w:rPr>
                <w:rtl w:val="0"/>
              </w:rPr>
              <w:t xml:space="preserve"> […], lūdzam anotācijā sniegt skaidrojumu vai 1.3.1.2.pasākuma ietvaros tiks veicināta Eiropas Savienības stratēģijā Baltijas jūras reģionam (ESSBJR) noteikto mērķu sasniegšana.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pēc kāda principa tiks sniegts atbalsts publiskā sektora iestādēm, proti, kādas iestādes tiks aicinātas dalībai inovāciju laboratorijā vai arī papildināt anotāciju ar informāciju, kādā dokumentā (piemēram, atsevišķā MK rīkojumā) tiks noteikti plānotie ideju autori, t.sk. anotācijā jābūt ietvertai informācijai, kas pamato izvēlēto ideju loku (piemēram, informācija par veiktu priekšatlasi). Lūdzam sniegt skaidrojumu, vai tiks īstenots ideju konkurss un atbalsts tiks sniegts tikai labākajiem projektiem vai kādā veidā tiks atlasītas 20 iestādes, kuras saņems atbalstu (saskaņā ar plānoto rādītāju).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ir iezīmēti trīs virzieni, kā tiks veikts atbalsta process. Ņemot vērā, ka precīzs procesa apraksts ir projekta lieta, anotācijā netiek ietverta sīkāka un precīzāka informācija, jo tas varētu ierobežot projekta iesniedzēju izvēlēties optimālāko veidu, kā sasniegt noteikto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pakalpojumu piekļūstamības likums, kas stāsies spēkā no 2025.gada 28.jūnija, paredz, ka no minētā datuma Eiropas Savienības iekšējā tirgū, t.sk. Latvijā, noteiktās jomās varēs izplatīt un sniegt tikai piekļūstamas preces un pakalpojumus (t.i., lietojami vairāk kā ar vienu sensoro kanālu). Tādējādi cilvēki ar redzes, dzirdes, kustību vai garīga rakstura traucējumiem, vecāka gadagājuma cilvēki, cilvēki ar uztveres īpatnībām, lasīšanas grūtībām, autiskā spektra traucējumiem, kā arī cilvēki ar viegliem vai pārejošiem funkcionēšanas ierobežojumiem (piemēram, nedaudz pasliktināta redze vai dzirde, vājums rokās, grūtības saredzēt vai sadzirdēt spožā saulē vai trokšņaina fona apstākļos u.c.) varēs ērtāk lietot likuma tvērumā iekļautās preces un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šim kā būtiskākā problēma digitālo pakalpojumu kontekstā tiek uzsvērta, ka Latvijā nav bijusi uz pakalpojumu sniegšanu un pakalpojumu saņēmējiem orientēta kultūras prakse, kas pēc būtības nozīmē, ka pakalpojums vai produkts tiek veidots, neņemot vērā lietotāja orientētu pieeju pakalpojumiem un produktiem, kas ikdienā visbiežāk saskaras ar to izmantošanu, ir svarīgi izcelt pakalpojumu dizaina ekspertu kompetences (t.sk. UX (lietotāja pieredzes)/UI (lietotāja saskarnes) dizaineri). Proti, UI/UX eksperti ir galvenie dalībnieki, kas ir atbildīgi par to, lai tīmekļa lapas un digitālie pakalpojumi atbilstu normatīvajiem regulējumiem un lai to dizainā tiktu iekļauta </w:t>
            </w:r>
            <w:r w:rsidR="00000000" w:rsidRPr="00000000" w:rsidDel="00000000">
              <w:rPr>
                <w:b w:val="1"/>
                <w:rtl w:val="0"/>
              </w:rPr>
              <w:t xml:space="preserve">digitālā piekļūstamība</w:t>
            </w:r>
            <w:r w:rsidR="00000000" w:rsidRPr="00000000" w:rsidDel="00000000">
              <w:rPr>
                <w:rtl w:val="0"/>
              </w:rPr>
              <w:t xml:space="preserve"> visiem.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iekļaut anotācijā informāciju, ka pasākuma īstenošanā tiks piesaistīti augsti kvalificēti UI/UX eksperti, tostarp ar zināšanām par 2019.gada 17.aprīlī pieņemtās Eiropas Parlamenta un Padomes Direktīvas (ES) 2019/882 par produktu un pakalpojumu piekļūstamības prasībām un Preču un pakalpojumu piekļūstamības likuma un Ministru kabineta noteikumu “Preču un pakalpojumu piekļūstamības prasības” (Tiesību akta lieta ID 23-TA-785 - projekts pašreiz ir starpministriju saskaņošanas posmā) tvērumu un jomām.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apakšsadaļas sadaļu "Juridiskās personas" ar norādi uz Valsts kanceleju, ņemot vērā, ka tai būs pildāmas finansējuma saņēmēja funkcijas, kā arī atbilstoši papildināt sadaļu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nepieciešamību kontekstā ar noteikumu projektā paredzēto papildināt minētās sadaļas arī ar citām juridiskām personām, norādot atbilstošu ietekmes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plānoto atbalsta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10.punkts.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politikas mērķa "Konkurentspējīgāka un viedāka Eiropa, veicinot inovatīvas un viedas ekonomiskās pārmaiņas un reģionālo IKT savienojamību" prioritārā virziena "Digitalizācija" 1.3.1. specifiskā atbalsta mērķa "Izmantot digitalizācijas priekšrocības iedzīvotājiem, uzņēmumiem, pētniecības organizācijām un publiskajām iestādēm" 1.3.1.2. pasākumu "Inovācijas laboratorija digitalizācijas priekšrocību izmantošanai" (turpmāk – pasākums) ierobežotas atlases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 apakšpunktā vārdus "politikas mērķa "Konkurentspējīgāka un viedāka Eiropa, veicinot inovatīvas un viedas ekonomiskās pārmaiņas un reģionālo IKT savienojamību" prioritārā virziena "Digitalizācija"".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1.3.1. specifiskā atbalsta mērķa "Izmantot digitalizācijas priekšrocības iedzīvotājiem, uzņēmumiem, pētniecības organizācijām un publiskajām iestādēm" 1.3.1.2. pasākumu "Inovācijas laboratorija digitalizācijas priekšrocību izmantošanai" (turpmāk –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politikas mērķa "Konkurentspējīgāka un viedāka Eiropa, veicinot inovatīvas un viedas ekonomiskās pārmaiņas un reģionālo IKT savienojamību" prioritārā virziena "Digitalizācija" 1.3.1. specifiskā atbalsta mērķa "Izmantot digitalizācijas priekšrocības iedzīvotājiem, uzņēmumiem, pētniecības organizācijām un publiskajām iestādēm" 1.3.1.2. pasākumu "Inovācijas laboratorija digitalizācijas priekšrocību izmantošanai" (turpmāk – pasākums) ierobežotas atlases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“ierobežotas atlases veidā”, jo dublē noteikumu projekta 10.punktā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1.3.1. specifiskā atbalsta mērķa "Izmantot digitalizācijas priekšrocības iedzīvotājiem, uzņēmumiem, pētniecības organizācijām un publiskajām iestādēm" 1.3.1.2. pasākumu "Inovācijas laboratorija digitalizācijas priekšrocību izmantošanai" (turpmāk –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Reģionālās attīstības fonda projekta (turpmāk – projekts) iesniedzējam un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IV nodaļā ietverti projekta īstenošanas nosacījumi, nevis prasības finansējuma saņēmējam, lūdzam svītrot noteikumu projekta 1.4. apakšpunktā vārdus "un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FM 34. izziņas priekšlikumu, kurā lūgts papildināt prasības finansējuma saņēmējam, uzskatām, ka šajā nodaļā ir noteiktas prasības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Ministru kabineta noteikumu par specifiskā atbalsta mērķa īstenošanu izstrādei Eiropas Savienības fondu 2021.—2027. gada plānošanas periodā” nenosaka nodaļu nosaukumus, bet atrunā, kādas lietas ir jāatrunā MK noteikumos. Ir ļoti loģiski, ka finansējuma saņēmējs ir cieši saistīt ar projekta īstenošanu, līdz ar to arī prasības finansējuma saņēmējam ir atrunātas šajā nodaļā.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Reģionālās attīstības fonda projekta (turpmāk – projekts) iesniedzējam un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ietvaros plānotais kopējais finansējums ir 1 305 000 euro (tai skaitā elastības finansējuma apjoms 205 832 euro), tai skaitā Eiropas Reģionālās attīstības fonda finansējums 1 109 250 euro (tai skaitā elastības finansējuma apjoms 174 956 euro) un valsts budžeta līdzfinansējums 195 750 euro (tai skaitā elastības finansējuma apjoms 30 876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 punktā iekļauto pasākuma finansējumu, proti, kopējais elastības finansējums 205 830 euro, valsts budžeta elastības finansējums 30 874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anotācijas 3. sadaļas "Tiesību akta projekta ietekme uz valsts budžetu un pašvaldību budžetiem" 6.punktā sniegto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priekšlikuma 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ietvaros plānotais kopējais finansējums ir 1 305 002 euro (tai skaitā elastības finansējuma apjoms 205 832 euro), tai skaitā Eiropas Reģionālās attīstības fonda finansējums 1 109 250 euro (tai skaitā elastības finansējuma apjoms 174 956 euro) un valsts budžeta līdzfinansējums 195 752 euro (tai skaitā elastības finansējuma apjoms 30 876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Atbildīgā iestāde no 2026. gada 1. janvāra pēc Eiropas Komisijas lēmuma par vidusposma pārskatu var ierosināt palielināt saskaņā ar vienošanos par projekta īstenošanu pieejamo finansējumu līdz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minētajam kopējam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normas nekorektas interpretācijas risku, ievērojot vadošās iestādes vadlīnijās "Vadlīnijas Ministru kabineta noteikumu par specifiskā atbalsta mērķa īstenošanu izstrādei Eiropas Savienības fondu 2021.—2027. gada plānošanas periodā" sniegto normas redakcijas piemēru, lūdzam precizēt noteikumu projekta 5. punktu, vārdus un skaitļus "no 2026. gada 1. janvāra" pārceļot aiz vārdiem "var ierosināt".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Atbildīgā iestāde  pēc Eiropas Komisijas lēmuma par vidusposma pārskatu var ierosināt no 2026. gada 1. janvāra palielināt saskaņā ar vienošanos par projekta īstenošanu pieejamo finansējumu līdz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minētajam kopējam finansējuma apmēram.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tiešās valsts pārvaldes un pašvaldību iestādes, publiskā sektora iestādes, kas uzlabo esošos vai attīsta jaunus digitālos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(Sieviešu sadarbības tīkls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mērķa grupu ar norādi, ka esošo un jauno pakalpojumu attīstībā jāiesaista pilsoniskās sabiedrības organizācijas, kas šos pakalpojumus lieto, tādējādi veicinot plašāku inovāciju kultūras attīstību Latvijā, kā arī radot uzlabojumus, kas viegli lietojami ne tikai tiešajām valsts pārvaldes un pašvaldību iestādēm, publiskā sektora iestādēm, bet arī iedzīvotājiem, uzņēmējiem un pilsoniskās sabiedrības organizācijām. Šādi tiks labāk sasniegti arī specifiskā atbalsta mērķa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 grupa ir tiešās valsts pārvaldes un pašvaldību iestādes, publiskā sektora iestādes, kas uzlabo esošos vai attīsta jaunus digitālos pakalpojumus, kā arī pilsoniskās sabiedrības organizācijas, kas pārstāv pakalpojumu saņēmējus.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 grupa ir noteikta Eiropas Savienības kohēzijas politikas programmā 2021.–2027. gadam, kura ir apstiprināta 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publiskā sektora iestādes, kas uzlabo esošos vai attīsta jaunus digitālos pakalpojumus, produktus un procesus.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Pasākumu īsteno līdz 2029. gada 31. decembrim, sasniedzot šādu iznākuma rādītāju – publiskā sektora iestāžu skaits, kuras tiek atbalstītas digitālo pakalpojumu un produktu procesu izstrādei, – 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 punktu, aizstājot vārdus un skaitļus "Pasākumu īsteno līdz 2029. gada 31. decembrim, sasniedzot šādu iznākuma rādītāju -" ar vārdiem un skaitļiem "Pasākuma ietvaros līdz 2029. gada 31. decembrim sasniedzams šāds iznākuma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līdz 2029. gada 31. decembrim sasniedzams šāds iznākuma rādītājs: publiskā sektora iestādes, kas atbalstītas digitālo pakalpojumu, produktu un procesu izstrādei, – 20.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iznākuma rādītājs ir sasniegts, ja vismaz 20 publiskā sektora pakalpojumi un produkti ir izgājuši pilnveides dizaina domāšanas sprintu.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(Sieviešu sadarbības tīkls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rādītāja aprakstu ar prasību par pakalpojumu saņēmēju pārstāvošo NVO 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8. punktā minētais iznākuma rādītājs ir sasniegts, ja vismaz 20 publiskā sektora pakalpojumi un produkti ir izgājuši pilnveides dizaina domāšanas sprintu, kur katra pakalpojuma izstrādē iesaistītas pakalpojuma saņēmēju pārstāvošās pilsoniskās sabiedrības organizācijas.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Rādītājs ir noteikts Eiropas Savienības kohēzijas politikas programmā 2021.-2027. gadam, kura ir apstiprināta 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iznākuma rādītājs ir sasniegts, ja vismaz 20 publiskā sektora pakalpojumi, produkti un procesi ir izgājuši pilnveides dizaina domāšanas sprintu.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 īsteno ierobežotas projektu iesniegumu atlases veidā vienā projektu iesniegumu atlasē un pasākuma atbalsts tiek sniegts granta veidā. Projektu iesniegumā pasākuma īstenošanai plāno ne vairāk kā 1 099 168 euro, tai skaitā Eiropas Reģionālās attīstības fonda finansējums 934 294 euro apmērā, valsts budžeta līdzfinansējums - 164 874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pasākumam pieejamo atbalsta summu, proti, 1 099 170 euro, t.sk. valsts budžeta finansējums 164 876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priekšlikuma 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 īsteno ierobežotas projektu iesniegumu atlases veidā vienā projektu iesniegumu atlasē un pasākuma atbalsts tiek sniegts granta veidā. Projektu iesniegumā pasākuma īstenošanai plāno ne vairāk kā 1 099 170 euro, tai skaitā Eiropas Reģionālās attīstības fonda finansējums 934 294 euro apmērā, valsts budžeta līdzfinansējums - 164 876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 īsteno ierobežotas projektu iesniegumu atlases veidā vienā projektu iesniegumu atlases kārtā. Projektu iesniegumā pasākuma īstenošanai plāno ne vairāk kā 1 099 168 euro, tai skaitā Eiropas Reģionālās attīstības fonda finansējums 934 294 euro apmērā, valsts budžeta līdzfinansējums - 164 874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 punkta ietverto regulējumu sadalīt divos atsevišķos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ir vienkopus runa par vienīgo atlasi, pasakot atlases veidu, atbalsta veidu un pieejamo finansējumu. Precizēts atbilstoši izziņas 20.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 īsteno ierobežotas projektu iesniegumu atlases veidā vienā projektu iesniegumu atlasē un pasākuma atbalsts tiek sniegts granta veidā. Projektu iesniegumā pasākuma īstenošanai plāno ne vairāk kā 1 099 170 euro, tai skaitā Eiropas Reģionālās attīstības fonda finansējums 934 294 euro apmērā, valsts budžeta līdzfinansējums - 164 876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 īsteno ierobežotas projektu iesniegumu atlases veidā vienā projektu iesniegumu atlases kārtā. Projektu iesniegumā pasākuma īstenošanai plāno ne vairāk kā 1 099 168 euro, tai skaitā Eiropas Reģionālās attīstības fonda finansējums 934 294 euro apmērā, valsts budžeta līdzfinansējums - 164 874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norādi par atlases kārtu, jo pasākumā, t.sk. pārējā noteikumu projektā, nav paredzētas un minētas pasākuma atlases 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īsteno ierobežotas projektu iesniegumu atlases veidā vienā projektu iesniegumu atlasē. Projekta iesniegumā pasākuma īstenošanai plāno ne vairāk kā 1 099 168 euro, tai skaitā Eiropas Reģionālās attīstības fonda finansējums 934 294 euro apmērā, valsts budžeta līdzfinansējums - 164 874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 īsteno ierobežotas projektu iesniegumu atlases veidā vienā projektu iesniegumu atlasē un pasākuma atbalsts tiek sniegts granta veidā. Projektu iesniegumā pasākuma īstenošanai plāno ne vairāk kā 1 099 170 euro, tai skaitā Eiropas Reģionālās attīstības fonda finansējums 934 294 euro apmērā, valsts budžeta līdzfinansējums - 164 876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II nodaļas nosaukumu ar prasībām arī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nodaļā netiek izvirzīta neviena prasība finansējuma saņēmējam, tas tiek veikts IV. nodaļā.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sagatavo projekta iesniegumu atbilstoši projekta iesniegumu atlases nolikumā noteiktajām prasībām un iesniedz to sadarbības iestādē, izmantojot Kohēzijas politikas fondu vadības informācijas sistēmu. Ja sadarbības iestāde apstiprina projekta iesniegumu un noslēdz vienošanos par projekta īstenošanu, projekta iesniedzējs ir arī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 punkta 2. teikumā vārdu "arī". Vēršam uzmanību, ka atbilstoši Eiropas Savienības fondu 2021-2027.gada plānošanas perioda vadības likumam projekta iesniedzējs </w:t>
            </w:r>
            <w:r w:rsidR="00000000" w:rsidRPr="00000000" w:rsidDel="00000000">
              <w:rPr>
                <w:b w:val="1"/>
                <w:u w:val="single"/>
                <w:rtl w:val="0"/>
              </w:rPr>
              <w:t xml:space="preserve">ir finansējuma saņēmējs,</w:t>
            </w:r>
            <w:r w:rsidR="00000000" w:rsidRPr="00000000" w:rsidDel="00000000">
              <w:rPr>
                <w:rtl w:val="0"/>
              </w:rPr>
              <w:t xml:space="preserve"> ja tā projekta iesniegums ir apstiprināts.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sagatavo projekta iesniegumu atbilstoši projekta iesniegumu atlases nolikumā noteiktajām prasībām un iesniedz to sadarbības iestādē, izmantojot Kohēzijas politikas fondu vadības informācijas sistēmu. Ja sadarbības iestāde apstiprina projekta iesniegumu un noslēdz vienošanos par projekta īstenošanu, projekta iesniedzējs ir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(Sieviešu sadarbības tīkls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darbību uzskaitījumu ar pakalpojuma saņēmēju pārstāvošo NVO ekspertiem.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13.Pasākuma ietvaros ir atbalstāmas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laboratorijas darbības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 publisko pakalpojumu dizaina izstrāde inovācijas laboratorijas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 laboratorijas darbības attīstīšana;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13.1.3. starpsektoru inovāciju prototipu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 ekspertu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digitālo dizaineru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13.1.6. pakalpojuma saņēmējus pārstāvošo pilsoniskās sabiedrības organizāciju ekspertu piesaiste.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"Risinājuma apraksts" ar prasību iesaistīt NVO sprinta 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ar laboratorijas darbības pasākumu organizēšanu un īstenošanu saistītās izmaksas, tai skaitā mācības, semināri, pieredzes apmaiņa un lektoru, ekspertu, konsultantu un moderatoru atlīdzība;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ar uzskaitītajām izmaksām tiek aptvertas visas 13.1. apakšpunktos minētās atbalstāmās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formulējums neprasa uzskaitīt visas iespējamās izmaksas, bet pasvītro, kuras arī varētu iekļaut.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ar inovācijas laboratorijas darbības pasākumu organizēšanu un īstenošanu saistītās izmaksas, tai skaitā mācības, semināri, pieredzes apmaiņa un lektoru, ekspertu, konsultantu un moderatoru atlīdzība;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 transporta pakalpojumu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metodikas nosaukumu uz "Vienas vienības izmaksu standarta likmes aprēķina un piemērošanas metodika </w:t>
            </w:r>
            <w:r w:rsidR="00000000" w:rsidRPr="00000000" w:rsidDel="00000000">
              <w:rPr>
                <w:u w:val="single"/>
                <w:rtl w:val="0"/>
              </w:rPr>
              <w:t xml:space="preserve">1 km</w:t>
            </w:r>
            <w:r w:rsidR="00000000" w:rsidRPr="00000000" w:rsidDel="00000000">
              <w:rPr>
                <w:rtl w:val="0"/>
              </w:rPr>
              <w:t xml:space="preserve"> izmaksām darbības programmas "Izaugsme un nodarbinātība" un Eiropas Savienības kohēzijas politikas programmas 2021.–2027. gadam īstenošanai", tā kā likmes par degvielas izmaksām vieglajam transportlīdzeklim un reģionālā sabiedriskā un vietējā sabiedriskā transporta izmaksām ir noteiktas šajā metodikā.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 transporta pakalpojumu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izstrādātajai metodikai "Vienas vienības izmaksu standarta likmes aprēķina un piemērošanas metodika 1 km izmaksām darbības programmas "Izaugsme un nodarbinātība" un Eiropas Savienības kohēzijas politikas programmas 2021.–2027. gadam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 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uz "transporta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 transporta pakalpojumu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izstrādātajai metodikai "Vienas vienības izmaksu standarta likmes aprēķina un piemērošanas metodika 1 km izmaksām darbības programmas "Izaugsme un nodarbinātība" un Eiropas Savienības kohēzijas politikas programmas 2021.–2027. gadam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 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kam ir paredzētas šīs izmaksas (piemēram, vai projekta vadības un īstenošanas personālam). Ja projektā ir paredzētas arī citas iekšzemes komandējamu izmaksas, lūdzam tās atsevišķi nodalīt. Vienlaikus vēršam uzmanību, ka transporta izmaksām piemērojama VI izstrādātā metodika “Vienas vienības izmaksu standarta likmes aprēķina un piemērošanas metodika 1 km izmaksām darbības programmas “Izaugsme un nodarbinātība” un Eiropas Savienības kohēzijas politikas programmas 2021.–2027.gadam īstenošanai”, savukārt iekšzemes komandējumiem VI metodika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izmaksas projekta iesniedzējs var paredzēt jebkurai atbalstāmajai darbībai, kurai tās ir nepieciešamas.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 transporta pakalpojumu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izstrādātajai metodikai "Vienas vienības izmaksu standarta likmes aprēķina un piemērošanas metodika 1 km izmaksām darbības programmas "Izaugsme un nodarbinātība" un Eiropas Savienības kohēzijas politikas programmas 2021.–2027. gadam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Pievienotās vērtības nodoklis, kas tiešā veidā saistīts ar projektu,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iepriekšējā skaņošanas reizē izteikto vadošās iestādes iebildumu, kur t.sk. tika lūgts: "Attiecīgi, ja izvērtējuma rezultātā tiks piemērots vienkāršots PVN līdzekļu attiecināšanas modelis, lūdzam anotācijā papildināt ar skaidrojumu, norādot, ka tiks nodrošināts dubultā finansējuma novēršanas risks.", lūdzam papildināt anotāciju ar skaidrojumu, ka attiecībā uz Pievienotās vērtības nodokli tiks nodrošināts dubultā finansējuma novēršanas risks projektiem, kuru kopējās izmaksas ir mazākas par 5 milj.EUR (ieskaitot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Pievienotās vērtības nodoklis, kas tiešā veidā saistīts ar projektu,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Pievienotās vērtības nodokļa maksājumi, kas tiešā veidā saistīti ar projektu, ir attiecināmās izmaksas, ja tos nevar atgūt atbilstoši normatīvajiem aktiem par pievienotās vērtības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Vadlīniju Nr.1.2. "Vadlīnijas attiecināmo izmaksu noteikšanai Eiropas Savienības kohēzijas politikas programmas 2021.-2027.gada plānošanas periodā" 19.1.apakšpunktā noteikto, proti, ka saskaņā ar Kopīgo noteikumu regulas 64.panta 1.punkta c) apakšpunktu PVN ir attiecināmas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Projektiem, kuru kopējās izmaksas ir mazākas par 5 milj. EUR (ieskaitot PVN). Savukārt gadījumos, kad finansējuma saņēmējs ir valsts atbalsta (t.sk. de minimis) saņēmējs PVN tiešajām attiecināmajām izmaksām var tikt attiecināms tikai tādā gadījumā,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Projektiem, kuru kopējās izmaksas ir vismaz 5 milj. EUR (ieskaitot PVN), ja tas nav atgūstams saskaņā ar attiecīgās valsts tiesību aktiem PVN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 saņēmēju veiktas investīcijas Finanšu instrumentu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aicinām izvērtēt, vai 16.punkta redakcija nebūtu precizējama, no attiecīgā punkta dzēšot nosacījumu "ja tos nevar atgūt atbilstoši normatīvajiem aktiem par pievienotās vērtības nodokli". Attiecīgi, ja izvērtējuma rezultātā tiks piemērots vienkāršots PVN līdzekļu attiecināšanas modelis, lūdzam anotācijā papildināt ar skaidrojumu, norādot, ka tiks nodrošināts dubultā finansējuma novēršanas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Pievienotās vērtības nodoklis, kas tiešā veidā saistīts ar projektu,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projekta IV nodaļu ar normu, kas paredz, ka finansējuma saņēmējs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attiecīgo prasību ievērošana ir finansējuma saņēmēja tiešais pienākums, kas izriet no finansējuma saņēmēja pamata funkcijām, īstenojot projektu, tādējādi tas nosakāms normatīvajā aktā - Ministru kabineta noteikumos par specifiskā atbalsta mērķa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 gada 13. jūlija sēdes protokollēmumā (prot. Nr. 36 85. § 3. punkts) noteikto, aicinām izvērtēt un, ja attiecināms, papildināt noteikumu projektu ar pienākumu finansējuma saņēmējam veikt izmaksu un ieguvumu analīzi. Vienlaikus lūdzam papildināt anotāciju ar skaidrojumu risinājuma izvēlei.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noteikts pienākums finansējuma saņēmējam veikt izmaksu un ieguvumu analīzi, anotācijā tiek sniegta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plānots veikt IKT ieguldījumus, lūdzam sniegt skaidrojumu vai ieguldījumi plānoti publiskās pārvaldes īpašumā esošajos digitālajos risinājumos, t.sk. īpašumā atrodas pirmkodi, intelektuālā īpašuma tiesības, t.sk. risinājuma modificēšanas tiesības, lai novērstu gadījumus, kad tiek kropļota konkurence, veicot publiskus ieguldījumus kāda konkrēta komersanta īpašumā.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IKT ieguldījumi netiks veikti, bet gan veikti pakalpojumu izvērtējumi.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atbilstoši Eiropas Savienības fondu 2021.—2027. gada plānošanas perioda vadības likuma 9.panta trešajai daļai uzraudzības procesā piesaistīt tiešās pārvaldes iestādes, kuru darbības joma saistīta ar plānošanas dokumentos minētajām nozarēm (piemēram, no Latvijas Investīciju un attīstības aģentūras, Valsts reģionālās attīstības aģentūra u.c.). Šādas sadarbības mērķis ir projekta rezultātu kvalitātes novērtēšana atbilstoši nozares specifikai.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šāds uzraudzības process nav paredzēts.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papildināt noteikumu projekta IV nodaļu ar normu, kas paredz, ka finansējuma saņēmējs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pienākumi projekta īstenošanas laikā tiks noteikti vienošanās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Finansējuma saņēmējs ir atbildīgs par dubultā finansējuma riska novēršanu un demarkācijas nodrošināšanu ar citiem līdzīgiem vai saistītiem projektiem un nodrošina, lai pasākuma ietvaros plānotais atbalsts nepārklātos ar citiem valsts un ārvalstu finanšu atbalsta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attiecībā uz 37. priekšlikumu norādīts, ka ir ņemts vērā Finanšu ministrijas priekšlikums par lūgumu papildināt noteikumu projekta IV nodaļu ar normu, kas attiecas uz interešu konflikta neesamības nodrošināšanu un interešu konflikta neesamības apliecinājuma parakstīšanu (norādīts, ka ir precizēts noteikumu projekta 20.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atbilstošie precizējumi noteikumu projektā nav veikti,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24.4.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Finansējuma saņēmējs ir atbildīgs par dubultā finansējuma riska novēršanu un demarkācijas nodrošināšanu ar citiem līdzīgiem vai saistītiem projektiem un nodrošina, lai pasākuma ietvaros plānotais atbalsts nepārklātos ar citiem valsts un ārvalstu finanšu atbalsta instrumentiem.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Īstenojot projektu, nodrošina informācijas un publicitātes pasākumus saskaņā ar Regulas Nr. 2021/1060 47. un 50. pantu un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vadlīnijās "Vadlīnijas Ministru kabineta noteikumu par specifiskā atbalsta mērķa īstenošanu izstrādei Eiropas Savienības fondu 2021.—2027. gada plānošanas periodā" lietoto jēdzienu "komunikācijas un vizuālās identitātes prasību nodrošināšanas nosacījumi", aicinām izvērtēt un pēc nepieciešamības precizēt noteikumu projekta 13.3. apakšpunktu un 15.2.4. punktu un 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noteikumu projekta 21. punktu, aizstājot vārdus "un kārtību, kādā" ar vārdiem "un normatīvajiem aktiem, kas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attiecīgo informāciju par informācijas un publicitātes pasākumu nodrošināšanu (komunikācijas un vizuālās identitātes prasību nodrošināšanas nosacījumu ievērošanu), tostarp saskaņā ar attiecīgajiem dokumentiem, norādīt arī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precizēti 13.3. un 15.2.4.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Īstenojot projektu, nodrošina komunikācijas un vizuālās identitātes prasību nosacījumu ievērošanu saskaņā ar Regulas Nr. 2021/1060 47.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(zaļais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projektā iekļaut informāciju, ka atbalstāms ir ne tikai zaļais publiskais iepirkums, bet arī sociāli atbildīgais publiskais iepirkums un inovatīvais publiskais iepirkums.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publiskos iepirkumus veic atklātā, pārredzamā, nediskriminējošā, konkurenci nodrošinošā, un, kur attiecināms,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priekšlikumu un lūdzam sniegt skaidrojumu pēc kāda principa tiks sniegts atbalsts publiskā sektora iestādēm, proti, kādas iestādes tiks aicinātas dalībai inovāciju laboratorijā vai arī papildināt anotāciju ar informāciju, kādā dokumentā (piemēram, atsevišķā MK rīkojumā) tiks noteikti plānotie ideju autori, t.sk. anotācijā jābūt ietvertai informācijai, kas pamato izvēlēto ideju loku (piemēram, informācija par veiktu priekšatlasi). Lūdzam sniegt skaidrojumu, vai tiks īstenots ideju konkurss un atbalsts tiks sniegts tikai labākajiem projektiem vai kādā veidā tiks atlasītas 20 iestādes, kuras saņems atbalstu (saskaņā ar plānoto rādītāju). Vēršam uzmanību, ka šāda veida informācija veicina ES fondu ietvaros veikto investīciju caurskatāmību, ieguldījumu izsekojamību, palielina uzraudzības efektivitāti, kā arī atvieglo fondu plānošanas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priekšlikuma sniedzēju.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attiecībā uz "inovāciju sprinta" jēdziena būtību, jo šobrīd nav skaidrs, kas ar to ir domāts.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iekļauto skaidrojumu attiecībā uz pasākuma rezultātu uzturēšanu un attīstīšanu, lūdzam papildināt anotāciju ar informāciju, ka pēc projekta beigām, plānots nodrošināt pasākuma rezultātu ilgtspēju sadarbībā ar VARAM rodot finansēšanas iespējas laboratorijā izietajiem sprintiem, un nodrošināt izvēlēto prototipu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priekšlikuma sniedzēju.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lūdzam papildināt anotāciju ar attiecīgo informāciju vai sniegt skaidrojumu izziņā.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stadijā tika nodrošināta sabiedrības līdzdalība TAP, kas ir atspoguļots anotācijā. Nekādi papildus pasākumi netiek paredzēti.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"Risinājuma apraksts" apakšsadaļā "Noteikumu projektā noteiktas tiešās attiecināmās izmaksas. " ir minēts, ka attiecināmas ir "2. Darba vietas nodrošināšana un iekārtošana projekta vadītājam.". Ja no projekta līdzekļiem ir paredzēts finansēt projekta vadītāja darba vietas iekārtošanu, tad lūdzam papildināt MK noteikumu projektu ar šādu izmaksu attiecināmību. Ja nē, tad lūdzam šo teikumu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dzēsta informācija par darba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"Risinājuma apraksts" tekstā ir minēts, ka "Noteikumu projekts nosaka, ka attiecināmas ir arī izmaksas, kas saistītas ar mācību, semināru, pieredzes apmaiņas un ar citu laboratorijas darbības pasākumu organizēšanu un īstenošanu, tai skaitā, izmaksas ekspertiem." Vēršam uzmanību, ka MK noteikumu projektā ir minēts, ka attiecināmas ir arī tādas izmaksas kā telpu īres maksa un transporta izmaksas, kā arī projekta informācijas un publicitātes pasākumu izmaksas un izmaksas horizontālā principa “Vienlīdzība, iekļaušana, nediskriminācija un pamattiesību ievērošana” darbību īstenošanai. Lūdzam papildināt iepriekš minēto tekstu ar šīm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teikuma daļu "kā arī gadījumi, kad CFLA ir tiesības vienpusēji atkāpties no noslēgtās vienošanās ar finansējuma saņēmēju", jo noteikumu projekts neatrunā minētos gadījumus, kā arī tie jau ir noteikti noteikumu projektā "Kārtība, kādā Eiropas Savienības fondu vadībā iesaistītās institūcijas nodrošina šo fondu ieviešanu 2021.–2027.gada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uzskaitījumu 8.2.sadaļā aiz teksta "3)  tiek noteikts vismaz viens horizontālā principa “Vienlīdzība, iekļaušana, nediskriminācija un pamattiesību ievērošana” rādītājs, piemēram" ar rādītāju “digitālo pakalpojumu vai programmu skaits, kur ir veikta informācijas pielāgošana specifisko lietotāju grupām (personām ar redzes, dzirdes un garīga rakstura traucējumiem) (VINPI09)” (atbilstoši Projekta iesnieguma vērtēšanas kritēriju piemērošanas metodikā norādītajai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8.2.sadaļā "Cita informācija" lūdzam dzēst pirmo teikumu "Pasākumam ir netieša pozitīva ietekme uz horizontālo principu „Vienlīdzīgas iespējas”.", jo neprecīzi norādīts horizontālā principa nosaukums, turklāt dublē nākamajā rindkopā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projekta 3.punktā tika precizēts pasākuma ietvaros plānotais kopējais finansējums un valsts budžeta līdzfinansējums, palielinot to par 2 euro, attiecīgi ir precizējama arī anotācijas 3.sadaļā 6.punktā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7.punkta pirmā teikuma redakciju, norādot, ka noteikumu projekts </w:t>
            </w:r>
            <w:r w:rsidR="00000000" w:rsidRPr="00000000" w:rsidDel="00000000">
              <w:rPr>
                <w:u w:val="single"/>
                <w:rtl w:val="0"/>
              </w:rPr>
              <w:t xml:space="preserve">var</w:t>
            </w:r>
            <w:r w:rsidR="00000000" w:rsidRPr="00000000" w:rsidDel="00000000">
              <w:rPr>
                <w:rtl w:val="0"/>
              </w:rPr>
              <w:t xml:space="preserve"> ietekmēt amata vietu skaitu </w:t>
            </w:r>
            <w:r w:rsidR="00000000" w:rsidRPr="00000000" w:rsidDel="00000000">
              <w:rPr>
                <w:u w:val="single"/>
                <w:rtl w:val="0"/>
              </w:rPr>
              <w:t xml:space="preserve">Valsts kancelejā</w:t>
            </w:r>
            <w:r w:rsidR="00000000" w:rsidRPr="00000000" w:rsidDel="00000000">
              <w:rPr>
                <w:rtl w:val="0"/>
              </w:rPr>
              <w:t xml:space="preserve">, ņemot vērā, ka esošo cilvēkresursu kapacitāte vēl tikai tiks vērtēta.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3.sadaļas 6.punktā pēdējo rindkopu, vienlaikus sadaļā ”Cita informācija” norādot, ka nepieciešamo finansējumu Valsts kanceleja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23-TA-994</w:t>
    </w:r>
    <w:r>
      <w:br/>
    </w:r>
    <w:r w:rsidR="00000000" w:rsidRPr="00000000" w:rsidDel="00000000">
      <w:rPr>
        <w:rtl w:val="0"/>
      </w:rPr>
      <w:t xml:space="preserve">13.09.2023. 15.59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23-TA-994</w:t>
    </w:r>
    <w:r>
      <w:br/>
    </w:r>
    <w:r w:rsidR="00000000" w:rsidRPr="00000000" w:rsidDel="00000000">
      <w:rPr>
        <w:rtl w:val="0"/>
      </w:rPr>
      <w:t xml:space="preserve">13.09.2023. 15.59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Izziņa_23-TA-994.docx</dc:title>
</cp:coreProperties>
</file>

<file path=docProps/custom.xml><?xml version="1.0" encoding="utf-8"?>
<Properties xmlns="http://schemas.openxmlformats.org/officeDocument/2006/custom-properties" xmlns:vt="http://schemas.openxmlformats.org/officeDocument/2006/docPropsVTypes"/>
</file>