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23-TA-2046: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Iepirkuma un koncesijas procedūras paziņojumu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iepirkuma un koncesijas procedūras paziņojumu (turpmāk - paziņojumi) saturu.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3. februāra noteikumu Nr. 108 "Normatīvo aktu projektu sagatavošanas noteikumi" (turpmāk - noteikumi Nr. 108) 100. punktam, kas noteic, ka noteikumu projekta pirmajā punktā raksta (pārraksta) likumā noteikto pilnvarojumu Ministru kabinetam, lūdzam izvērtēt un precizēt noteikumu projekta 1. punktu. 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no noteikumu projekta izdošanas tiesiskā pamata (arī anotācijas 1.1. sadaļā sniegtās informācijas par noteikumu projekta izstrādes pamatojumu) izriet Ministru kabineta pilnvarojums noteikt konkrētajos likumos minēto paziņojumu saturu, sagatavošanas kārtību un paziņojumu publicēšanas noteikumus, savukārt noteikumu projekta 1. punktā norādīts vienīgi uz pilnvarojumu noteikt šo paziņojumu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no noteikumu projekta anotācijas 1.1. sadaļā uzskaitītajām tiesību normām izriet konkrēti paziņojumu veidi, uz kuriem attiecināms noteikumu projekts, bet no noteikumu projekta pamatteksta tas neizriet. Attiecīgi nav viennozīmīgi skaidrs uz kādiem iepirkumu un koncesiju procedūru paziņojumiem noteikumu projekts ir attiecināms, tādēļ atbilstoši juridiskās tehnikas prasībām nepieciešams izvērtēt noteikumu projekta saturu un iespējamību to precizēt, noteikumu projekta pamattekstā norādot konkrētos paziņojumu veidus vai paredzot atsauces uz likumu (noteikumu projekta izdošanas pamata) vienībām, kurās paredzēti konkrētie paziņojumi.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projektu precizēt nav nepieciešams, jo attiecīgais pilnvarojums izriet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likumprojekta "Grozījumi Publisko iepirkumu likumā" (22-TA-2819) 34. panta pirmās daļas pirmā teikuma. Savukārt noteikumu projekta attiecināmība izriet no minētās likumprojekta normas otrā teikuma;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likumprojekta "Grozījumi Sabiedrisko pakalpojumu sniedzēju iepirkumu likumā" (22-TA-3241) 40. panta pirmās daļas pirmā teikuma. Savukārt noteikumu projekta attiecināmība izriet no minētās likumprojekta normas otrā teikuma;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likumprojekta "Grozījumi Aizsardzības un drošības jomas iepirkumu likumā" (22-TA-3246) 36. panta pirmās daļas pirmā teikuma. Savukārt noteikumu projekta attiecināmība izriet no minētās likumprojekta normas otrā teikuma;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likumprojekta "Grozījumi Publiskās un privātās partnerības likumā" (22-TA-3247) 20. panta pirmās daļas pirmā teikuma. Savukārt noteikumu projekta attiecināmība izriet no minētās likumprojekta normas otrā teikuma.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iepirkuma un koncesijas procedūras paziņojumu (turpmāk - paziņojumi) saturu, sagatavošanas kārtību un publicēšanas noteikumus.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projekta 1. pielikuma tabulas 3.kolonnu "Izmanto, lai publicētu paziņojumus, kas minēti:" un veikt nepieciešamos precizējumus, ņemot vērā, ka šajā kolonnā ietvertas atsauces uz konkrētajos likumos (Publisko iepirkumu likumā u.c.) neesošām tiesību normām (pantiem).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normas tiek ieviestas ar likumprojektu "Grozījumi Publiskās un privātās partnerības likumā" (22-TA-3247) (likumprojektu pakete).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projekta 1. pielikuma sadaļu "Izpilde" un veikt nepieciešamos precizējumus, ņemot vērā, ka šajā sadaļā ietvertas atsauces uz konkrētajos likumos (Publisko iepirkumu likumā u.c.) neesošām tiesību normām paziņojumiem par līguma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pielikuma sadaļu "Izpilde" precizēt nav nepieciešams, jo  tiesību normas tiek ietvertas likumos ar likumprojektu "Grozījumi Publisko iepirkumu likumā" (22-TA-2819), "Grozījumi Sabiedrisko pakalpojumu sniedzēju iepirkumu likumā" (22-TA-3241), "Grozījumi Aizsardzības un drošības jomas iepirkumu likumā" (22-TA-3246)  un "Grozījumi Publiskās un privātās partnerības likumā" (22-TA-3247).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Standarta veidlapu un paziņojumu lauki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 pielikumu, svītrojot atsauces uz Eiropas Savienības direktīvām, bet tā vietā, līdzīgi kā noteikumu projekta 1. pielikumā,- atsaucoties uz nacionālajiem normatīvajiem aktiem, ar kuriem minēto direktīvu prasības ir pārņemtas. Vēršam uzmanību, ka Eiropas Savienības direktīvu normas netiek piemērotas tieši, bet tiek ieviestas dalībvalstu tiesību sistēmā, tās pārņemot nacionālajos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un precizēt noteikumu projektu, proti, noteikumu projekta 2. punkta otro teikumu (šis teikums ir precizējams, jo pretēji juridiskās tehnikas prasībām arī skaidro vairākos likumos lietoto jēdzienu "paziņojums") un 2. pielikumu (nepieciešamības gadījumā arī citas vienības), kurā tiek dublētas Komisijas 2022. gada 24. novembra Īstenošanas regulas (ES) 2022/2303, ar kuru groza Īstenošanas regulu (ES) 2019/1780, ar ko izveido standarta veidlapas paziņojumu publicēšanai publisko iepirkumu jomā (turpmāk - Regula Nr. 2022/2303) prasības. Apzināmies, ka, ieviešot minētās regulas prasības, varētu būt nepieciešama vairāku šo regulu normu inkorporēšana noteikumu projektā (jo īpaši gadījumos, ja regulā ietvertas atsauces uz direktīvām, tiek izmantota regulā paredzētā rīcības brīvība v.tml.). Kā atzinusi Eiropas Savienības Tiesa, gadījumos, ja regula prasa tās piemērošanai nepieciešamu nacionālā tiesību akta pieņemšanu, izņēmuma gadījumos tomēr var tikt pieļauta regulu teksta daļu inkorporēšana nacionālajos tiesību aktos. Šāds gadījums var tikt pamatots vienīgi ar indivīdu interesēm saņemt tiem adresētu saskaņotu un labi uztveramu tiesību aktu, un regulu tiešā piemērojamība nepieļauj citus izņēmumu. Tomēr attiecīgā gadījumā nepieciešams pēc iespējas izvairīties no minētās regulas pārrakstīšanas noteikumu projektā, kā arī nodrošināt, ka noteikumu projektā minētās regulas prasības netiek interpretētas, savukārt noteikumu projekta anotācijā nepieciešams sniegt atbilstošu skaidrojumu par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lūdzam noteikumu projekta anotācijas 1.3. un 5. sadaļā sniegt konkrētāku informāciju par noteikumu projekta pielikumu saturu, Regulā Nr. 2022/2303 ietverto prasību ieviešanu, no Regulas Nr. 2022/2303 izrietošās rīcības brīvības izmantošanai izvēlēto formu. u.c. informāciju, kas raksturo pielikumus, nepieciešamību tos ieviest un tajos veiktās izmaiņas, salīdzinājumā ar Regulas Nr. 2022/2303 pielikuma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Regulas pārņemšana nacionālajā normatīvajā aktā nav nepieciešama, tomēr, ņemot vērā, ka publisko iepirkumu likumos lietota atšķirīga terminoloģija nekā Regulā, kā arī, piemēram, atsevišķas Direktīvā 2014/24/ES un Regulas veidlapās paredzētās iespējas nav ieviestas, līdz ar to Regulas formu lietošana pasūtītājiem būtu apgrūtinoša.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Publisko iepirkumu likums paredz iepirkuma procedūru un sociālo un citu īpašo pakalpojumu iepirkumu izsludināšanu zem Eiropas Parlamenta un Padomes 2014.gada 26.februāra direktīvas 2014/24/ES par publisko iepirkumu un ar ko atceļ Direktīvu 2004/18/EK, paredzētajām robežvērtībām nacionālā mērogā, ir nepieciešams noteikt vienotas formas paziņojumu izsludināšanai. Līdz ar to Ministru kabineta noteikumos ietvert tikai nacionāli noteiktos kā obligātus Regulā paredzētos paziņojumu laukus radīs ļoti lielu apjukumu pasūtītajam.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arī iepriekš minēto, noteikumu pielikumi ir veidoti saturiski pēc Regulas pielikumiem (arī Regulā ir 2 tabulas – kas atbilst noteikumu 1. un 2.pielikumam), vienlaikus ņemot vērā un izslēdzot paziņojumus, kas nacionālajā regulējumā nav piemērojami vai ir noteikti papildus.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Standarta veidlapu un paziņojumu lauki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Standarta veidlapu un paziņojumu lauki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projekta 2. pielikumu un nepieciešamības gadījumā to precizēt vai sniegt izvērstu un pamatotu, skaidrojumu noteikumu projekta anotācijā. Vēršam uzmanību, ka no Komisijas 2019. gada 23. septembra Īstenošanas regulas (ES) 2019/1780 ar ko izveido standarta veidlapas paziņojumu publicēšanai publisko iepirkumu jomā un atceļ Īstenošanas regulu (ES) 2015/1986 (“e-veidlapas”) (turpmāk - Regula Nr. 2019/1780) pielikuma izriet, ka tajā noteiktie fakultatīvie lauki galalietotājiem vispār nav jāredz vai arī, gluži pretēji, valsts, reģionālā vai vietējā līmenī tie var būt noteikti par obligātiem, proti, paredzot rīcības brīvību. Skaidrojam, ka atbilstoši Regulas Nr. 2019/1780 pielikuma norādījumiem 2. tabulas lasīšanai, ar fakultatīviem laukiem saprotami tikai tie, kas atzīmēti ar “O”, savukārt lauki, kuri šifrēti ar “M”, ir obligāti aizpildāmi.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salīdzinot Regulas Nr. 2022/2303 pielikuma prasības ar noteikumu projekta 2. pielikumu, secināms, ka atsevišķos gadījumos, noteikumu projekta 2. pielikumā vairāki Regulā Nr. 2022/2303 noteiktie obligātie lauki nav norādīti kā obligāti aizpildāmi. Piem., kodam "BG-125" datu lauki noteikumu projekta pielikumā noteikti kā "Piemērojams lauks, ja attiecināms", no kā secināms, ka lauks, nav visos gadījumos obligāts, kodam "BT-13720" minētajā regulā visi lauki noteikti kā obligāti, bet noteikumu projekta pielikumā atsevišķi lauki atstāti tukši utt. Attiecīgi paužam bažas, ka noteikumu projekta 2. pielikums varētu neatbilst Regulā Nr. 2022/2303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Standarta veidlapu un paziņojumu lauki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anotācijas 5.1., 5.3. sadaļu un 5.4. sadaļas 1. tabulu, ņemot vērā, ka ar Regulas Nr. 2022/2303 1. pantu tiek veikti grozījumi Regulas Nr. 2019/1780 3. pantā, Regula Nr. 2019/1780 papildināta ar 3.a pantu un aizstāta pielikuma 2. tabula, kas anotācijas 5.4. apakšpunkta 1. tabulā, skaidrojot noteikumu projekta atbilstību Eiropas Savienības tiesību aktiem, uzreiz tiek attiecināti uz Regulu Nr. 2019/1780, lai gan ieviešanas tiesiskais pamatojums ir Regula Nr. 2022/2303, kā rezultātā nav skaidri saprotams, vai paredzēts ieviest arī Regulas Nr. 2019/1780 normas, kuras netiek grozītas. Attiecīgi lūdzam izvērtēt un, piemēram: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atsauci uz Regulu 2022/2303 pārcelt no anotācijas 5.3. sadaļas uz 5.1.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anotācijas 5.4. apakšpunkta 1. tabulā atspoguļot noteikumu projektā ieviestās Regulas Nr. 2022/2303 tiesību normas, piemēram, 1. panta 3. punktu un pielikumu (grozītās Regulas Nr. 2019/1780 pielikuma 2. tabula);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anotācijas 5.4. sadaļas 1. tabulā atsaukties uz Regulas Nr. 2022/2303 prasībām (atsauces uz korespondējošām Regulas Nr. 2019/1780 prasībām var nepieciešamības gadījumā norādīt iekavās).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(turpmāk - noteikumi Nr. 617) 9.19. apakšpunktu,</w:t>
            </w:r>
            <w:r w:rsidR="00000000" w:rsidRPr="00000000" w:rsidDel="00000000">
              <w:rPr>
                <w:b w:val="1"/>
                <w:rtl w:val="0"/>
              </w:rPr>
              <w:t xml:space="preserve"> </w:t>
            </w:r>
            <w:r w:rsidR="00000000" w:rsidRPr="00000000" w:rsidDel="00000000">
              <w:rPr>
                <w:rtl w:val="0"/>
              </w:rPr>
              <w:t xml:space="preserve">lūdzam izvērtēt un precizēt noteikumu projekta anotācijas 5.4. sadaļas 1. tabulu: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detalizētāk (panta daļu, punktu un apakšpunktu līmenī) skaidrojot Regulas Nr. 2019/1780 </w:t>
            </w:r>
            <w:r w:rsidR="00000000" w:rsidRPr="00000000" w:rsidDel="00000000">
              <w:rPr>
                <w:b w:val="1"/>
                <w:rtl w:val="0"/>
              </w:rPr>
              <w:t xml:space="preserve">1. panta un tā pielikumā ietverto prasību</w:t>
            </w:r>
            <w:r w:rsidR="00000000" w:rsidRPr="00000000" w:rsidDel="00000000">
              <w:rPr>
                <w:rtl w:val="0"/>
              </w:rPr>
              <w:t xml:space="preserve"> ieviešanu noteikumu projektā, ņemot vērā, ka vairums prasību, kas ietvertas minētajās regulas vienībās, ir tieši piemērojamas, tādēļ nepieciešams 1. tabulā konkretizēt, kādas konkrēti minētās regulas prasības nepieciešams ieviest;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b w:val="1"/>
                <w:rtl w:val="0"/>
              </w:rPr>
              <w:t xml:space="preserve"> rindas "Regulas 2019/1780 2. pants" "B" aili </w:t>
            </w:r>
            <w:r w:rsidR="00000000" w:rsidRPr="00000000" w:rsidDel="00000000">
              <w:rPr>
                <w:rtl w:val="0"/>
              </w:rPr>
              <w:t xml:space="preserve">(arī cituviet 1. tabulas "C" ailē)</w:t>
            </w:r>
            <w:r w:rsidR="00000000" w:rsidRPr="00000000" w:rsidDel="00000000">
              <w:rPr>
                <w:b w:val="1"/>
                <w:rtl w:val="0"/>
              </w:rPr>
              <w:t xml:space="preserve">, </w:t>
            </w:r>
            <w:r w:rsidR="00000000" w:rsidRPr="00000000" w:rsidDel="00000000">
              <w:rPr>
                <w:rtl w:val="0"/>
              </w:rPr>
              <w:t xml:space="preserve">ņemot vērā, ka nav skaidrs, par kādām direktīvām tiek runāts;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b w:val="1"/>
                <w:rtl w:val="0"/>
              </w:rPr>
              <w:t xml:space="preserve"> rindas "Regulas 2019/1780 pielikuma 2.tabula" "C" aili</w:t>
            </w:r>
            <w:r w:rsidR="00000000" w:rsidRPr="00000000" w:rsidDel="00000000">
              <w:rPr>
                <w:rtl w:val="0"/>
              </w:rPr>
              <w:t xml:space="preserve">, ņemot vērā, ka "C" ailē, norādot, ka prasības ir ieviestas daļēji, ir jāsniedz ne tikai vispārīga norāde par to, bet arī jāskaidro, kad un kādā veidā tiks nodrošināta attiecīgo regulas prasību ieviešana pilnībā, un jānorāda institūcija, kura ir atbildīga par šo prasību ieviešanu pilnībā (atbildīgā institūcija).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5.4. sadaļas 1. tabulā precizētas direktīvas.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pilnīga regulas prasību, kas attiecas uz noteiktiem paziņojumiem, ieviešana nevar tikt nodrošināta sakarā ar dalībvalstīm noteiktajām izvēles tiesībām attiecībā uz veicamajiem paziņojumiem (piemēram, vairāki iepriekšējie informatīvie paziņojumi).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anotācijas 5.4. sadaļas 1. tabulā ietverto aili par rīcības brīvību, kur pašreizējā redakcijā skaidrota tikai rīcības brīvība attiecībā uz veidlapu izmantošanas izvēli. Vēršam uzmanību, ka atbilstoši noteikumu projekta anotācijas 1.3. sadaļai, noteikumu projekta 2. pielikumā tiek noteikti informācijas lauki katram paziņojumu veidam, t.sk. ņemot vērā jau ar Regulu Nr. 2019/1780 noteiktos obligātos laukus, </w:t>
            </w:r>
            <w:r w:rsidR="00000000" w:rsidRPr="00000000" w:rsidDel="00000000">
              <w:rPr>
                <w:u w:val="single"/>
                <w:rtl w:val="0"/>
              </w:rPr>
              <w:t xml:space="preserve">kā arī paredzēto rīcības brīvību dalībvalstij noteikt obligātos laukus, kas nav konkrētāk skaidrots anotācijas</w:t>
            </w:r>
            <w:r w:rsidR="00000000" w:rsidRPr="00000000" w:rsidDel="00000000">
              <w:rPr>
                <w:rtl w:val="0"/>
              </w:rPr>
              <w:t xml:space="preserve"> </w:t>
            </w:r>
            <w:r w:rsidR="00000000" w:rsidRPr="00000000" w:rsidDel="00000000">
              <w:rPr>
                <w:u w:val="single"/>
                <w:rtl w:val="0"/>
              </w:rPr>
              <w:t xml:space="preserve">5.4.</w:t>
            </w:r>
            <w:r w:rsidR="00000000" w:rsidRPr="00000000" w:rsidDel="00000000">
              <w:rPr>
                <w:rtl w:val="0"/>
              </w:rPr>
              <w:t xml:space="preserve"> </w:t>
            </w:r>
            <w:r w:rsidR="00000000" w:rsidRPr="00000000" w:rsidDel="00000000">
              <w:rPr>
                <w:u w:val="single"/>
                <w:rtl w:val="0"/>
              </w:rPr>
              <w:t xml:space="preserve">sadaļas 1. tabulā</w:t>
            </w:r>
            <w:r w:rsidR="00000000" w:rsidRPr="00000000" w:rsidDel="00000000">
              <w:rPr>
                <w:rtl w:val="0"/>
              </w:rPr>
              <w:t xml:space="preserve"> kā izmantotā rīcības brīvība, bet vispārīgi tiek minēta tikai anotācijas 5.4. sadaļas 1. tabulas "D" ailē, kā paredzētās stingrākās prasības nacionālajās tiesību normās. Norādām, ka Regulā Nr. 2019/1780 noteikto fakultatīvo lauku noteikšana par obligātiem ir uzskatāma par dalībvalstij paredzētās rīcības brīvības izmantošanu, nevis kā stingrāku prasību noteikšana nacionālajās tiesību normās. Attiecīgi anotācijas 5.4. apakšpunkta 1. tabulas "D" ailē ir norādāms tikai tas, ka netiek noteiktas stingrākas prasības, bet rīcības brīvības izmantošanu skaidrojama sadaļā: "Kā ir izmantota ES tiesību aktā paredzētā rīcības brīvība dalībvalstij pārņemt vai ieviest noteiktas ES tiesību akta normas? Kādēļ?", tostarp konkrēti norādot minētās regulas normas, kas paredz rīcības brīvību, kādā veidā minētā rīcības brīvība ir vai nav izmantota noteikumu projektā, un to, kādēļ ir vai nav izmantota regulā paredzētā rīcības brīvība.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5.4. apakšpunkta 1. tabulas "D" ailes izņemta liekā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brīvība skaidrota attiecīgajā 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iepirkuma un koncesijas procedūras paziņojumu (turpmāk - paziņojumi) saturu.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atbilstoši Ministru kabineta 2009. gada 3. februāra noteikumu Nr. 108 "Normatīvo aktu projektu sagatavošanas noteikumi" (turpmāk - noteikumi Nr. 108) 100. punktam, kas noteic, ka noteikumu projekta pirmajā punktā raksta (pārraksta) likumā noteikto pilnvarojumu Ministru kabinetam, lūdzam izvērtēt un precizēt noteikumu projekta 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no noteikumu projekta izdošanas tiesiskā pamata (arī anotācijas 1.1. apakšpunktā sniegtās informācijas par noteikumu projekta izstrādes pamatojumu) izriet Ministru kabineta pilnvarojums noteikt konkrētajos likumos minēto paziņojumu saturu un sagatavošanas kārtību (piemēram, Publisko iepirkumu likuma 9. panta 22. daļa 4. punkts) un paziņojumu publicēšanas noteikumus (piemēram, Publisko iepirkumu likuma 8. panta 3. daļa 8. punkts), savukārt noteikumu projekta 1. punktā norādīts vienīgi uz pilnvarojumu noteikt šo paziņojumu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no noteikumu projekta anotācijas 1.1. apakšpunktā uzskaitītajām tiesību normām izriet konkrēti paziņojumu veidi, uz kuriem attiecināms noteikumu projekts, bet no noteikumu projekta pamatteksta tas neizriet. Attiecīgi nav viennozīmīgi skaidrs, uz kādiem iepirkumu un koncesiju procedūru paziņojumiem noteikumu projekts ir attiecināms, tādēļ atbilstoši juridiskās tehnikas prasībām nepieciešams izvērtēt noteikumu projekta saturu un iespējamību to precizēt, noteikumu projekta pamattekstā norādot konkrētos paziņojumu veidus vai paredzot atsauces uz likumu (noteikumu projekta izdošanas pamata) vienībām, kurās paredzēti konkrētie paziņojumi.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iepirkuma un koncesijas procedūras paziņojumu (turpmāk - paziņojumi) saturu, sagatavošanas kārtību un publicēšanas noteikumus.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Paziņojumu veidlapas nosaka šo noteikumu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 un to informācijas laukus nosaka šo noteikumu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 Veidlapa, kas satur nepieciešamo informāciju laukos, ir uzskatāma par paziņojumu.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izvērtēt un precizēt noteikumu projektu, proti, noteikumu projekta 2. punkta otro teikumu (šis teikums ir precizējams, jo pretēji juridiskās tehnikas prasībām arī skaidro vairākos likumos lietoto jēdzienu "paziņojums") un 2. pielikumu (nepieciešamības gadījumā arī citas vienības), kurā dublētas Komisijas 2022. gada 24. novembra Īstenošanas regulas (ES) 2022/2303, ar kuru groza Īstenošanas regulu (ES) 2019/1780, ar ko izveido standarta veidlapas paziņojumu publicēšanai publisko iepirkumu jomā, (turpmāk - Regula Nr. 2022/2303)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iesakām papildināt anotācijas 1.3. un 5. apakšpunktus, sniedzot konkrētāku informāciju par noteikumu projekta pielikumu saturu, Regulā Nr. 2022/2303 ietverto prasību ieviešanu, no Regulas Nr. 2022/2303 izrietošās rīcības brīvības izmantošanai izvēlēto formu u.c. informāciju, kas raksturo pielikumus, nepieciešamību tos ieviest un tajos veiktās izmaiņas, salīdzinājumā ar Regulas Nr. 2022/2303 pielikuma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Paziņojumu veidlapas nosaka šo noteikumu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 un to informācijas laukus nosaka šo noteikumu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Paziņojumu veidlapas nosaka šo noteikumu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 un to informācijas laukus nosaka šo noteikumu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 Veidlapa ar attiecīgu informāciju laukos uzskatāma par paziņojumu.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projekta 2. punkta otro teikumu, kur pašreizējais formulējums ir šķietami nepabeigts. Ierosinām attiecīgo redakciju pārformulēt, uzsverot, ka tieši tāda veidlapa, kas aizpildīta atbilstoši noteiktām prasībām un satur nepieciešamo informāciju ir uzskatāma par paziņojumu.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Paziņojumu veidlapas nosaka šo noteikumu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 un to informācijas laukus nosaka šo noteikumu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Standarta veidlapu un paziņojumu lauki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pārskatīt noteikumu projekta 2. pielikumu un nepieciešamības gadījumā to precizēt vai sniegt izvērstu un pamatotu, skaidrojumu noteikumu projekta anotācijā. Vēršam uzmanību, ka no Komisijas 2019. gada 23. septembra Īstenošanas regulas (ES) 2019/1780 ar ko izveido standarta veidlapas paziņojumu publicēšanai publisko iepirkumu jomā un atceļ Īstenošanas regulu (ES) 2015/1986 (“e-veidlapas”) pielikuma izriet, ka tajā noteiktie fakultatīvie lauki galalietotājiem vispār nav jāredz vai arī, gluži pretēji, valsts, reģionālā vai vietējā līmenī tie var būt noteikti par obligātiem, proti, paredzot rīcības brīvību. Skaidrojam, ka atbilstoši Regulas Nr. 2019/1780 pielikuma norādījumiem 2. tabulas lasīšanai, ar fakultatīviem laukiem saprotami tikai tie, kas atzīmēti ar “O”, savukārt lauki, kuri šifrēti ar “M”, ir obligāti aizpildāmi.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salīdzinot Regulas Nr. 2022/2303 pielikuma prasības ar noteikumu projekta 2. pielikumu, secināms, ka atsevišķos gadījumos, noteikumu projekta 2. pielikumā vairāki Regulā Nr. 2022/2303 noteiktie obligātie lauki nav norādīti kā obligāti aizpildāmi. Piem., kodam "BG-503" datu lauki noteikumu projekta pielikumā noteikti kā "Piemērojams lauks, ja attiecināms", no kā secināms, ka lauks, nav visos gadījumos obligāts, kodam "BT-13720" minētajā regulā visi lauki noteikti kā obligāti, bet noteikumu projekta pielikumā atsevišķi lauki atstāti tukši utt. Attiecīgi paužam bažas, ka noteikumu projekta 2. pielikums varētu neatbilst Regulā Nr. 2022/2303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Regulā (ES) 2019/1780 (Pielikums) ir noteikts, ka standarta veidlapās un paziņojumos tiek izmantoti obligātie un fakultatīvie lauki. Izņemot konkrētus nosacījumus, obligātie lauki iekļaujami standarta veidlapās un paziņojumos, ja laukos jānorāda kāda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Neobligātas informācijas norādīšanai standarta veidlapās un paziņojumos var tikt iekļauti fakultatīvie lauki.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2014/24/ES VIII pielikuma 3. punktā, Direktīvas 2014/25/ES IX pielikuma 3. punktā, Direktīvas 2009/81/EK VI pielikuma 3. punktā un Direktīvas 2014/23/ES IX pielikuma 2. punktā paredzētajos paziņojumu nosūtīšanas formātos un procedūrās iekļauj nosacījumus, ar kādiem obligāti aizpildāmie lauki nav piemērojami. Šajos nosacījumos ņem vērā vienīgi konkrētā paziņojuma vai procedūras kontekstu (piemēram, lauki, kas attiecas uz pamatnolīgumiem, nav obligāti, ja pamatnolīgums procedūrā nav iekļauts). Paziņojumu nosūtīšanas formātos un procedūrās arī nosaka, kuri lauki ir obligāti.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Regulas lauki nebūs attiecināmi jeb aizpildāmi ar informāciju, piemēram, par lauku BT-709 – lai gan Regula to nosaka kā obligāto lauku, tomēr informāciju tur pasūtītājs ievadīs tikai tad, ja tiks slēgta vispārīgā vienošanās, tāpēc 2.pielikumā eM -obligāts, ja attiecināms. Proti, 2.pielikumā visi Regulā paredzētie veidlapu lauki ir ietverti, papildus ir pievienota informācijas aizpildīšanas prasības, kas izriet no direktīvām, likumiem un procedūras konteksta, un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Standarta veidlapu un paziņojumu lauki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ietvertās atsauces uz Eiropas Savienības tiesību aktiem noformēt atbilstoši noteikumu Nr. 108 4. nodaļai,  atsaucē uz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EUR-Lex datu 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noteikumu projekta anotācijā vairākkārtēji nenorādīt uz to, ka ar Regulu Nr. 2022/2303 tiek veikti grozījumi Regulā Nr. 2019/1780 (piemēram, "Ar Regulu 2019/1780 un tās grozījumiem (Regulu 2022/2303) (..)"), bet tā vietā atsaukties vienīgi uz konkrēto regulu, kas paredz attiecīgo regulējumu, uz kuru norādīts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pārskatīt noteikumu projekta anotācijas 1.3. apakšpunktu, nodrošinot, ka noteikumu projekta un tā pielikumu satura un no tā izrietošo praktisko aspektu atspoguļojums ir pietiekami konkrēts, lai noteikumu projekta adresātam tas būtu pilnībā skaidrs un nepārprotams. Vēršam uzmanību, ka pašreizējā redakcijā noteikumu projekta 1. pielikums nav skaidrots, bet 2. pielikums minēts ļoti vispārīgi, nenodrošinot pietiekami konkrētu skaidrojumu par ar to saistītajiem noteikumiem, tajos veiktajām izmaiņām u.tml.. Tāpat šķietami nav papildināti skaidrojumi, kas vērsti uz risinājuma apraksta pirmajā rindkopā uzskaitīto normatīvo aktu aizstāšanu, atzīstot tos par spēku zaudējušiem projekta 4. punktā. Attiecīgi lūdzam  arī papildus skaidrot problēmu un pašreizējo situāciju, no kuras izriet attiecīgais risinājums, nodrošinot pilnīgāku tā izpratni. Analoģiski aicinām anotācijas risinājuma aprakstā nodrošināt sasaisti arī ar citām noteikumu projekta vienībām, tādā veidā konkrēti norādot no noteikumu projekta izrietošo noteikumu sasaisti ar konkrēto projekta punktu, kas, projekta adresātam, uzlabo anotācijas pārskatāmību un atvieglo uztveramību kontekstā ar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pārbaudīt vai noteikumu projekta anotācijas 1.3. apakšpunktā korekti tiek lietots skaidrojums "Eiropas Savienības Vārdnīca (kodu vērtība)", jo uzreiz nav skaidrs, kas ar konkrēto formulējumu saprotams, tāpat vienlaikus tiek lietots arī tāds formulējums kā: "kopējā publisko iepirkumu vārdnīca". Nepieciešamības gadījumā lūdzam veikt atbilstošus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 apakšpunktā lietotie formulējumi "Eiropas Savienības Vārdnīca (kodu vērtība)" un "kopējā publisko iepirkumu vārdnīca" ir tulkojumi vispārpieņemtiem ES terminiem. Skaidrojums lietots korekti.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https://op.europa.eu/en/web/eu-vocabularies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noteikumu projekta anotācijas 1.3. apakšpunktu, nodrošinot, ka noteikumu projekta un tā pielikumu satura un no tā izrietošo praktisko aspektu atspoguļojums ir pietiekami konkrēts, lai noteikumu projekta adresātam tas būtu pilnībā skaidrs un nepārprotams. Vēršam uzmanību, ka pašreizējā redakcijā noteikumu projekta 1. pielikums nav skaidrots, bet 2. pielikums minēts ļoti vispārīgi, nenodrošinot pietiekami konkrētu skaidrojumu par ar to saistītajiem noteikumiem, tajos veiktajām izmaiņām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precizēt risinājuma apraksta pirmajā rindkopā sniegto informāciju, norādot, ka noteikumu projekts, četrus uzskaitītos normatīvos aktus, tehniski aizstāj, </w:t>
            </w:r>
            <w:r w:rsidR="00000000" w:rsidRPr="00000000" w:rsidDel="00000000">
              <w:rPr>
                <w:u w:val="single"/>
                <w:rtl w:val="0"/>
              </w:rPr>
              <w:t xml:space="preserve">atzīstot tos par spēku zaudējušiem projekta 4. </w:t>
            </w:r>
            <w:r w:rsidR="00000000" w:rsidRPr="00000000" w:rsidDel="00000000">
              <w:rPr>
                <w:u w:val="single"/>
                <w:rtl w:val="0"/>
              </w:rPr>
              <w:t xml:space="preserve">punktā</w:t>
            </w:r>
            <w:r w:rsidR="00000000" w:rsidRPr="00000000" w:rsidDel="00000000">
              <w:rPr>
                <w:rtl w:val="0"/>
              </w:rPr>
              <w:t xml:space="preserve">, kā arī papildus skaidrojot arī problēmu un pašreizējo situāciju, no kuras izriet attiecīgais risinājums, nodrošinot pilnīgāku tā izpratni. Analoģiski aicinām anotācijas risinājuma aprakstā nodrošināt sasaisti arī ar citām noteikumu projekta vienībām, tādā veidā konkrēti norādot no noteikumu projekta izrietošo noteikumu sasaisti ar konkrēto projekta punktu, kas, projekta adresātam, uzlabo anotācijas pārskatāmību un atvieglo uztveramību kontekstā ar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konkretizēt noteikumu projekta anotācijas 1.3. sadaļas pirmo teikumu. No esošā formulējuma izriet ka šobrīd, paziņojumus publisko iepirkumu jomā Eiropas Savienības Oficiālajā Vēstnesī publicē, pamatojoties uz Komisijas 2015. gada 11. novembra Īstenošanas regulu (ES) 2015/1986, ar ko izveido standarta veidlapas paziņojumu publicēšanai publisko iepirkumu jomā un atceļ Īstenošanas regulu (ES) Nr.842/2011 (turpmāk - Regula Nr. 2015/1986) izveidotajām standarta veidlapām, taču nav norādīts, ka Regula Nr. 2015/1986 ir zaudējusi spēku. Attiecīgi, pamatojoties uz Regulas Nr. 2019/1780 3. pantu, tiek noteikts, ka līdz 2023. gada 25. oktobrim tiek izmantotas veidlapas, pamatojoties uz Regulu Nr. 2015/1986, bet pēc tam, pamatojoties uz Regulu Nr. 2019/1780 un tās grozījumiem - Regulu Nr. 2022/2303, tiek noteiktas jaunas standarta veidlapas (e-veidlapas) paziņojumu publicēšanai publisko iepirkumu jomā. Norādām, ka attiecīgs skaidrojuma papildinājums sniegtu pilnīgāku ieskatu šī brīža situācijā.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anotācijas 4.1. sadaļā skaidrot šajā sadaļā norādīto normatīvo aktu saistību ar noteikumu projektu (kā noteikumu projekts ietekmē anotācijas 4.1. sadaļā uzskaitītos normatīvos aktus) vai nepieciešamības gadījumā precizēt vai svītrot šajā sadaļā ietverto informāciju. Norādām, ka šobrīd minētajā sadaļā ietverta vispārīga norāde, ka 4.1. sadaļā minētajos normatīvajos aktos nepieciešami, lai pārņemtu Regulu Nr. 2019/1780, kas neizskaidro noteikumu projekta ietekmi uz šiem normatīvajiem aktiem. Līdzīgi aicinām pārskatīt arī anotācijas 4.2. sadaļu, kur skaidrota nevis tiesību akta projekta ietekme uz spēkā esošo tiesību normu sistēmu, bet vispārīgi norādīts, ka 2023. gada 15. augustā Ministru kabineta sēdē ir atbalstīti konkrēti saistītie likumprojekti.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anotācijas 4. sadaļu aizpilda, ja noteikumu projekts ietekmē spēkā esošo tiesību normu sistēmu. Tajā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aktu projektus, kuru izstrādāšanai paredzēts pilnvarojums projektā, saistīto tiesību aktu nosaukumu, pamatojumu un aprakstu, kā arī atbildīgo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citus spēkā esošos (vai jau apstiprinātos) tiesību aktus, kuros jāizdara grozījumi vai kuri jāatzīst par spēku zaudējušiem (atceltiem) saistībā ar projektu, kā arī skaidro šādu izmaiņu nepieciešamību. Ja spēkā esošā tiesību akta atzīšana par spēku zaudējušu ir paredzēta izstrādātajā tiesību akta projektā, to norāda nevis šajā apakšpunktā, bet anotācijas 1. sadaļā. Ja nepieciešamie tiesību aktu projekti jau ir izsludināti Valsts sekretāru sanāksmē, norāda attiecīgās Valsts sekretāru sanāksmes datumu, protokola numuru un paragrāfu vai, ja nepieciešamie tiesību aktu projekti jau ir pieteikti TAP portālā, norāda projekta TA (ID) numuru.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papildināt anotācijas 5.4. apakšpunkta 1. tabulas rindu "Regulas 2019/1780 pielikuma 2.tabula" un "Regulas 2019/1780 pielikuma 1.tabula" "C" ailes ar norādi uz to, ar kādiem nacionālajiem tiesību aktiem ieviestas minētās direktīvas, ņemot vērā, ka gadījumā, kad starptautisko tiesību normas tiek ieviestas daļēji, ir jāskaidro, kad un kādā veidā tiks nodrošināta attiecīgo regulas prasību ieviešana pilnībā, un jānorāda institūcija, kura ir atbildīga par šo prasību ieviešanu pilnībā (atbildīgā institūcija).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anotācijas 5.1. apakšpunktu un 5.4. apakšpunkta 1. tabulu, ņemot vērā, ka ar projektu tiek ieviestas, gan Regulas Nr. 2022/2303, gan Komisijas 2019.gada 23.septembra Īstenošanas Regula (ES) 2019/1780, ar ko izveido standarta veidlapas paziņojumu publicēšanai publisko iepirkumu jomā un atceļ Īstenošanas regulu (ES) 2015/1986 (e-veidlapas) tiesību normas (turpmāk - Regula 2019/1780). Attiecīgi lūdzam: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anotācijas 5.1. apakšpunktā saglabāt arī sākotnējo atsauci uz Regulu 2019/1780;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anotācijas 5.4. apakšpunkta 1. tabulā izveidot divas sadaļas "Regula 2022/2303" un "Regula 2019/1780". Sadaļā "Regula 2022/2303" iekļaujot informāciju par tās: 1.panta 1.punktu (grozītās Regulas 2019/1780 3.pants),1.panta 2.punktu (grozītās Regulas 2019/1780 3.a pants), 1.panta 3.punktu (grozītās Regulas 2019/1780 pielikuma  2. tabula) un 2. pantu, bet sadaļā "Regula 2019/1780" saglabājot ailes un informāciju, kas attiecināma uz konkrētās regulas tiesību normu ieviešanu. Tādā veidā nodrošinot korektu Eiropas Savienības tiesību normu ieviešanas atspoguļojumu.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papildināt anotācijas 5.4. apakšpunkta 1. tabulas sadaļu, konkretizējot Regulā Nr. 2019/1780 paredzētās rīcības brīvības, tajā noteiktos fakultatīvos laukus nacionālajā regulējumā noteikt par obligātiem, izmantošanu, ņemot vērā, ka attiecīgajā 1. tabulas sadaļā norādāms: ""Kā ir izmantota ES tiesību aktā paredzētā rīcības brīvība dalībvalstij pārņemt vai ieviest noteiktas ES tiesību akta normas? Kādēļ?", tostarp konkrēti norādot minētās regulas normas, kas paredz rīcības brīvību, kādā veidā minētā rīcības brīvība ir vai nav izmantota noteikumu projektā, un to, kādēļ ir vai nav izmantota regulā paredzētā rīcības brīvība".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noteikumu projekta izpildes nodrošināšanu un tās ietekmi uz institūcijām, ņemot vērā, ka noteikumu projekta anotācijas 1.3. sadaļā minēta nepieciešamība pēc tehniskajiem risinājumiem veidlapu praktiskai ieviešanai un pēc e-veidlapu programmatūras sistēmas izveides, kas šķietami var ietekmēt atbildīgās institūcijas darbību. Vienlaicīgi ierosinām anotācijā izvērstāk skaidrot kā tiek plānota praktiskā e-veidlapu ieviešana un ar to saistīto darbību, funkciju ieviešana u.c. svarīgu praktisko aspektu īstenošana.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23-TA-2046</w:t>
    </w:r>
    <w:r>
      <w:br/>
    </w:r>
    <w:r w:rsidR="00000000" w:rsidRPr="00000000" w:rsidDel="00000000">
      <w:rPr>
        <w:rtl w:val="0"/>
      </w:rPr>
      <w:t xml:space="preserve">16.10.2023. 17.52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23-TA-2046</w:t>
    </w:r>
    <w:r>
      <w:br/>
    </w:r>
    <w:r w:rsidR="00000000" w:rsidRPr="00000000" w:rsidDel="00000000">
      <w:rPr>
        <w:rtl w:val="0"/>
      </w:rPr>
      <w:t xml:space="preserve">16.10.2023. 17.52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Izziņa_23-TA-2046.docx</dc:title>
</cp:coreProperties>
</file>

<file path=docProps/custom.xml><?xml version="1.0" encoding="utf-8"?>
<Properties xmlns="http://schemas.openxmlformats.org/officeDocument/2006/custom-properties" xmlns:vt="http://schemas.openxmlformats.org/officeDocument/2006/docPropsVTypes"/>
</file>