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20. janvāra noteikumos Nr. 54 "Dekoratīvo augu pavairojamā materiāla atbilstības kritēriji un aprites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5.punkta 1.tabulā iekļauto informāciju par </w:t>
            </w:r>
            <w:r w:rsidR="00000000" w:rsidRPr="00000000" w:rsidDel="00000000">
              <w:rPr>
                <w:i w:val="1"/>
                <w:rtl w:val="0"/>
              </w:rPr>
              <w:t xml:space="preserve">Komisijas 2022. gada 12. decembra Īstenošanas direktīvas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r w:rsidR="00000000" w:rsidRPr="00000000" w:rsidDel="00000000">
              <w:rPr>
                <w:rtl w:val="0"/>
              </w:rPr>
              <w:t xml:space="preserve"> (turpmāk - direktīva) 3. panta 1.punkta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"norma netiek pārņemta, jo ir noteikta direktīvas spēkā stāšanās kārtība". Tomēr vēršam uzmanību uz to, ka direktīvas 3. panta 1.punkta otrais teikums paredz dalībvalsts pienākumu pieņemot pārņemšanas noteikumus, tajos ietvert atsauci uz direktīvu vai šādu atsauci pievieno to oficiālajai publikācijai.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dirketīvas norma ir pārņemta ar noteikumu projekta 1.punktu, kas papildina noteikumus ar informatīvo atsauci uz Eiropas Savienības direktīvu. Tas attiecīgi jānorāda anotācijas 5.punkta 1.tabulā.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tostarp uz terminu "Eiropas Savienība" un tā nepieteikto saīsinājumu "ES", saīsinājums "RNKO", kā arī notācijas 6.3. apakšpunktā pieteikto saīsinājums "nevalstiskās organizācijas", ņemot vērā, ka biedrības, uz kurām tiek attiecināts saīsinājums, pirmo reizi uzskaitītas anotācijas 6.1.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4.punktu, papildinot ar informāciju, vai šajā punktā minētie grozījumi Ministru kabineta 2017. gada 7. februāra noteikumos Nr. 76 "Augļu koku un ogulāju pavairošanas materiāla atbilstības kritēriju un aprites noteikumi" tiek virzīti vienlaikus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pārņemot direktīvas prasības, paredz izteikt jaunā redakcijā  Ministru kabineta 2009. gada 20. janvāra noteikumu Nr. 54 "Dekoratīvo augu pavairojamā materiāla atbilstības kritēriji un aprites kārtība"  2. pielikumu. Ņemot vērā, ka notiekumu 2.pielikumā iepriekš ir pārņemtas arī citas Eiropas Savienības dirketīvu prasības, lūdzam papildināt noteikumu projekta anotācijas 5.punktu (piemēram, sadaļu "Cita informācija") ar ziņām par to, ka minētās iepriekš pārņemtās no direktīvām izrietošās prasības netiek ietekmētas, t.i., skaidrot, vai nerodas direktīvu nepārņemšanas risks. Nepieciešamības gadījumā lūdzam papildināt anotācijas 5.punkta 1.tabulu ar informāciju par citu Eiropas Savienības direktīvu normu pārņemšanu notiekumu 2.pielikumā.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tiek projekta anotācijas 5.punkta sadaļa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Izstrādātie grozījumi paredz 2. pielikumu papildināt ar direktīvas prasībām, attiecīgi Eiropas Savienībā reglamentētiem nekarantīnas organismiem - </w:t>
            </w:r>
            <w:r w:rsidR="00000000" w:rsidRPr="00000000" w:rsidDel="00000000">
              <w:rPr>
                <w:i w:val="1"/>
                <w:rtl w:val="0"/>
              </w:rPr>
              <w:t xml:space="preserve">Pseudomonas syringae</w:t>
            </w:r>
            <w:r w:rsidR="00000000" w:rsidRPr="00000000" w:rsidDel="00000000">
              <w:rPr>
                <w:rtl w:val="0"/>
              </w:rPr>
              <w:t xml:space="preserve"> pv. </w:t>
            </w:r>
            <w:r w:rsidR="00000000" w:rsidRPr="00000000" w:rsidDel="00000000">
              <w:rPr>
                <w:i w:val="1"/>
                <w:rtl w:val="0"/>
              </w:rPr>
              <w:t xml:space="preserve">actinidiae </w:t>
            </w:r>
            <w:r w:rsidR="00000000" w:rsidRPr="00000000" w:rsidDel="00000000">
              <w:rPr>
                <w:rtl w:val="0"/>
              </w:rPr>
              <w:t xml:space="preserve">Takikawa, Serizawa, Ichikawa, Tsuyumu &amp; Goto un </w:t>
            </w:r>
            <w:r w:rsidR="00000000" w:rsidRPr="00000000" w:rsidDel="00000000">
              <w:rPr>
                <w:i w:val="1"/>
                <w:rtl w:val="0"/>
              </w:rPr>
              <w:t xml:space="preserve">Phytophthora ramorum</w:t>
            </w:r>
            <w:r w:rsidR="00000000" w:rsidRPr="00000000" w:rsidDel="00000000">
              <w:rPr>
                <w:rtl w:val="0"/>
              </w:rPr>
              <w:t xml:space="preserve"> (izolāti, kas sastopami Eiropas Savienībā) Werres, De Cock &amp; Man in 't Veld) un dekoratīvo augu sugām, kas ir šo kaitīgo organismu saimniekaugi. Citi grozījumi 2. pielikumā netiek veikti. Iepriekšs pārņemtās Eiropas Savienības direktīvas prasības netiek mainītas. Tiesību aktu portālā, izstrādājot grozījumu projektu, veikt grozījumus pielikumā var tikai to izsakot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22-TA-3262</w:t>
    </w:r>
    <w:r>
      <w:br/>
    </w:r>
    <w:r w:rsidR="00000000" w:rsidRPr="00000000" w:rsidDel="00000000">
      <w:rPr>
        <w:rtl w:val="0"/>
      </w:rPr>
      <w:t xml:space="preserve">21.02.2023. 15.24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22-TA-3262</w:t>
    </w:r>
    <w:r>
      <w:br/>
    </w:r>
    <w:r w:rsidR="00000000" w:rsidRPr="00000000" w:rsidDel="00000000">
      <w:rPr>
        <w:rtl w:val="0"/>
      </w:rPr>
      <w:t xml:space="preserve">21.02.2023. 15.24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Izziņa_22-TA-3262.docx</dc:title>
</cp:coreProperties>
</file>

<file path=docProps/custom.xml><?xml version="1.0" encoding="utf-8"?>
<Properties xmlns="http://schemas.openxmlformats.org/officeDocument/2006/custom-properties" xmlns:vt="http://schemas.openxmlformats.org/officeDocument/2006/docPropsVTypes"/>
</file>