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25-TA-2211: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Vienotās digitālās vārtejas vienreizes principa tehniskās platformas un apliecinājumu pārrobežu pieejamības nodrošināšanas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13.05.2026. 21:57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Vienotās digitālās vārtejas vienreizes principa tehniskās platformas (turpmāk – Platforma) darbības kārtību, Platformas pārzini, tā pienākumus, kompetento iestāžu pienākumus un apliecinājumu pārrobežu pieejamības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nodrošināt projekta satura atbilstību projekta 1. punktam un Ministru kabineta pilnvarojumā noteiktajam. Piemēram, atbilstoši projekta 1. punktam tas nosaka platformas darbības kārtību, nevis izmantošanas kārtību, kas nav viens un tas pats, jo "izmantošana" uzsver subjekta rīcību ar objektu, bet "darbība" – paša procesa norisi.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1. punkts, III un IV daļas nosaukums. 12. un 14. punkts pārvietots uz IV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Vienotās digitālās vārtejas vienreizes principa tehniskās platformas (turpmāk – Platforma) darbības un izmantošanas kārtību, Platformas pārzini, tā pienākumus, kompetento iestāžu pienākumus un apliecinājumu pārrobežu pieejamības nodrošināšanas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"Informatīva atsauce uz Eiropas Savienības normatīvajiem aktiem" sadaļu, jo informatīvās atsauces liek tikai uz direktīvām regulām, kas groza direktīvas. Vēršam uzmanību, ka nedz </w:t>
            </w:r>
            <w:r w:rsidR="00000000" w:rsidRPr="00000000" w:rsidDel="00000000">
              <w:rPr>
                <w:i w:val="1"/>
                <w:rtl w:val="0"/>
              </w:rPr>
              <w:t xml:space="preserve">Eiropas Parlamenta un Padomes 2018. gada 2. oktobra regulas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nedz </w:t>
            </w:r>
            <w:r w:rsidR="00000000" w:rsidRPr="00000000" w:rsidDel="00000000">
              <w:rPr>
                <w:i w:val="1"/>
                <w:rtl w:val="0"/>
              </w:rPr>
              <w:t xml:space="preserve">Eiropas Komisijas 2022. gada 5. augusta īstenošanas regulas (ES) 2022/1463, ar ko nosaka tehniskās un darbības specifikācijas tehniskajai platformai apliecinājumu automatizētai pārrobežu apmaiņai un vienreizējas iesniegšanas principa piemērošanai saskaņā ar Eiropas Parlamenta un Padomes Regulu (ES) 2018/1724</w:t>
            </w:r>
            <w:r w:rsidR="00000000" w:rsidRPr="00000000" w:rsidDel="00000000">
              <w:rPr>
                <w:rtl w:val="0"/>
              </w:rPr>
              <w:t xml:space="preserve"> neatbilst MK noteikumu Nr.108 162. punkta 2. un 3. apakšpunkta tvērumā, jo tās negroza Direktīvas.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atsauce ir izņemta no noteikumu projekta un tika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iekļauta informācija par to, ka no projekta neizriet iestāžu pienākums veikt papildu daru apstrādi un uzturēšanu. Norādāms, ka 30.04.2026. notika sanāksme par Vienotās digitālās vārtejas vienreizes principa tehniskās platformas darbību, kurā piedalījās  Viedās administrācijas un reģionālās attīstības ministrija (turpmāk – VARAM), Valsts digitālās attīstības aģentūras un Uzņēmumu reģistra pārstāvji. Pēc minētās sanāksmes Uzņēmumu reģistrā tika saņemta VARAM 06.05.2026. vēstule Nr. P-1-13-1/2121, kurā VARAM norādīja apņemšanos papildināt projekta anotāciju ar informāciju šādā redakcijā “Nodrošinot datus platformas vajadzībām, iestādēm nav pienākuma veikt papildus datu apstrādi, attiecīgo datu uzturēšanu to pamatfunkciju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saņemtajā anotācijā minētā informācija nav atrodama, līdz ar to lūdzam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 "Nodrošinot datus platformas vajadzībām, iestādēm nav pienākuma veikt papildus datu apstrādi, attiecīgo datu uzturēšanu to pamatfunkciju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Fizisko personu reģistra likuma 24. pantu, lūdzam precizēt anotācijā informāciju par to, vai par apliecinājumu saņemšanu tiks piemērota maksa gadījumos, kad tos pieprasīs komersanti vai fiziskas personas, kā arī, ja maksa ir paredzēta, norādīt tās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apliecinājumu izsniegšanas apmaksas kārtību. Ja iestāde pieprasīja apmaksu par apliecinājuma izsniegšanu, pirms Platformas izmantošanas, tad iestādei ir tiesības turpināt šādu praksi arī izmantojot Platformu.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Fizisko personu reģistra likuma 24. pantu, lūdzam precizēt anotācijā informāciju par to, vai par apliecinājumu saņemšanu tiks piemērota maksa gadījumos, kad tos pieprasīs komersanti vai fiziskas personas, kā arī, ja maksa ir paredzēta, norādīt tās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apliecinājumu izsniegšanas apmaksas kārtību. Ja iestāde pieprasīja apmaksu par apliecinājuma izsniegšanu, pirms Platformas izmantošanas, tad iestādei ir tiesības turpināt šādu praksi arī izmantojot Platformu.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iekļautais teksts nonāk pretrunā ar 7.3. sadaļā veikto aprēķinu, līdz ar to aicinām to dzēst.Tā vietā aicinām īsi aprakstīt tiesību akta ietekmi uz norādītajām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izdzēsts. Pievienots īss apraksts par tiesību akta ietekmi uz norādītam mērķa grupām.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par mērķa grupām, dzēšot atsauci uz NVO un valsts uzņēmumiem, kas pilda valsts deleģētās funkcijas, jo par šīm mērķa grupām informācija atspoguļojama 2.anotācijas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dzēsta,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 jo par NVO un valsts uzņēmumiem (kas pilda valsts deleģētās funkcijas) administratīvo izmaksu aprēķins veikts jau 2.2. sadaļā. Šajā sadaļā aprēķins veicams par valsts un pašvaldību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21.04.2026. 08:39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Kompetentā iestāde, kas izsniedz apliecinājumus, izmantojot Valsts informācijas resursu, sistēmu un sadarbspējas informācijas sistēmā pieejamo funkcionalitāti, noslēdz vienošanos ar Pārzini katram apliecinājuma veidam par tā nodošanu Platformas darbības nodrošināšanai ar mērķi izsniegt apliecinājumu citu ES valstu kompetentām iestādēm, kas pieprasa apliecinājumus;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apakšpunkts paredz, ka kompetentā iestāde, kas izsniedz apliecinājumus, noslēdz vienošanos ar Pārzini par apliecinājumu nodošanu Platformas darbības nodrošināšanai. Papildus noteikumu projekta 12. un 13. punkts nosaka, ka datu izplatīšana notiek, izmantojot Datu izplatīšanas un pārvaldības platformu (turpmāk – DAGR). Šāds regulējums faktiski nosaka vienīgo obligāto datu apmaiņas ceļu – "caur" DAGR, tādējādi neatzīstot citus ES līmenī apstiprinātus un jau izmantotus alternatīvos tehniskos risinājumus. VAS "Ceļu satiksmes drošības direkcija" (turpmāk - CSDD) saskaņā ar Eiropas Savienības un Latvijas normatīvajiem aktiem pārrobežu datu apmaiņai izmanto EUCARIS sistēmu, pamatojoties uz likumu “Par Līgumu par Eiropas transportlīdzekļu un vadītāja apliecību informācijas sistēmu (EUCARIS)”. CSDD ir ieguldījusi ievērojamus finanšu, tehniskos un administratīvos resursus, lai nodrošinātu EUCARIS sistēmas ieviešanu, attīstību un integrāciju gan CSDD, gan Valsts policijas un Valsts ieņēmumu dienesta vajadzībām. Minētā sistēma jau šobrīd nodrošina efektīvu un drošu transportlīdzekļu un vadītāju datu apmaiņu starp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5.3. apakšpunktu (vai Noteikumu projekta redakciju citā punktā) ar norādi, ka vienošanās ar Pārzini var paredzēt alternatīvu tehnisko risinājumu izmantošanu, ja tie nodrošina atbilstību Regulā 2022/1463 noteiktajām prasībām un ir apstiprināti Eiropas Komisijas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21.4. punktu, kas paredz izņēmuma gadījumus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21.4. Ja Vienotās digitālās vārtejas regulas 29. pantā norādītās darba grupas ietvaros tiek panākta vienošanās par nozarei specifiskās Eiropas Savienības līmeņa sistēmas izmantošanu sadarbspējas nodrošināšanai ar Vienotās digitālās vārtejas regulas 14. pantā aprakstīto sistēmu, tad kompetentai iestādei, kas izsniedz apliecinājumus, ir tiesības neizmantot Platformu un neizmantot Datu izplatīšanas un pārvaldības platformu, ja tiek izmantota nozares specifiskā Eiropas Savienības līmeņa sistēma un tiek nodrošināta 21.2. punkta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vienošanās par EUCARIS un EMREX izmantošanu tika panākta 57. koordinatoru darba grupas sanāksmē, kas norisinājās 2025. gada 24.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Kompetentā iestāde, kas izsniedz apliecinājumus, izmantojot Valsts informācijas resursu, sistēmu un sadarbspējas informācijas sistēmā pieejamo funkcionalitāti, noslēdz vienošanos ar Pārzini katram apliecinājuma veidam par tā nodošanu Platformas darbības nodrošināšanai ar mērķi izsniegt apliecinājumu citu ES valstu kompetentām iestādēm, kas pieprasa apliecinājumus;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Izmantojot starpniekplatformu, kompetentā iestāde, kas izsniedz apliecinājumus izplata savā pārziņā esošos datus, kas tiek iegūti no Datu izplatīšanas un pārvaldības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nosaka, ka datu izplatīšana notiek, izmantojot DAGR. Šāds regulējums faktiski paredz vienīgo obligāto datu apmaiņas ceļu – "caur" DAGR un neparedz citus ES līmenī apstiprinātos alternatīvos tehniskos risinājumus. Lūdzam papildināt Noteikumu projekta 12. punkta regulējumu, kas atļauj kompetentajām iestādēm, kuras jau izmanto ES līmenī apstiprinātu pārrobežu datu apmaiņas risinājumu (t.sk. EUCARIS–OOTS bridge), izmantot to kā alternatīvu DAGR.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21.4. punktu, kas paredz izņēmuma gadījumus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21.4. Ja Vienotās digitālās vārtejas regulas 29. pantā norādītās darba grupas ietvaros tiek panākta vienošanās par nozarei specifiskās ES līmeņa sistēmas izmantošanu sadarbspējas nodrošināšanai ar Vienotās digitālās vārtejas regulas 14. pantā aprakstīto sistēmu, tad kompetentai iestādei, kas izsniedz apliecinājumus, ir tiesības neizmantot Platformu un neizmantot Datu izplatīšanas un pārvaldības platformu, ja tiek izmantota nozares specifiskā ES līmeņa sistēma un tiek nodrošināta 21.2. punkta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vienošanās par EUCARIS un EMREX izmantošanu tika panākta 57. koordinatoru darba grupas sanāksmē, kas norisinājās 2025. gada 24.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Izmantojot starpniekplatformu, kompetentā iestāde, kas izsniedz apliecinājumus izplata savā pārziņā esošos datus, kas tiek iegūti no Datu izplatīšanas un pārvaldības platformas.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Pārzinis var pārtraukt kompetentām iestādēm apliecinājumu saņemšanu vai apliecinājumu izsniegšanu Platformā, ja tiek konstatēts Platformas darbības apdraudējums vai datu noplūdes risks, un atbilstoši lietošanas rokasgrāmatā noteiktajai kārtībai par to informē kompetento iestādi, kas izsniedz apliecinājumus vai kompetento iestādi, kas pieprasa apliecinājumus, norādot pamatotu pārtraukšanas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16.punktu atbilstoši Ministru kabineta 2009. gada 3. februāra noteikumu Nr. 108 "Normatīvo aktu projektu sagatavošanas noteikumi" (turpmāk - noteikumi Nr.108) 131. punktam, t.i., ievērojot, ka projekta tekstā, ja nepieciešams, raksta atsauces uz citām projekta vienībām (iekšējās atsauces) vai atsauces uz citiem tāda paša vai augstāka juridiska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normatīvajā aktā var ietvert uzdevumu iestādei izstrādāt  iekšēju normatīvo aktu (tai skaitā vadlīnijas, rokasgrāmatas u.tml.), piemēram, lai nodrošinātu normatīvo aktu vienveidīgu piemērošanu, regulētu kādas procedūras u.tml. Vienlaikus jāņem vērā, ka iekšējais normatīvais akts ir saistošs tikai tam publisko tiesību subjektam, kas šo aktu izdevis, kā arī šim publisko tiesību subjektam padotajām institūcijām. Privātpersonām iekšējais normatīvais akts nav saistošs (skaidrojumu, sk., piemēram, Normatīvo aktu izstrādes rokasgrāmata, 9.lp., pieejams: https://lvportals.lv/wwwraksti/TEMAS/FAILI/NORMATIVO_AKTU_PROJEKTU_IZSTRADES_ROKASGRAMATA.PDF)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 projekta redakcijas saprotams, ka Valsts digitālās attīstības aģentūras ziņošanas kārtība ir tās iekšējā procedūra un to nav nepieciešams noteikt projektā. Attiecīgi lūdzam izvērtēt un precizēt projektu, piemēram, svītrojot regulējumu par ziņošanu atbilstoši lietošanas rokasgrāmatā noteiktajai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punkts tika dzēsts un 16. punkts tika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“Pārzinis var pārtraukt kompetentām iestādēm apliecinājumu saņemšanu vai apliecinājumu izsniegšanu Platformā, ja tiek konstatēts Platformas darbības apdraudējums vai datu noplūdes risks, informējot par to kompetento iestādi, kas izsniedz apliecinājumus vai kompetento iestādi, kas pieprasa apliecinājumus, norādot pamatotu pārtraukšanas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tika papildināta anotācija šādā redakcijā: </w:t>
            </w:r>
            <w:r w:rsidR="00000000" w:rsidRPr="00000000" w:rsidDel="00000000">
              <w:rPr>
                <w:i w:val="1"/>
                <w:rtl w:val="0"/>
              </w:rPr>
              <w:t xml:space="preserve">“Pārzinis izstrādā, publicē un aktualizē platformas lietošanas rokasgrāmatu, kurā sniedz platformas lietotājam informāciju kā veikt platformā paredzētās funkcijas. Pārzinis informē kompetento iestādi, kas izsniedz apliecinājumus vai kompetento iestādi, kas pieprasa apliecinājumus par Ministru kabineta noteikumu projekta 16. punktā iekļauto Platformas darbības apdraudējumu vai datu noplūdes risku atbilstoši Platformas lietošanas rokasgrāmatā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Pārzinis var pārtraukt kompetentām iestādēm apliecinājumu saņemšanu vai apliecinājumu izsniegšanu Platformā, ja tiek konstatēts Platformas darbības apdraudējums vai datu noplūdes risks, informējot par to kompetento iestādi, kas izsniedz apliecinājumus vai kompetento iestādi, kas pieprasa apliecinājumus, norādot pamatotu pārtraukšanas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saskaņā ar Eiropas Savienības un Latvijas normatīvajiem aktiem pārrobežu datu apmaiņai izmanto EUCARIS sistēmu, pamatojoties uz likumu “Par Līgumu par Eiropas transportlīdzekļu un vadītāja apliecību informācijas sistēmu (EUCARIS)”. CSDD ir ieguldījusi ievērojamus finanšu, tehniskos un administratīvos resursus, lai nodrošinātu EUCARIS sistēmas ieviešanu, attīstību un integrāciju gan CSDD, gan Valsts policijas un Valsts ieņēmumu dienesta vajadzībām. Minētā sistēma jau šobrīd nodrošina efektīvu un drošu transportlīdzekļu un vadītāju datu apmaiņu starp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Komisija un EUCARIS ir apstiprinājušas savienojuma izveidi jeb EUCARIS–OOTS bridge risinājumu, lai nodrošinātu EUCARIS sistēmas sasaisti ar Once-Only Technical System (OOTS) (https://ec.europa.eu/digital-building-blocks/sites/spaces/OOTS/pages/647954495/The+Once-Only+Technical+System+connected+to+EUCARIS).  Noteikumu projekta anotācijas 1.3. sadaļā kā alternatīvie risinājumi tika izvērtētas EUCARIS, EMREX, BRIS, OSS, IMI un citas sistēmas, un tās tika noraidītas, pamatojoties uz tvēruma ierobežojumiem. Tomēr šis novērtējums ir nepilnīgs, jo tajā nav ņemts vērā Eiropas Komisijas apstiprinātais EUCARIS–OOTS bridge risinājums, kas tehniski nodrošina EUCARIS sistēmas savienojumu ar Once-Only Technical System (OOTS)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risinājumu, kā arī papildināt noteikumu projekta anotāciju ar informāciju par citiem ES līmenī apstiprinātiem alternatīviem tehniskajiem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“Iestādēm ir tiesības izmantot citas ES līmeņa sistēmas, neizmantojot Platformu, ja:</w:t>
            </w:r>
            <w:r w:rsidR="00000000" w:rsidRPr="00000000" w:rsidDel="00000000">
              <w:rPr>
                <w:i w:val="1"/>
                <w:rtl w:val="0"/>
              </w:rPr>
              <w:t xml:space="preserve">1) Ja Vienotās digitālās vārtejas regulas 29. pantā norādītās darba grupas ietvaros (Latviju pārstāv VARAM) tiek panākta vienošanās par nozarei specifiskās ES līmeņa sistēmas (piemēram, EUCARIS, EMREX) izmantošanu sadarbspējas nodrošināšanai ar Vienotās digitālās vārtejas regulas 14. pantā aprakstīto sistēmu, tad kompetentai iestādei, kas izsniedz apliecinājumus, ir tiesības neizmantot Platformu un Datu izplatīšanas un pārvaldības platformu, ja tiek izmantota nozares specifiskā ES līmeņa sistēma un tiek nodrošināta 21.2. punkta izpilde.</w:t>
            </w:r>
            <w:r w:rsidR="00000000" w:rsidRPr="00000000" w:rsidDel="00000000">
              <w:rPr>
                <w:i w:val="1"/>
                <w:rtl w:val="0"/>
              </w:rPr>
              <w:t xml:space="preserve">2) tiek izpildītas noteikumu projekta 22. punktā norādītās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Vienotās digitālās vārtejas vienreizes principa tehniskās platformas (turpmāk – Platforma) darbības kārtību, Platformas pārzini, tā pienākumus, kompetento iestāžu pienākumus un apliecinājumu pārrobežu pieejamības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Nr.108 100. punktam, kas noteic, ka projekta pirmajā punktā raksta (pārraksta) likumā noteikto pilnvarojumu Ministru kabinetam (</w:t>
            </w:r>
            <w:r w:rsidR="00000000" w:rsidRPr="00000000" w:rsidDel="00000000">
              <w:rPr>
                <w:i w:val="1"/>
                <w:rtl w:val="0"/>
              </w:rPr>
              <w:t xml:space="preserve">Ministru kabinets nosaka valsts platformas pārzini, tā pienākumus un atbildību, kā arī funkcijas un uzdevumus, kuru izpildei nepieciešama valsts platformas izmantošana, valsts platformas darbības, finansēšanas un izmantošanas kārtību [..]</w:t>
            </w:r>
            <w:r w:rsidR="00000000" w:rsidRPr="00000000" w:rsidDel="00000000">
              <w:rPr>
                <w:rtl w:val="0"/>
              </w:rPr>
              <w:t xml:space="preserve">), lūdzam precizēt projekta 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punkts, III un IV daļas nosaukums. 12. un 14. punkts pārvietots uz IV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Vienotās digitālās vārtejas vienreizes principa tehniskās platformas (turpmāk – Platforma) darbības un izmantošanas kārtību, Platformas pārzini, tā pienākumus, kompetento iestāžu pienākumus un apliecinājumu pārrobežu pieejamības nodrošināšanas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 ir valsts platforma, kas nodrošina iespēju Latvijas kompetentām iestādēm pieprasīt datus no citām ES valstu iestādēm un izsniegt datus citām ES valstu iestādēm Vienotās digitālās vārtejas regulas tvēruma pakalpojumu sniegšanas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“nodrošina iespēju pieprasīt datus” ir pārāk vispārīgs un neidentificē Platformas konkrēto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noteikumu projektā lietots jēdziens “apliecinājumi”, bet 2. punktā – “dati”, tas rada neskaidrību, vai Platforma ir OOTS mehānisms, vai vispārēja datu apmaiņas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terminoloģijas konsekvenci un skaidri noteikt Platformas funkciju – apliecinājumu pārrobežu apmaiņa, lai  novērstu interpretāciju, ka Platforma paredzēta vispārējai datu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nodrošina apliecinājumu pieprasījumu un atbilžu pārrobežu apmaiņu starp Latvijas kompetentajām iestādēm un citu Eiropas Savienības dalībvalstu kompetentajām iestādēm Vienotās digitālās vārtejas regulas tvēruma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precizēts šādā redakcijā: “2. Platforma ir valsts platforma, kas nodrošina Latvijas kompetentām iestādēm apliecinājumu pieprasīšanu no citām ES valstu iestādēm un apliecinājumu izsniegšanu citām ES valstu iestādēm Vienotās digitālās vārtejas regulas tvēruma pakalpojumu sniegšanas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 ir valsts platforma, kas nodrošina kompetentām iestādēm apliecinājumu pieprasīšanu no citām Eiropas Savienības valstu iestādēm un apliecinājumu izsniegšanu citām Eiropas Savienības valstu iestādēm Vienotās digitālās vārtejas regulas tvēruma pakalpojumu sniegšanas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 ir valsts platforma, kas nodrošina iespēju Latvijas kompetentām iestādēm pieprasīt datus no citām ES valstu iestādēm un izsniegt datus citām ES valstu iestādēm Vienotās digitālās vārtejas regulas tvēruma pakalpojumu sniegšanas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Piemēram, saīsinājums "ES" vai "pārzinis", kas tiek lietots jau projekta 5.3. apakšpunktā, bet to skaidro tikai 19. punktā, cita starpā, vienlaicīgi lietojot arī terminu "platformas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vienotu formātu saīsinājumu pieteikšanai un vienai lietai konsekventi pieteikt un lietot vienu saīsinājumu, piemēram, pastāv "Vienotās digitālās vārtejas regula", "Regula 2022/1463/EK", "Regula 2022/1463") vai "citas ES valstu kompetentās iestādes" un "citas ES valstu iestādes"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redakcionālie labojumi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 ir valsts platforma, kas nodrošina kompetentām iestādēm apliecinājumu pieprasīšanu no citām Eiropas Savienības valstu iestādēm un apliecinājumu izsniegšanu citām Eiropas Savienības valstu iestādēm Vienotās digitālās vārtejas regulas tvēruma pakalpojumu sniegšanas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Platformas funkcija ir nodrošināt apliecinājumu apmaiņu atbilstoši Regulas 2018/1724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ka platformas funkcija ir nodrošināt apliecinājumu apmaiņu atbilstoši Regulas 2018/1724 prasībām. Vienlaikus anotācijā sniegts skaidrojums, ka platforma nodrošinās efektīvu un drošu pārrobežu informācijas apmaiņu starp valsts iestādēm un citām iesaistītajām pusēm (skat. 1. pielikumā). Šī platforma harmonizēs un standartizēs datu apmaiņas procesus, ļaujot automatizēt apliecinājumu izveidi, pārskatīšanu un nodošanu digitālā formātā, tādējādi ievērojami samazinot manuālu darbību un administratīvo slogu. Izmantojot kopīgas tehniskās prasības un saskarnes, risinājums veicinās savietojamību starp dažādu valstu informācijas sistēmām un nodrošinās vienotu pieeju datu apstrādei, ievērojot Eiropas Savienības normatīvos aktus un datu aizsardzības principus. Platformai tika veikts novērtējums par ietekmi uz datu aizsardzību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informācijas, kā arī citām noteikumu projekta normām, nav iespējams viennozīmīgi secināt platformā īstenotās apstrādes ietekmi uz fiziskas personas datu aizsardzību. Proti, nav skaidrs, kādiem nolūkiem un kādā apmērā fizisko personu dati tiks apstrādāti un cik ilgi tie tiks glabāti. Līdz ar to, lūdzam papildināt noteikumu projektu ar attiecīgu regulējumu, kā arī anotācijas 8.1.13. apakšpunktā sniegt skaidrojumu par noteikumu projekta ietekmi uz personas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personas dati tiek apstrādāti tikai Ministru kabineta noteikumu projekta 20.7. punktā noteiktiem identifikācijas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tiesību normas, kas jau ir iekļautas esošajā normatīvajā regulējumā personas datu apstrādes pienākumi netika noteikti Ministru kabineta noteikumu projektā, jo tie ir noteikti Regulā 2022/1463.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tika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“Personas dati Platformā tiek apstrādāti tikai Ministru kabineta noteikumu projekta 20.7. punktā noteiktiem identifikācijas nolūkiem. Attiecībā uz apliecinājumos iekļautiem personas datiem, to apstrāde norisinās ārpus Platformas atbilstoši Regulas 2022/1463 33. pantam. Uz kompetentām iestādēm, kas pieprasa apliecinājumus ir attiecināmi datu pārziņa pienākumi atbilstoši Regulas 2022/1463 34. pantam, bet  uz kompetentām iestādēm, kas izsniedz apliecinājumus ir attiecināmi datu pārziņa pienākumi atbilstoši Regulas 2022/1463 35.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Platformas funkcija ir nodrošināt apliecinājumu apmaiņu atbilstoši Regulas 2018/1724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Platformas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projekta satura atbilstību projekta 1. punktam un Ministru kabineta pilnvarojumā noteiktajam. Piemēram, atbilstoši projekta 1. punktam, tas nosaka platformas </w:t>
            </w:r>
            <w:r w:rsidR="00000000" w:rsidRPr="00000000" w:rsidDel="00000000">
              <w:rPr>
                <w:u w:val="single"/>
                <w:rtl w:val="0"/>
              </w:rPr>
              <w:t xml:space="preserve">darbības kārtību</w:t>
            </w:r>
            <w:r w:rsidR="00000000" w:rsidRPr="00000000" w:rsidDel="00000000">
              <w:rPr>
                <w:rtl w:val="0"/>
              </w:rPr>
              <w:t xml:space="preserve">, nevis</w:t>
            </w:r>
            <w:r w:rsidR="00000000" w:rsidRPr="00000000" w:rsidDel="00000000">
              <w:rPr>
                <w:u w:val="single"/>
                <w:rtl w:val="0"/>
              </w:rPr>
              <w:t xml:space="preserve"> izmantošanas kārtību</w:t>
            </w:r>
            <w:r w:rsidR="00000000" w:rsidRPr="00000000" w:rsidDel="00000000">
              <w:rPr>
                <w:rtl w:val="0"/>
              </w:rPr>
              <w:t xml:space="preserve">, kas nav viens un tas pats, jo "izmantošana" uzsver subjekta rīcību ar objektu, bet "darbība" – paša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projektu vai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1. punkts, III un IV daļas nosaukums. 12. un 14. punkts pārvietots uz IV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Platformas darbības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procedūru portāls.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punktā Platforma ietver arī “procedūru portālu” , bet tālāk 11. punktā procedūru portālam uzlikti pienākumi . Ja procedūru portāls ir kompetentās iestādes portāls, nevis Platformas sastāvdaļa, to nevajag likt Platformas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procedūru portāls ir Platformas sastāvdaļa vai ar Platformu integrēta kompetentās iestādes informācijas sistēma. Ja tas ir kompetentās iestādes portāls, 7.5. apakšpunkts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procedūru portāls nav kompetentās iestādes informācijas sistēma un procedūru portālam nevar tikt uzlikti pienākumi (pienākumi var tikt un arī tiek uzlikti kompetentām iestādēm (piemēram, MK noteikumu projekta 23.2. punktā), kas pārvalda procedūru portālus), līdz ar to 7.5. apakšpunkts nav svītrojams.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procedūru portāls.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savienojumu ar citu valstu e-piegādes piekļuves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8.1. apakšpunkta daļu "citu valstu", jo atbilstoši citām projekta vienībām izriet attiecināmība tikai uz "citām </w:t>
            </w:r>
            <w:r w:rsidR="00000000" w:rsidRPr="00000000" w:rsidDel="00000000">
              <w:rPr>
                <w:u w:val="single"/>
                <w:rtl w:val="0"/>
              </w:rPr>
              <w:t xml:space="preserve">ES</w:t>
            </w:r>
            <w:r w:rsidR="00000000" w:rsidRPr="00000000" w:rsidDel="00000000">
              <w:rPr>
                <w:rtl w:val="0"/>
              </w:rPr>
              <w:t xml:space="preserve"> valstīm".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punkts precizēts šādā redakcijā: “8.1. savienojumu ar citu Eiropas Savienības valstu e-piegādes piekļuves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savienojumu ar citu Eiropas Savienības valstu e-piegādes piekļuves punktiem;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portālam ir jānodrošina: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 punktu analoģiski, piemēram, 9.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Procedūru portāls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 precizēts šādā reakcijā: “11. Procedūru portāls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portāls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Izmantojot starpniekplatformu, kompetentā iestāde, kas izsniedz apliecinājumus izplata savā pārziņā esošos datus, kas tiek iegūti no Datu izplatīšanas un pārvaldības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un 13. punkts daļēji dublējas nosakot datu pieejamības nodrošināšanu, izmantojot starpniekplatformu. Piedāvājam lakoniskāku versiju, kas tos apvieno vienā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kas izsniedz apliecinājumus, izmantojot starpniekplatformu, nodrošina tās pārziņā esošo datu pieejamību apliecinājumu izsniegšanai atbilstoši šo noteikumu 5.3. apakšpunktā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nepieciešams skaidri norādīt datu izplatīšanas kanālu (Datu izplatīšanas un pārvaldības platformu), kas tiks izmantots kompetentai iestādei izsniedzot apliecinājumus. Papildus normatīvajā regulējumā ir skaidri jānodala datu izplatīšanas mērķis. Līdz ar to, piedāvātā redakcija nav ņemta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Izmantojot starpniekplatformu, kompetentā iestāde, kas izsniedz apliecinājumus izplata savā pārziņā esošos datus, kas tiek iegūti no Datu izplatīšanas un pārvaldības platformas.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Starpniekplatforma nodrošina kompetentās iestādes, kas izsniedz apliecinājumus pārziņā esošo datu izvietošanu izplatīšanai atbilstoši 5.3. punktā noteiktam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punktu var svītrot kā dublējošu, ja tiek ņemts vērā AM priekšlikums par 12. un 13. punktu apvienošanu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nepieciešams skaidri norādīt datu izplatīšanas kanālu (Datu izplatīšanas un pārvaldības platformu), kas tiks izmantots kompetentai iestādei izsniedzot apliecinājumus. Papildus normatīvajā regulējumā ir skaidri jānodala datu izplatīšanas mērķis. Līdz ar to, piedāvātā redakcija nav ņemta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Starpniekplatforma nodrošina kompetentās iestādes, kas izsniedz apliecinājumus pārziņā esošo datu izvietošanu izplatīšanai atbilstoši šo noteikumu 5.3. punkta mērķim.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Pārzinis izstrādā un aktualizē platformas lietošanas rokasgrāmatu, kurā sniedz platformas lietotājam informāciju kā veikt platformā paredzētās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struktūru, piemēram, vai tā 15. punkts ietverts atbilstošā projekta sadaļā. Vēršam uzmanību, ka no 15. punkta būtības izriet pienākums Valsts digitālās attīstības aģentūrai, kas atbilst projekta V. nodaļai un tā 20. punktam. Attiecīgi, lūdzam izvērtēt iespēju minēto vienību ietvert 20. punkta apakšvienībās.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vēršam uzmanību arī uz projekta 17. punktu vai 6.3. apakšpunktu kontekstā ar VI. nodaļu un tā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izvērtēt, vai papildus rokasgrāmatas izstrādei un aktualizēšanai nav nepieciešams noteikt tās publiskas pieejamības nodrošināšanu, līdzīgi projekta 20.12. apakšpunktā noteiktajam pienākumam publicēt saiti uz Komisijas 2022. gada 5. augusta Īstenošanas regulas (ES) 2022/1463, ar ko nosaka tehniskās un darbības specifikācijas tehniskajai sistēmai apliecinājumu automatizētai pārrobežu apmaiņai un vienreizējas iesniegšanas principa piemērošanai saskaņā ar Eiropas Parlamenta un Padomes Regulu (ES) 2018/1724 (turpmāk - regula 2022/1463) 4. pantā aprakstīto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punkts tika izņemts. Skaidrojam, ka 20.12. apakšpunkts nosaka pienākumu Platformas pārzinim (VDAA) publicēt šo saiti uz 2022/1463 regulas 4. pantā aprakstīto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kompetentās iestādes, kas izsniedz apliecinājumus informācijas sistēmā paredzēts veikt izmaiņas, kas ietekmē datu apriti, izmantojot Datu izplatīšanas un pārvaldības platformu, attiecīgā kompetentā iestāde informē pārzini, ja izmaiņas ietekmē apliecinājumu izsniegšanu Platformā par plānotajām izmaiņām vismaz mēnesi pirms to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vienkāršot smagnējo teikuma konstrukciju, novērst vārda “ietekmē” atkārtojumu un skaidrāk noteikt pienākuma adresātu, termiņu un informēšanas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kas izsniedz apliecinājumus, vismaz mēnesi pirms tādu izmaiņu ieviešanas tās informācijas sistēmā, kuras ietekmē apliecinājumu izsniegšanu Platformā, informē par to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18. punkts precizēts atbilstoši piedāvātai redakcijai – “Kompetentā iestāde, kas izsniedz apliecinājumus, vismaz mēnesi pirms tādu izmaiņu ieviešanas tās informācijas sistēmā, kuras ietekmē apliecinājumu izsniegšanu Platformā, informē par to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iestāde, kas izsniedz apliecinājumus, vismaz mēnesi pirms tādu izmaiņu ieviešanas tās informācijas sistēmā, kas ietekmē apliecinājumu izsniegšanu Platformā, informē par to Pārzini.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Platformas darbības daļēju pārtraukšanu vai ierobežošanu, ja tiek konstatēts Platformas darbības apdraudējums vai apliecinājumu kvalitātes riski, par to informējot kompetento iestādi, kas izsniedz apliecinājumu vai kompetento iestādi, kas pieprasa apliecinājumu, norādot Platformas darbības pārtraukšanas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20.10. apakšpunktu kontekstā ar tā 16. punktu un to, vai tie savstarpēji nepārklājas, nedublē viens otru. Vienlaikus lūdzam izvērtēt, vai abi punkti ir savstarpēji atbilstīgi, ņemot vērā, ka 16. punktā noteikts, ka "</w:t>
            </w:r>
            <w:r w:rsidR="00000000" w:rsidRPr="00000000" w:rsidDel="00000000">
              <w:rPr>
                <w:i w:val="1"/>
                <w:rtl w:val="0"/>
              </w:rPr>
              <w:t xml:space="preserve">Pārzinis </w:t>
            </w:r>
            <w:r w:rsidR="00000000" w:rsidRPr="00000000" w:rsidDel="00000000">
              <w:rPr>
                <w:i w:val="1"/>
                <w:u w:val="single"/>
                <w:rtl w:val="0"/>
              </w:rPr>
              <w:t xml:space="preserve">var pārtraukt </w:t>
            </w:r>
            <w:r w:rsidR="00000000" w:rsidRPr="00000000" w:rsidDel="00000000">
              <w:rPr>
                <w:i w:val="1"/>
                <w:rtl w:val="0"/>
              </w:rPr>
              <w:t xml:space="preserve">kompetentām iestādēm apliecinājumu saņemšanu vai apliecinājumu izsniegšanu </w:t>
            </w:r>
            <w:r w:rsidR="00000000" w:rsidRPr="00000000" w:rsidDel="00000000">
              <w:rPr>
                <w:rtl w:val="0"/>
              </w:rPr>
              <w:t xml:space="preserve">[</w:t>
            </w:r>
            <w:r w:rsidR="00000000" w:rsidRPr="00000000" w:rsidDel="00000000">
              <w:rPr>
                <w:i w:val="1"/>
                <w:rtl w:val="0"/>
              </w:rPr>
              <w:t xml:space="preserve">..</w:t>
            </w:r>
            <w:r w:rsidR="00000000" w:rsidRPr="00000000" w:rsidDel="00000000">
              <w:rPr>
                <w:rtl w:val="0"/>
              </w:rPr>
              <w:t xml:space="preserve">]", bet 20.10. apakšpunkts noteic to, ka Valsts digitālās attīstības </w:t>
            </w:r>
            <w:r w:rsidR="00000000" w:rsidRPr="00000000" w:rsidDel="00000000">
              <w:rPr>
                <w:u w:val="single"/>
                <w:rtl w:val="0"/>
              </w:rPr>
              <w:t xml:space="preserve">aģentūra nodrošina platformas daļēju pārtraukšanu vai ierobežošanu</w:t>
            </w:r>
            <w:r w:rsidR="00000000" w:rsidRPr="00000000" w:rsidDel="00000000">
              <w:rPr>
                <w:rtl w:val="0"/>
              </w:rPr>
              <w:t xml:space="preserve">, kas saprotams, kā obligāts pienākums. Nepieciešamības gadījumā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16. punktā aprakstītā incidenta gadījumā Pārzinim nebūtu jānosaka pienākums pārtraukt apliecinājumu izsniegšanu vai saņemšanu. Pārzinim ir jāatstāj iespēja pieņemt lēmumu, izvērtējot konkrētā incidenta ietekmi, piemēram, ja incidents ietekmē Platformas darbību, bet neietekmē apliecinājumu izsniegšanas un saņemšanas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Platformas darbības daļēju pārtraukšanu vai ierobežošanu, ja tiek konstatēts Platformas darbības apdraudējums vai apliecinājumu kvalitātes riski, par to informējot kompetento iestādi, kas izsniedz apliecinājumu vai kompetento iestādi, kas pieprasa apliecinājumu, norādot Platformas darbības pārtraukšanas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OOTS administrēšanas portālā nodrošināt tās pārziņā esošu apliecinājumu satura pareizību, aktualitāti un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atbilstoši juridiskās tehnikas prasībām tiesību normai ir jābūt skaidrai un nepārprotamai, lai tās lietotājs un piemērotājs precīzi izprastu savus pienākumus un tiesības. Projekta 21.1. apakšpunkta redakcijā ietvertā vispārīga atsauce uz “normatīvajiem aktiem” neatbilst precizitātes prasībām, jo nav norādīts ne konkrētais normatīvais akts, ne tiesību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minētajā vienībā nepieciešams norādīt konkrētu normatīvo aktu vai vismaz attiecīgo normatīvo aktu jomu atbilstoši noteikumu Nr. 108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punkts izteikts šādā redakcijā: “OOTS administrēšanas portālā nodrošināt tās pārziņā esošu apliecinājumu satura pareizību un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OOTS administrēšanas portālā nodrošināt tās pārziņā esošu apliecinājumu satura pareizību un aktualitāti;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apliecinājumu veidu izsniegšanai nepieciešamās informācijas reģistrēšanu 20.12. punktā norādītajā saitē;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21.2. apakšpunktā un projektā kopumā precizēt atsauces uz tā vienībām ietverot "šo noteikumu" pirms vienības numura.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apliecinājumu veidu izsniegšanai nepieciešamās informācijas reģistrēšanu </w:t>
            </w:r>
            <w:r w:rsidR="00000000" w:rsidRPr="00000000" w:rsidDel="00000000">
              <w:rPr>
                <w:u w:val="single"/>
                <w:rtl w:val="0"/>
              </w:rPr>
              <w:t xml:space="preserve">šo noteikumu </w:t>
            </w:r>
            <w:r w:rsidR="00000000" w:rsidRPr="00000000" w:rsidDel="00000000">
              <w:rPr>
                <w:rtl w:val="0"/>
              </w:rPr>
              <w:t xml:space="preserve">20.12. punktā norādītajā saitē;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punkts un citi Ministru kabineta noteikumu projekta punkti tika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apliecinājumu veidu izsniegšanai nepieciešamās informācijas reģistrēšanu šo noteikumu 20.12. punktā norādītajā saitē;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2018. gada 2. oktobra regulas (ES) 2018/1724, ar ko izveido vienotu digitālo vārteju, lai sniegtu piekļuvi informācijai, procedūrām un palīdzības un problēmu risināšanas pakalpojumiem, un ar ko groza Regulu (ES) Nr. 1024/2012;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2022. gada 5. augusta īstenošanas regulas (ES) 2022/1463, ar ko nosaka tehniskās un darbības specifikācijas tehniskajai platformai apliecinājumu automatizētai pārrobežu apmaiņai un vienreizējas iesniegšanas principa piemērošanai saskaņā ar Eiropas Parlamenta un Padomes Regulu (ES) 2018/1724.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Nr.108 162. punktu lūdzam svītrot projekta "Informatīva atsauce uz Eiropas Savienības normatīvajiem aktiem"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sadaļas nosaukums “Informatīva atsauce uz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Vienotās digitālās vārtejas regula 2018/1724 atbilst noteikumu Nr. 108 162.3. apakšpunktam, bet regula 2022/1463 atbilst noteikumu nr. 108 162.2.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anotācijas 1.1.apakšpunkta "Pamatojums" apakšsadaļu "Apraksts"  tekstu kopumā, labojot to atbilstoši latviešu valodas  (gramatikas) prasībām. Lūdzu labot atsauci uz Ministru kabineta iekārtas likuma 31.pantu, aizstājot skaitli un  vārdu "1.daļa" ar vārdiem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punkts attiecīgi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un projektā atsauces uz Eiropas Savienības tiesību aktiem noformēt atbilstoši noteikumu Nr. 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"Komisijas 2003. gada 6. oktobra Direktīva 2003/90/EK, ar ko nosaka īstenošanas pasākumus Padomes Direktīvas 2002/53/EK 7. pantā attiecībā uz obligāti pārbaudāmajām pazīmēm un obligātajiem konkrētu lauksaimniecības augu sugu pārbaudes nosacījumiem (turpmāk - Direktīva Nr. 2003/90)".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tika papildināta šādā redakcijā: “</w:t>
            </w:r>
            <w:r w:rsidR="00000000" w:rsidRPr="00000000" w:rsidDel="00000000">
              <w:rPr>
                <w:i w:val="1"/>
                <w:rtl w:val="0"/>
              </w:rPr>
              <w:t xml:space="preserve">Personas dati Platformā tiek apstrādāti tikai Ministru kabineta noteikumu projekta 20.7. punktā noteiktiem identifikācijas nolūkiem. Attiecībā uz apliecinājumos iekļautiem personas datiem, to apstrāde norisinās ārpus Platformas atbilstoši Regulas 2022/1463 33. pantam. Uz kompetentām iestādēm, kas pieprasa apliecinājumus ir attiecināmi datu pārziņa pienākumi atbilstoši Regulas 2022/1463 34. pantam, bet  uz kompetentām iestādēm, kas izsniedz apliecinājumus ir attiecināmi datu pārziņa pienākumi atbilstoši Regulas 2022/1463 35.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Regulā 2022/1463 jau ir iekļauta atsauce uz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mērķa formulējumu, akcentējot pozitīvās izmaiņas, ko plānots sasniegt ar šo tiesību aktu. Regulējums pats par sevi nav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šādā redakcijā:</w:t>
            </w:r>
            <w:r w:rsidR="00000000" w:rsidRPr="00000000" w:rsidDel="00000000">
              <w:rPr>
                <w:i w:val="1"/>
                <w:rtl w:val="0"/>
              </w:rPr>
              <w:t xml:space="preserve"> "Noteikumu projekta mērķis ir nodrošināt vienotu tiesisko regulējumu Vienotās digitālās vārtejas vienreizes principa tehniskās platformas darbībai un apliecinājumu pārrobežu pieejamības nodrošināšanai, lai veicinātu drošu, efektīvu un lietotājam saprotamu  publiskā sektora pārrobežu datu apmaiņu starp Latvijas un citu Eiropas Savienības (turpmāk - ES) dalībvalstu iestādēm. Noteikumi nosaka pārziņa un iesaistīto pušu pienākumus, sadarbības mehānismus un </w:t>
            </w:r>
            <w:r w:rsidR="00000000" w:rsidRPr="00000000" w:rsidDel="00000000">
              <w:rPr>
                <w:i w:val="1"/>
                <w:u w:val="single"/>
                <w:rtl w:val="0"/>
              </w:rPr>
              <w:t xml:space="preserve">apliecinājumu pārrobežu pieejamības nodrošināšanas kārtību</w:t>
            </w:r>
            <w:r w:rsidR="00000000" w:rsidRPr="00000000" w:rsidDel="00000000">
              <w:rPr>
                <w:i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Eiropas Parlamenta un Padomes 2016. gada 27. aprīļa regulas (ES) 2016/679 par fizisku personu aizsardzību attiecībā uz personas datu apstrādi un šādu datu brīvu apriti un ar ko atceļ Direktīvu 95/46/EK (Vispārīgā datu aizsardzības regula) (turpmāk – Datu regula) 35.panta 7.punkta b), c) un d) apakšpunktos norādīto informāciju no NIDA. Anotācijā tiek norādīts, ka platformai tika veikts novērtējums par ietekmi uz datu aizsardzību (NIDA), savukārt Datu regulas 35. panta 7. punkta b), c) un d) apakšpunktos minētās informācijas no NIDA norādīšana anotācijā nodrošinās risku minimizēšanu, ko varētu radīt platformā plānotā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tika papildināta šādā redakcijā: </w:t>
            </w:r>
            <w:r w:rsidR="00000000" w:rsidRPr="00000000" w:rsidDel="00000000">
              <w:rPr>
                <w:i w:val="1"/>
                <w:rtl w:val="0"/>
              </w:rPr>
              <w:t xml:space="preserve">“Personas dati Platformā tiek apstrādāti tikai Ministru kabineta noteikumu projekta 20.7. punktā noteiktiem identifikācijas nolūkiem. Attiecībā uz apliecinājumos iekļautiem personas datiem, to apstrāde norisinās ārpus Platformas atbilstoši Regulas 2022/1463 33. pantam. Uz kompetentām iestādēm, kas pieprasa apliecinājumus ir attiecināmi datu pārziņa pienākumi atbilstoši Regulas 2022/1463 34. pantam, bet  uz kompetentām iestādēm, kas izsniedz apliecinājumus ir attiecināmi datu pārziņa pienākumi atbilstoši Regulas 2022/1463 35. pantam.”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Regulā 2022/1463 jau ir iekļauta atsauce uz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sadaļā "Risinājuma apraksts"minēto, ka </w:t>
            </w:r>
            <w:r w:rsidR="00000000" w:rsidRPr="00000000" w:rsidDel="00000000">
              <w:rPr>
                <w:i w:val="1"/>
                <w:rtl w:val="0"/>
              </w:rPr>
              <w:t xml:space="preserve">iestādes tika informētas par iespējām pieteikties Projekta īstenošanai VARAM rīkotās 2024. gada 18. decembra konferences “Vienotās digitālās vārtejas regulas ieviešana Latvijā. Pārrobežu pakalpojumi.” ietvaros, kurā piedalījās vairāk nekā 100 pašvaldību, valsts tiešās padotības iestāžu un NVO pārstāvji. Papildus, VDAA informēja par Projektu un aicināja piedalīties Projekta īstenošanā 2025. gada 25. aprīļa Pārrobežu pakalpojumu starpinstitūciju vadības komitejas sēdē, </w:t>
            </w:r>
            <w:r w:rsidR="00000000" w:rsidRPr="00000000" w:rsidDel="00000000">
              <w:rPr>
                <w:rtl w:val="0"/>
              </w:rPr>
              <w:t xml:space="preserve">aicinām VARAM papildināt anotāciju arī īsu informāciju par rezultātiem, vai un cik iestādes ir izteikušas vēlmi/plāno piedalīties vai jau piedalās pārrobežu pakalpojumu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 ar to, ka projekta ieviešana turpinās (atbilstoši Ministru kabineta 2023. gada 6. jūlija rīkojumam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nav iespējams papildināt ar anotāciju par projekta īstenošanas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 VARAM ir tikai viens no partneriem projekta īstenošanā, aicinām vērsties pie projekta īstenotāja (Valsts digitālās attīstības aģentūras), kas sniegs precīzu un detalizētu informāciju par iestāžu skaitu, kas sākotnēji pieteicās projekta īstenošanai, kā arī par iestādēm, kas piedalās projekta īstenošanā un par sasniegto progresu.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pilnveidot anotācijas 1.3. apakšsadaļu precīzi un pilnīgi atspoguļot projekta būtību un ar to saistītos praktiskos aspektus, jo šobrīd risinājuma apraksts projektu skaidro salīdzinoši vispārīgi.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izpratni par no projekta izrietošajiem procesiem, piemēram, kas saprotams ar procedūru portālu pilnveidošanu (projekta 6.3. apakšpunkts), Datu izplatīšanas un pārvaldības platformu vai projekta 5.3. apakšpunktā minēto vienošanās noslēgšanu (forma, termiņš, no tā izrietošās saistības, kādēļ tā slēdzama par katru apliecinājumu un vai tas nerada lieku administratīvo slogu) vai to, kas šī projekta kontekstā saprotams ar ziņojumiem;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salāgot skaidrojumus ar no projekta izrietošo. Piemēram, 20.1. apakšpunkts, nevis "21.1." nosaka "</w:t>
            </w:r>
            <w:r w:rsidR="00000000" w:rsidRPr="00000000" w:rsidDel="00000000">
              <w:rPr>
                <w:i w:val="1"/>
                <w:rtl w:val="0"/>
              </w:rPr>
              <w:t xml:space="preserve">Platformas integrāciju ar ārējām sistēmām un koplietošanas komponentēm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atbildot uz jautājumu "Vai ir izvērtēts prasību un izmaksu samērīgums pret ieguvumiem?", nepietiek ar atsauci uz </w:t>
            </w:r>
            <w:r w:rsidR="00000000" w:rsidRPr="00000000" w:rsidDel="00000000">
              <w:rPr>
                <w:i w:val="1"/>
                <w:rtl w:val="0"/>
              </w:rPr>
              <w:t xml:space="preserve">Eiropas Parlamenta un Padomes 2018. gada 2. oktobra regulu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jo šādā veidā uz minēto jautājumu netiek sniegta atbilde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ir iekļauta atsauce uz rokasgrāmatu, ko izstrādās Pārzinis, kurā tiks sniegta informācija platformas lietotājam kā veikt platformā paredzētās funkcijas - "Pārzinis izstrādā, publicē un aktualizē platformas lietošanas rokasgrāmatu, kurā sniedz platformas lietotājam informāciju kā veikt platformā paredzētās funkcijas. Pārzinis informē kompetento iestādi, kas izsniedz apliecinājumus vai kompetento iestādi, kas pieprasa apliecinājumus par Ministru kabineta noteikumu projekta 16. punktā iekļauto Platformas darbības apdraudējumu vai datu noplūdes risku atbilstoši Platformas lietošanas rokasgrāmatā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noteikumu projekta 11. punktā ir aprakstītas detalizētākas prasības attiecībā uz procedūru portālu pilnveidošanu. Skaidrojam, ka Datu izplatīšanas un pārvaldības platforma atbilstoši Ministru kabineta 2023. gada 31. oktobra noteikumu Nr. 624 "</w:t>
            </w:r>
            <w:r w:rsidR="00000000" w:rsidRPr="00000000" w:rsidDel="00000000">
              <w:rPr>
                <w:i w:val="1"/>
                <w:rtl w:val="0"/>
              </w:rPr>
              <w:t xml:space="preserve">Datu izplatīšanas un pārvaldības platformas noteikumi" 3. punktam ir "valsts platforma un paaugstinātas drošības sistēma, kas piemērota datu (tai skaitā personas datu) izplatīšanai un glabāšanai un kuras pārzinis ir Valsts reģionālās attīstības aģentūra (turpmāk – pārzinis). Tās tīmekļvietnes adrese ir www.dagr.gov.lv.".</w:t>
            </w:r>
            <w:r w:rsidR="00000000" w:rsidRPr="00000000" w:rsidDel="00000000">
              <w:rPr>
                <w:rtl w:val="0"/>
              </w:rPr>
              <w:t xml:space="preserve"> Skaidrojam, ka iestāžu vajadzības atšķirsies (apliecinājumu skaits, saturs, datu apstrādes mērķi, statiskie/dinamiskie dati, attiecīgo jomu normatīvais regulējums (Latvijas un starptautiskais) u.c. faktori), līdz ar to, nav nepieciešams un nav iespējams noteikt vienotu formu visiem gadījumiem. Tas varētu novest pie nesamērīga administratīvo sloga palielināšanas, datu apmaiņas ierobežojumiem,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atbilstoši papildināta. Papildus norādām, ka anotācijā netika sniegts skaidrojums ar atsauci uz regulu, jo "Vai ir izvērtēts prasību un izmaksu samērīgums pret ieguvumiem?" atbilde anotācijā ir "Nē".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ĪR KOMISIJAS ĪSTENOŠANAS REGULA (ES) 2022/1463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augusts), ar ko nosaka tehniskās un darbības specifikācijas tehniskajai sistēmai apliecinājumu automatizētai pārrobežu apmaiņai un vienreizējas iesniegšanas principa piemērošanai saskaņā ar Eiropas Parlamenta un Padomes Regulu (ES) 2018/1724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apsvērumam: Lai izvairītos no dublēšanās, nodrošinātu sinerģiju un sniegtu lietotājiem izvēli, OOTS datu modeļu izstrāde strukturētu apliecinājumu veidiem un izmantošanas gadījumu standartizācija akreditācijas datu sniegšanai saskaņā ar strukturēto procesu, kas paredzēts Komisijas Ieteikumā (ES) 2021/946 (2021. gada 3. jūnijs) par kopīgu Savienības rīkkopu koordinētai pieejai Eiropas digitālās identitātes satvaram (16), būtu jāveic ciešā sadarbībā un savstarpējā saskaņotībā, ciktāl tas attiecas uz apliecinājumiem, uz kuriem attiecas Regulas (ES) 2018/ 1724 14.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(EIROPAS PARLAMENTA UN PADOMES REGULA (ES) 2024/1183 (2024. gada 11. aprīlis), ar ko groza Regulu (ES) Nr. 910/2014 attiecībā uz Eiropas digitālās identitātes satvara izveidi - eIDAS 2.0) regulu tiek izstrādāts digitālās identitātes satvara tiesiskais regulējums (sertifikācijas shēma) kas, cita starpā paredz “atribūtu” iekļaušanu digitālajā identitātes makā.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savstarpēju “atribūtu” dublēšanu nepieciešams saprast kā Vienotās digitālās vārtejas vienreizes principa tehniskās platformas un apliecinājumu pārrobežu pieejamības nodrošināšanas noteikumi korelējas ar digitālās identitātes satvara tiesisko regulējumu (sertifikācijas shēma vēl nav pieņemta un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 Vienotās digitālās vārtejas vienreizes principa tehniskā platforma nodrošina apliecinājumu pārrobežu apmaiņu Regulas (ES) 2018/1724 un Komisijas Īstenošanas regulas (ES) 2022/1463 tvērumā un nav paredzēta kā Eiropas digitālās identitātes maka atribūtu izsniegšanas vai glabāšanas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Komisija organizē darbu ar OOTS un Digitālā maka ekspertiem ar mērķi atrast kopējos abu risinājumu saskarsmes punktus (sinerģijas). Plašāka informācija pieejama - https://ec.europa.eu/digital-building-blocks/sites/spaces/OOTS/pages/930450665/Two+systems+one+vision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“Platforma netiek plānota kā Eiropas digitālās identitātes maka atribūtu izsniegšanas vai glabāšanas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vispārīgi skaidrot projekta ietekmi uz sabiedrības grupām. Šobrīd anotācijā norādīts, ka tiek ietekmētas gan fiziskas, gan juridiskas personas, nekonkretizējot to, kā šī ietekme izpaužas.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sabiedrības grupām tika papildināta. Konkretizējot jur. personu tvērumu. Papildināta arī ietekmes izpausme,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saistīta ar informācijas sniegšanas pienākumu, kas izriet no noteikumu projekta 5.1., 5.2., 6.1., 6.2., 22.2., 23.1. punktu īstenošanas.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kuras fiziskās un juridiskās personas tiks ietekmētas un kā. Ja attiecībā uz fiziskajām un juridiskajām personām tiesību akts uzliek informācijas sniegšanas pienākumu, nepieciešams veikt administratīvā sloga monetāru novērtējumu (detalizētāka vadlīnija par administratīvā sloga identificēšanu un aprēķināšanu sniegta anotācijas 7.2.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5.1., 5.2., 6.1., 6.2., 22.2., 23.1.  punktu īstenošanu tika veikts administratīvo izmaksu monetārs novērtējums anotācijas 7.2. sadaļā. Papildus attiecībā uz 5.1., 5.2., 6.1., 6.2., 22.2., 23.1.  punktu īstenošanu tika veikts Administratīvo izmaksu novērtējums juridiskām personām anotācijas 2.3. sadaļā. Attiecībā uz pārējiem punktiem, skaidrojam, ka nav piemērojams informācijas sniegšanas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Platformas izveide, darbība un uzturēšana tiek finansēta, tai skaitā vai tā tiek nodrošināta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tika papildināta ar informāciju par izmaksām un finansējumu, kas attiecināmi uz Platformas izstrādi un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pilnīgi izvērtēt un atspoguļot projekta atbilstību Eiropas Savienības tiesību aktiem.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1.tabulas "B" kolonnā norāda projekta, ja attiecināms, arī cita tiesību akta vienību, kas ievieš "A" kolonnā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tabulas "C" kolonnā norāda, vai "A" kolonnā minētā tiesību norma ieviesta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projekta redakcijai tiek ieviesta arī Eiropas Parlamenta un Padomes 2014. gada 23. jūlija regula (ES) Nr. 910/2014 par elektronisko identifikāciju un uzticamības pakalpojumiem elektronisko darījumu veikšanai iekšējā tirgū un ar ko atceļ direktīvu 1999/93/EK (projekta 20.7. apakšpunkts) vai regulas 2022/1463 17. pants (projekta 9.3.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redakcijas precizētas un tika pievienota atsauce uz Eiropas Parlamenta un Padomes 2014. gada 23. jūlija regulu (ES) Nr. 910/2014 par elektronisko identifikāciju un uzticamības pakalpojumiem elektronisko darījumu veikšanai iekšējā tirgū un ar ko atceļ direktīvu 1999/93/EK.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uzskaitīt, kuras iestādes ir iesaistītas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šādā redakcijā "Valsts iestādes, pašvaldības, kā arī NVO un valsts uzņēmumi, kas pilda valsts deleģētās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sloga novērtēšanas metodiku, par informācijas sniegšanas pienākumu uzskatāma jebkura prasība fiziskai vai juridiskai personai, kā arī valsts vai pašvaldības iestādei sniegt datus citai personai vai valsts iestādei (piemēram, iesnieguma, lūguma, paziņojuma vai cita veida informācijas iesniegšana, kā arī informācijas reģistrēšana), neatkarīgi no tā, vai tā ir obligāta prasība vai tiesību izmantošana noteikta rezultāta sasniegšanai (piemēram, ziņu iekļaušanai vai aktualizēšanai Reģistrā). Vienlaikus informācijas reģistrēšana netiek uzskatīta par administratīvo slogu iestādei, kurai attiecīgā darbība izriet no tās funkcijām, piemēram, valsts informācijas sistēmas uzturētājam.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informācijas sniegšanas prasība iekļauta šādos punktos: 5.1., 5.2., 5.3., 5.4., 6.1., 6.2., 12., 18., 21.2., 21.3.,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vai minētās normas rada jaunas vai maina esošas informācijas sniegšanas prasības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valsts iestādēm nošķirt gadījumus, kuros informācijas sniegšana vai reģistrēšana izriet no iestādes funkcijām, no gadījumiem, kuros pienākums iestādei sniegt vai reģistrēt informāciju tiek noteikts ar šo tiesību aktu. Norādām, ka iestādes tiešo funkciju izpilde nav administratīvs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konstatētas administratīvā sloga izmaiņas, veikt to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informācijas sniegšanas pienākumu apjomu, ir jānosaka ietekmēto personu skaitu un darbību biežumu. Ja informācijas sniegšanas biežums ir neregulārs vai atkarīgs no individuāliem apstākļiem, administratīvā sloga novērtējumā pieļaujams izmantot indikatīvus pieņēmumus, tos skaidri pamatojot anotācijā (norādot izmantoto datu avotu vai pieņēmumu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novērtējums juridiskām un fiziskām personām aizpildāms anotācijas 2. sadaļā, bet valsts pārvaldes un pašvaldību iestādēm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nepieciešams pievienot skaidrojumu, uz kuru tiesību akta projekta punktu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5.1., 5.2., 6.1., 6.2., 22.2., 23.1.  punktu īstenošanu tika veikts administratīvo izmaksu monetārs novērtējums anotācijas 7.2. sadaļā. Papildus attiecībā uz 5.1., 5.2., 6.1., 6.2., 22.2., 23.1.  punktu īstenošanu tika veikts Administratīvo izmaksu novērtējums juridiskām personām anotācijas 2.3. sadaļā. Attiecībā uz pārējiem punktiem, skaidrojam, ka nav piemērojams informācijas sniegšanas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pēc iespējas skaidrāk izprotams projektā ietvertais regulējums un tajā plānotās personas datu apstrādes darbības, kā arī apstākli, ka attiecībā uz platformu ir veikta NIDA, lūdzam papildināt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Anotācijas papildināšanai aicinām izmantot Valsts kancelejas 2021. gada vadlīnijas sākotnējās ietekmes novērtēšanai un novērtējuma ziņojuma sagatavošanai vienotajā tiesību aktu izstrādes un saskaņošanas portālā attiecībā uz datu aizsardzību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personas dati tiek apstrādāti tikai Ministru kabineta noteikumu projekta 20.7. punktā noteiktiem identifikācijas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tiesību normas, kas jau ir iekļautas esošajā normatīvajā regulējumā personas datu apstrādes pienākumi netika noteikti Ministru kabineta noteikumu projektā, jo tie ir noteikti Regulā 2022/1463.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tika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“Personas dati Platformā tiek apstrādāti tikai Ministru kabineta noteikumu projekta 20.7. punktā noteiktiem identifikācijas nolūkiem. Attiecībā uz apliecinājumos iekļautiem personas datiem, to apstrāde norisinās ārpus Platformas atbilstoši Regulas 2022/1463 33. pantam. Uz kompetentām iestādēm, kas pieprasa apliecinājumus ir attiecināmi datu pārziņa pienākumi atbilstoši Regulas 2022/1463 34. pantam, bet  uz kompetentām iestādēm, kas izsniedz apliecinājumus ir attiecināmi datu pārziņa pienākumi atbilstoši Regulas 2022/1463 35.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25-TA-2211</w:t>
    </w:r>
    <w:r>
      <w:br/>
    </w:r>
    <w:r w:rsidR="00000000" w:rsidRPr="00000000" w:rsidDel="00000000">
      <w:rPr>
        <w:rtl w:val="0"/>
      </w:rPr>
      <w:t xml:space="preserve">25.05.2026. 09.47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25-TA-2211</w:t>
    </w:r>
    <w:r>
      <w:br/>
    </w:r>
    <w:r w:rsidR="00000000" w:rsidRPr="00000000" w:rsidDel="00000000">
      <w:rPr>
        <w:rtl w:val="0"/>
      </w:rPr>
      <w:t xml:space="preserve">25.05.2026. 09.47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Izziņa_25-TA-2211.docx</dc:title>
</cp:coreProperties>
</file>

<file path=docProps/custom.xml><?xml version="1.0" encoding="utf-8"?>
<Properties xmlns="http://schemas.openxmlformats.org/officeDocument/2006/custom-properties" xmlns:vt="http://schemas.openxmlformats.org/officeDocument/2006/docPropsVTypes"/>
</file>