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EA746" w14:textId="77777777" w:rsidR="009614A5" w:rsidRPr="004F07BB" w:rsidRDefault="009614A5" w:rsidP="00265863">
      <w:pPr>
        <w:ind w:right="701"/>
        <w:rPr>
          <w:rFonts w:ascii="Times New Roman" w:hAnsi="Times New Roman" w:cs="Times New Roman"/>
          <w:color w:val="5B566E"/>
          <w:lang w:val="lv-LV"/>
        </w:rPr>
      </w:pPr>
    </w:p>
    <w:p w14:paraId="2CF4DF34" w14:textId="77777777" w:rsidR="00474001" w:rsidRPr="004F07BB" w:rsidRDefault="00474001" w:rsidP="00265863">
      <w:pPr>
        <w:ind w:right="701"/>
        <w:rPr>
          <w:rFonts w:ascii="Times New Roman" w:hAnsi="Times New Roman" w:cs="Times New Roman"/>
          <w:color w:val="5B566E"/>
          <w:lang w:val="lv-LV"/>
        </w:rPr>
      </w:pPr>
    </w:p>
    <w:p w14:paraId="2340DF86" w14:textId="3FA34B62" w:rsidR="007D1BDE" w:rsidRPr="004F07BB" w:rsidRDefault="009614A5" w:rsidP="00BC7410">
      <w:pPr>
        <w:ind w:right="701"/>
        <w:jc w:val="center"/>
        <w:rPr>
          <w:rFonts w:ascii="Times New Roman" w:hAnsi="Times New Roman" w:cs="Times New Roman"/>
          <w:color w:val="5B566E"/>
          <w:lang w:val="lv-LV"/>
        </w:rPr>
      </w:pPr>
      <w:r w:rsidRPr="004F07BB">
        <w:rPr>
          <w:rFonts w:ascii="Times New Roman" w:hAnsi="Times New Roman" w:cs="Times New Roman"/>
          <w:color w:val="5B566E"/>
          <w:lang w:val="lv-LV"/>
        </w:rPr>
        <w:t>Rīgā</w:t>
      </w:r>
    </w:p>
    <w:p w14:paraId="768FC78A" w14:textId="77777777" w:rsidR="00BC7410" w:rsidRPr="004F07BB" w:rsidRDefault="00BC7410" w:rsidP="00BC7410">
      <w:pPr>
        <w:ind w:right="701"/>
        <w:jc w:val="center"/>
        <w:rPr>
          <w:rFonts w:ascii="Times New Roman" w:hAnsi="Times New Roman" w:cs="Times New Roman"/>
          <w:color w:val="5B566E"/>
          <w:lang w:val="lv-LV"/>
        </w:rPr>
      </w:pPr>
    </w:p>
    <w:tbl>
      <w:tblPr>
        <w:tblW w:w="0" w:type="auto"/>
        <w:tblInd w:w="5" w:type="dxa"/>
        <w:tblLook w:val="0000" w:firstRow="0" w:lastRow="0" w:firstColumn="0" w:lastColumn="0" w:noHBand="0" w:noVBand="0"/>
      </w:tblPr>
      <w:tblGrid>
        <w:gridCol w:w="607"/>
        <w:gridCol w:w="2592"/>
        <w:gridCol w:w="530"/>
        <w:gridCol w:w="2443"/>
      </w:tblGrid>
      <w:tr w:rsidR="002067CB" w:rsidRPr="004F07BB" w14:paraId="24F576DB" w14:textId="77777777" w:rsidTr="00D00EA6">
        <w:trPr>
          <w:trHeight w:val="249"/>
        </w:trPr>
        <w:tc>
          <w:tcPr>
            <w:tcW w:w="0" w:type="auto"/>
            <w:gridSpan w:val="2"/>
            <w:tcBorders>
              <w:bottom w:val="single" w:sz="4" w:space="0" w:color="auto"/>
            </w:tcBorders>
          </w:tcPr>
          <w:p w14:paraId="6A9652F3" w14:textId="77777777" w:rsidR="002067CB" w:rsidRPr="004F07BB" w:rsidRDefault="002067CB" w:rsidP="00D00EA6">
            <w:pPr>
              <w:ind w:left="-10"/>
              <w:rPr>
                <w:rFonts w:ascii="Times New Roman" w:hAnsi="Times New Roman" w:cs="Times New Roman"/>
                <w:lang w:val="lv-LV"/>
              </w:rPr>
            </w:pPr>
            <w:r w:rsidRPr="004F07BB">
              <w:rPr>
                <w:rFonts w:ascii="Times New Roman" w:hAnsi="Times New Roman" w:cs="Times New Roman"/>
                <w:lang w:val="lv-LV"/>
              </w:rPr>
              <w:t>Datums skatāms laika zīmogā</w:t>
            </w:r>
          </w:p>
        </w:tc>
        <w:tc>
          <w:tcPr>
            <w:tcW w:w="0" w:type="auto"/>
            <w:shd w:val="clear" w:color="auto" w:fill="auto"/>
          </w:tcPr>
          <w:p w14:paraId="23F932D5" w14:textId="77777777" w:rsidR="002067CB" w:rsidRPr="004F07BB" w:rsidRDefault="002067CB" w:rsidP="00D00EA6">
            <w:pPr>
              <w:rPr>
                <w:rFonts w:ascii="Times New Roman" w:hAnsi="Times New Roman" w:cs="Times New Roman"/>
                <w:lang w:val="lv-LV"/>
              </w:rPr>
            </w:pPr>
            <w:r w:rsidRPr="004F07BB">
              <w:rPr>
                <w:rFonts w:ascii="Times New Roman" w:hAnsi="Times New Roman" w:cs="Times New Roman"/>
                <w:lang w:val="lv-LV"/>
              </w:rPr>
              <w:t>Nr.</w:t>
            </w:r>
          </w:p>
        </w:tc>
        <w:tc>
          <w:tcPr>
            <w:tcW w:w="0" w:type="auto"/>
            <w:tcBorders>
              <w:bottom w:val="single" w:sz="4" w:space="0" w:color="auto"/>
            </w:tcBorders>
            <w:shd w:val="clear" w:color="auto" w:fill="auto"/>
          </w:tcPr>
          <w:p w14:paraId="2A1FE734" w14:textId="2A88B742" w:rsidR="002067CB" w:rsidRPr="004F07BB" w:rsidRDefault="002067CB" w:rsidP="00D00EA6">
            <w:pPr>
              <w:rPr>
                <w:rFonts w:ascii="Times New Roman" w:hAnsi="Times New Roman" w:cs="Times New Roman"/>
                <w:lang w:val="lv-LV"/>
              </w:rPr>
            </w:pPr>
            <w:r w:rsidRPr="004F07BB">
              <w:rPr>
                <w:rFonts w:ascii="Times New Roman" w:hAnsi="Times New Roman" w:cs="Times New Roman"/>
                <w:lang w:val="lv-LV"/>
              </w:rPr>
              <w:t>Nr. COR-N-2021/</w:t>
            </w:r>
            <w:r w:rsidR="00981679" w:rsidRPr="004F07BB">
              <w:rPr>
                <w:rFonts w:ascii="Times New Roman" w:hAnsi="Times New Roman" w:cs="Times New Roman"/>
                <w:lang w:val="lv-LV"/>
              </w:rPr>
              <w:t>1897</w:t>
            </w:r>
          </w:p>
        </w:tc>
      </w:tr>
      <w:tr w:rsidR="002067CB" w:rsidRPr="004F07BB" w14:paraId="2000FE15" w14:textId="77777777" w:rsidTr="002067CB">
        <w:trPr>
          <w:trHeight w:val="228"/>
        </w:trPr>
        <w:tc>
          <w:tcPr>
            <w:tcW w:w="562" w:type="dxa"/>
            <w:tcBorders>
              <w:top w:val="single" w:sz="4" w:space="0" w:color="auto"/>
            </w:tcBorders>
          </w:tcPr>
          <w:p w14:paraId="77DD758A" w14:textId="77777777" w:rsidR="002067CB" w:rsidRPr="004F07BB" w:rsidRDefault="002067CB" w:rsidP="00D00EA6">
            <w:pPr>
              <w:ind w:left="-10" w:right="-107"/>
              <w:rPr>
                <w:rFonts w:ascii="Times New Roman" w:hAnsi="Times New Roman" w:cs="Times New Roman"/>
                <w:lang w:val="lv-LV"/>
              </w:rPr>
            </w:pPr>
            <w:r w:rsidRPr="004F07BB">
              <w:rPr>
                <w:rFonts w:ascii="Times New Roman" w:hAnsi="Times New Roman" w:cs="Times New Roman"/>
                <w:lang w:val="lv-LV"/>
              </w:rPr>
              <w:t>Uz</w:t>
            </w:r>
          </w:p>
        </w:tc>
        <w:tc>
          <w:tcPr>
            <w:tcW w:w="2398" w:type="dxa"/>
            <w:tcBorders>
              <w:top w:val="single" w:sz="4" w:space="0" w:color="auto"/>
              <w:bottom w:val="single" w:sz="4" w:space="0" w:color="auto"/>
            </w:tcBorders>
          </w:tcPr>
          <w:p w14:paraId="05F32200" w14:textId="0B7800CB" w:rsidR="002067CB" w:rsidRPr="004F07BB" w:rsidRDefault="002067CB" w:rsidP="00D00EA6">
            <w:pPr>
              <w:ind w:right="701"/>
              <w:rPr>
                <w:rFonts w:ascii="Times New Roman" w:hAnsi="Times New Roman" w:cs="Times New Roman"/>
                <w:lang w:val="lv-LV"/>
              </w:rPr>
            </w:pPr>
          </w:p>
        </w:tc>
        <w:tc>
          <w:tcPr>
            <w:tcW w:w="0" w:type="auto"/>
            <w:shd w:val="clear" w:color="auto" w:fill="auto"/>
          </w:tcPr>
          <w:p w14:paraId="5B6C1F02" w14:textId="77777777" w:rsidR="002067CB" w:rsidRPr="004F07BB" w:rsidRDefault="002067CB" w:rsidP="00D00EA6">
            <w:pPr>
              <w:rPr>
                <w:rFonts w:ascii="Times New Roman" w:hAnsi="Times New Roman" w:cs="Times New Roman"/>
                <w:lang w:val="lv-LV"/>
              </w:rPr>
            </w:pPr>
            <w:r w:rsidRPr="004F07BB">
              <w:rPr>
                <w:rFonts w:ascii="Times New Roman" w:hAnsi="Times New Roman" w:cs="Times New Roman"/>
                <w:lang w:val="lv-LV"/>
              </w:rPr>
              <w:t>Nr.</w:t>
            </w:r>
          </w:p>
        </w:tc>
        <w:tc>
          <w:tcPr>
            <w:tcW w:w="0" w:type="auto"/>
            <w:tcBorders>
              <w:top w:val="single" w:sz="4" w:space="0" w:color="auto"/>
              <w:bottom w:val="single" w:sz="4" w:space="0" w:color="auto"/>
            </w:tcBorders>
            <w:shd w:val="clear" w:color="auto" w:fill="auto"/>
          </w:tcPr>
          <w:p w14:paraId="5DEE74BA" w14:textId="7E7A03D5" w:rsidR="002067CB" w:rsidRPr="004F07BB" w:rsidRDefault="002067CB" w:rsidP="00D00EA6">
            <w:pPr>
              <w:rPr>
                <w:rFonts w:ascii="Times New Roman" w:hAnsi="Times New Roman" w:cs="Times New Roman"/>
                <w:lang w:val="lv-LV"/>
              </w:rPr>
            </w:pPr>
          </w:p>
        </w:tc>
      </w:tr>
    </w:tbl>
    <w:p w14:paraId="29B22F09" w14:textId="77777777" w:rsidR="007F12B5" w:rsidRPr="004F07BB" w:rsidRDefault="007F12B5" w:rsidP="00265863">
      <w:pPr>
        <w:ind w:right="701"/>
        <w:rPr>
          <w:rFonts w:ascii="Times New Roman" w:hAnsi="Times New Roman" w:cs="Times New Roman"/>
          <w:color w:val="000000" w:themeColor="text1"/>
          <w:lang w:val="lv-LV"/>
        </w:rPr>
      </w:pPr>
    </w:p>
    <w:p w14:paraId="43E02E35" w14:textId="1FDBE0E7" w:rsidR="009614A5" w:rsidRPr="004F07BB" w:rsidRDefault="009614A5" w:rsidP="00265863">
      <w:pPr>
        <w:jc w:val="right"/>
        <w:rPr>
          <w:rFonts w:ascii="Times New Roman" w:hAnsi="Times New Roman" w:cs="Times New Roman"/>
          <w:lang w:val="lv-LV"/>
        </w:rPr>
      </w:pPr>
      <w:r w:rsidRPr="004F07BB">
        <w:rPr>
          <w:rFonts w:ascii="Times New Roman" w:hAnsi="Times New Roman" w:cs="Times New Roman"/>
          <w:lang w:val="lv-LV"/>
        </w:rPr>
        <w:t>Ekonomikas ministrijai</w:t>
      </w:r>
    </w:p>
    <w:p w14:paraId="0A5984FE" w14:textId="62E48D94" w:rsidR="009614A5" w:rsidRPr="004F07BB" w:rsidRDefault="00543308" w:rsidP="00265863">
      <w:pPr>
        <w:jc w:val="right"/>
        <w:rPr>
          <w:rFonts w:ascii="Times New Roman" w:hAnsi="Times New Roman" w:cs="Times New Roman"/>
          <w:lang w:val="lv-LV"/>
        </w:rPr>
      </w:pPr>
      <w:r w:rsidRPr="004F07BB">
        <w:rPr>
          <w:rFonts w:ascii="Times New Roman" w:hAnsi="Times New Roman" w:cs="Times New Roman"/>
          <w:lang w:val="lv-LV"/>
        </w:rPr>
        <w:t>pasts@em.gov.lv</w:t>
      </w:r>
    </w:p>
    <w:p w14:paraId="5A4416DE" w14:textId="77777777" w:rsidR="00543308" w:rsidRPr="004F07BB" w:rsidRDefault="00543308" w:rsidP="00265863">
      <w:pPr>
        <w:jc w:val="right"/>
        <w:rPr>
          <w:rFonts w:ascii="Times New Roman" w:hAnsi="Times New Roman" w:cs="Times New Roman"/>
          <w:lang w:val="lv-LV"/>
        </w:rPr>
      </w:pPr>
    </w:p>
    <w:p w14:paraId="63B51C3D" w14:textId="77777777" w:rsidR="00474001" w:rsidRPr="004F07BB" w:rsidRDefault="00474001" w:rsidP="006754CB">
      <w:pPr>
        <w:rPr>
          <w:rFonts w:ascii="Times New Roman" w:hAnsi="Times New Roman" w:cs="Times New Roman"/>
          <w:lang w:val="lv-LV"/>
        </w:rPr>
      </w:pPr>
    </w:p>
    <w:p w14:paraId="399F2308" w14:textId="586EEDE7" w:rsidR="009614A5" w:rsidRPr="004F07BB" w:rsidRDefault="00820F82" w:rsidP="00421A49">
      <w:pPr>
        <w:ind w:right="5103"/>
        <w:jc w:val="both"/>
        <w:rPr>
          <w:rFonts w:ascii="Times New Roman" w:hAnsi="Times New Roman" w:cs="Times New Roman"/>
          <w:lang w:val="lv-LV"/>
        </w:rPr>
      </w:pPr>
      <w:r w:rsidRPr="004F07BB">
        <w:rPr>
          <w:rFonts w:ascii="Times New Roman" w:hAnsi="Times New Roman" w:cs="Times New Roman"/>
          <w:lang w:val="lv-LV"/>
        </w:rPr>
        <w:t>Atzinums p</w:t>
      </w:r>
      <w:r w:rsidR="009614A5" w:rsidRPr="004F07BB">
        <w:rPr>
          <w:rFonts w:ascii="Times New Roman" w:hAnsi="Times New Roman" w:cs="Times New Roman"/>
          <w:lang w:val="lv-LV"/>
        </w:rPr>
        <w:t>ar</w:t>
      </w:r>
      <w:r w:rsidR="007169C9" w:rsidRPr="004F07BB">
        <w:rPr>
          <w:rFonts w:ascii="Times New Roman" w:hAnsi="Times New Roman" w:cs="Times New Roman"/>
          <w:lang w:val="lv-LV"/>
        </w:rPr>
        <w:t xml:space="preserve"> atkārtotai </w:t>
      </w:r>
      <w:r w:rsidR="0097711F" w:rsidRPr="004F07BB">
        <w:rPr>
          <w:rFonts w:ascii="Times New Roman" w:hAnsi="Times New Roman" w:cs="Times New Roman"/>
          <w:lang w:val="lv-LV"/>
        </w:rPr>
        <w:t xml:space="preserve">elektroniskai </w:t>
      </w:r>
      <w:r w:rsidR="007169C9" w:rsidRPr="004F07BB">
        <w:rPr>
          <w:rFonts w:ascii="Times New Roman" w:hAnsi="Times New Roman" w:cs="Times New Roman"/>
          <w:lang w:val="lv-LV"/>
        </w:rPr>
        <w:t>saskaņošanai nosūtīto</w:t>
      </w:r>
      <w:r w:rsidR="009614A5" w:rsidRPr="004F07BB">
        <w:rPr>
          <w:rFonts w:ascii="Times New Roman" w:hAnsi="Times New Roman" w:cs="Times New Roman"/>
          <w:lang w:val="lv-LV"/>
        </w:rPr>
        <w:t xml:space="preserve"> </w:t>
      </w:r>
      <w:r w:rsidR="00074219" w:rsidRPr="004F07BB">
        <w:rPr>
          <w:rFonts w:ascii="Times New Roman" w:hAnsi="Times New Roman" w:cs="Times New Roman"/>
          <w:lang w:val="lv-LV"/>
        </w:rPr>
        <w:t xml:space="preserve">likumprojektu </w:t>
      </w:r>
      <w:r w:rsidR="00942636" w:rsidRPr="004F07BB">
        <w:rPr>
          <w:rFonts w:ascii="Times New Roman" w:hAnsi="Times New Roman" w:cs="Times New Roman"/>
          <w:lang w:val="lv-LV"/>
        </w:rPr>
        <w:t>“</w:t>
      </w:r>
      <w:r w:rsidR="00074219" w:rsidRPr="004F07BB">
        <w:rPr>
          <w:rFonts w:ascii="Times New Roman" w:hAnsi="Times New Roman" w:cs="Times New Roman"/>
          <w:lang w:val="lv-LV"/>
        </w:rPr>
        <w:t>Grozījumi Enerģētikas likumā</w:t>
      </w:r>
      <w:r w:rsidR="00942636" w:rsidRPr="004F07BB">
        <w:rPr>
          <w:rFonts w:ascii="Times New Roman" w:hAnsi="Times New Roman" w:cs="Times New Roman"/>
          <w:lang w:val="lv-LV"/>
        </w:rPr>
        <w:t>”</w:t>
      </w:r>
      <w:r w:rsidR="00421A49" w:rsidRPr="004F07BB">
        <w:rPr>
          <w:rFonts w:ascii="Times New Roman" w:hAnsi="Times New Roman" w:cs="Times New Roman"/>
          <w:lang w:val="lv-LV"/>
        </w:rPr>
        <w:t xml:space="preserve"> (VSS</w:t>
      </w:r>
      <w:r w:rsidR="007169C9" w:rsidRPr="004F07BB">
        <w:rPr>
          <w:rFonts w:ascii="Times New Roman" w:hAnsi="Times New Roman" w:cs="Times New Roman"/>
          <w:lang w:val="lv-LV"/>
        </w:rPr>
        <w:t xml:space="preserve"> </w:t>
      </w:r>
      <w:r w:rsidR="00421A49" w:rsidRPr="004F07BB">
        <w:rPr>
          <w:rFonts w:ascii="Times New Roman" w:hAnsi="Times New Roman" w:cs="Times New Roman"/>
          <w:lang w:val="lv-LV"/>
        </w:rPr>
        <w:t>- 307)</w:t>
      </w:r>
      <w:r w:rsidR="007169C9" w:rsidRPr="004F07BB">
        <w:rPr>
          <w:rFonts w:ascii="Times New Roman" w:hAnsi="Times New Roman" w:cs="Times New Roman"/>
          <w:lang w:val="lv-LV"/>
        </w:rPr>
        <w:t xml:space="preserve"> </w:t>
      </w:r>
    </w:p>
    <w:p w14:paraId="290FCB9D" w14:textId="77777777" w:rsidR="009614A5" w:rsidRPr="004F07BB" w:rsidRDefault="009614A5" w:rsidP="00265863">
      <w:pPr>
        <w:jc w:val="both"/>
        <w:rPr>
          <w:rFonts w:ascii="Times New Roman" w:hAnsi="Times New Roman" w:cs="Times New Roman"/>
          <w:lang w:val="lv-LV"/>
        </w:rPr>
      </w:pPr>
    </w:p>
    <w:p w14:paraId="4923A602" w14:textId="77777777" w:rsidR="00474001" w:rsidRPr="004F07BB" w:rsidRDefault="00474001" w:rsidP="00265863">
      <w:pPr>
        <w:jc w:val="both"/>
        <w:rPr>
          <w:rFonts w:ascii="Times New Roman" w:hAnsi="Times New Roman" w:cs="Times New Roman"/>
          <w:lang w:val="lv-LV"/>
        </w:rPr>
      </w:pPr>
    </w:p>
    <w:p w14:paraId="45797FC1" w14:textId="3A6C0E70" w:rsidR="00421A49" w:rsidRPr="004F07BB" w:rsidRDefault="00421A49" w:rsidP="00FC48A3">
      <w:pPr>
        <w:pStyle w:val="BodyTextIndent2"/>
        <w:ind w:firstLine="709"/>
      </w:pPr>
      <w:r w:rsidRPr="004F07BB">
        <w:t xml:space="preserve">Akciju sabiedrība </w:t>
      </w:r>
      <w:r w:rsidR="007169C9" w:rsidRPr="004F07BB">
        <w:t>“</w:t>
      </w:r>
      <w:r w:rsidRPr="004F07BB">
        <w:t>Conexus Baltic Grid</w:t>
      </w:r>
      <w:r w:rsidR="007169C9" w:rsidRPr="004F07BB">
        <w:t>”</w:t>
      </w:r>
      <w:r w:rsidRPr="004F07BB">
        <w:t xml:space="preserve"> (turpmāk – Sabiedrība) ir iepazinusies ar</w:t>
      </w:r>
      <w:r w:rsidR="0097711F" w:rsidRPr="004F07BB">
        <w:t xml:space="preserve"> Ekonomikas ministrijas </w:t>
      </w:r>
      <w:r w:rsidR="004B3E37" w:rsidRPr="004F07BB">
        <w:t xml:space="preserve">(turpmāk – Ministrija) </w:t>
      </w:r>
      <w:r w:rsidRPr="004F07BB">
        <w:t xml:space="preserve">2021. gada </w:t>
      </w:r>
      <w:r w:rsidR="0097711F" w:rsidRPr="004F07BB">
        <w:t>2</w:t>
      </w:r>
      <w:r w:rsidRPr="004F07BB">
        <w:t xml:space="preserve">. </w:t>
      </w:r>
      <w:r w:rsidR="0097711F" w:rsidRPr="004F07BB">
        <w:t xml:space="preserve">augusta elektroniskā pasta sūtījumu Nr. 3.3-8/2021/5804N, ar kuru </w:t>
      </w:r>
      <w:r w:rsidR="004B3E37" w:rsidRPr="004F07BB">
        <w:t>M</w:t>
      </w:r>
      <w:r w:rsidR="0097711F" w:rsidRPr="004F07BB">
        <w:t xml:space="preserve">inistrija nosūta atkārtotai elektroniskai saskaņošanai precizēto likumprojektu “Grozījumi Enerģētikas likumā” (VSS-307) (turpmāk – </w:t>
      </w:r>
      <w:r w:rsidR="00B4444B" w:rsidRPr="004F07BB">
        <w:t>L</w:t>
      </w:r>
      <w:r w:rsidR="0097711F" w:rsidRPr="004F07BB">
        <w:t>ikumprojekts).</w:t>
      </w:r>
      <w:r w:rsidRPr="004F07BB">
        <w:t xml:space="preserve"> </w:t>
      </w:r>
    </w:p>
    <w:p w14:paraId="5DABE0F1" w14:textId="71910B0D" w:rsidR="00421A49" w:rsidRPr="004F07BB" w:rsidRDefault="00421A49" w:rsidP="00FC48A3">
      <w:pPr>
        <w:pStyle w:val="BodyTextIndent2"/>
        <w:ind w:firstLine="709"/>
      </w:pPr>
      <w:r w:rsidRPr="004F07BB">
        <w:t xml:space="preserve">Sabiedrība ir izvērtējusi </w:t>
      </w:r>
      <w:r w:rsidR="0097711F" w:rsidRPr="004F07BB">
        <w:t xml:space="preserve">precizēto </w:t>
      </w:r>
      <w:r w:rsidR="00B4444B" w:rsidRPr="004F07BB">
        <w:t>L</w:t>
      </w:r>
      <w:r w:rsidRPr="004F07BB">
        <w:t>ikumprojektu</w:t>
      </w:r>
      <w:r w:rsidR="00031EDE" w:rsidRPr="004F07BB">
        <w:t xml:space="preserve"> un </w:t>
      </w:r>
      <w:r w:rsidR="0097711F" w:rsidRPr="004F07BB">
        <w:t xml:space="preserve">izsaka šādus iebildumus: </w:t>
      </w:r>
    </w:p>
    <w:p w14:paraId="38D4CC6D" w14:textId="3AEC7C1C" w:rsidR="00D643D6" w:rsidRPr="004F07BB" w:rsidRDefault="00D643D6" w:rsidP="00942636">
      <w:pPr>
        <w:pStyle w:val="ListParagraph"/>
        <w:numPr>
          <w:ilvl w:val="0"/>
          <w:numId w:val="11"/>
        </w:numPr>
        <w:tabs>
          <w:tab w:val="left" w:pos="993"/>
        </w:tabs>
        <w:ind w:left="0" w:firstLine="709"/>
        <w:jc w:val="both"/>
      </w:pPr>
      <w:r w:rsidRPr="004F07BB">
        <w:t xml:space="preserve">Sabiedrības 2021. gada </w:t>
      </w:r>
      <w:r w:rsidR="000E0C86" w:rsidRPr="004F07BB">
        <w:t>22</w:t>
      </w:r>
      <w:r w:rsidRPr="004F07BB">
        <w:t xml:space="preserve">. jūnija </w:t>
      </w:r>
      <w:r w:rsidR="000E0C86" w:rsidRPr="004F07BB">
        <w:t xml:space="preserve">atzinumā </w:t>
      </w:r>
      <w:r w:rsidRPr="004F07BB">
        <w:t xml:space="preserve">Nr. COR-N-2021/1215 iekļautais iebildums Nr. 2, ka </w:t>
      </w:r>
      <w:r w:rsidR="00B4444B" w:rsidRPr="004F07BB">
        <w:t>L</w:t>
      </w:r>
      <w:r w:rsidRPr="004F07BB">
        <w:t xml:space="preserve">ikumprojektu nepieciešams papildināt ar noteikumiem par “regulatīvajām smilšukastēm” nav ņemts vērā. Likumprojekta izziņas par atzinumos sniegtajiem iebildumiem 116. lapā norādīts, ka “Enerģētikas likuma projekta 2.pantā ir noteikts, ka likums reglamentē, cita starpā, pētniecību enerģētikas jomā sabiedrības interesēm atbilstošai nozares attīstībai. No tā ir secināms,  ka inovāciju projektu izveide un attīstība var tikt iekļauti pētījumu programmā, ja vien tie atbilst sabiedrības interesēm. Vienlaikus vēršam uzmanību, ka specifiskiem inovāciju projektiem ir  paredzēti citi atbalsta mehānismi.” </w:t>
      </w:r>
    </w:p>
    <w:p w14:paraId="6A2F9721" w14:textId="06F09D1B" w:rsidR="00D643D6" w:rsidRPr="004F07BB" w:rsidRDefault="00D643D6" w:rsidP="00FC48A3">
      <w:pPr>
        <w:ind w:firstLine="709"/>
        <w:jc w:val="both"/>
        <w:rPr>
          <w:rFonts w:ascii="Times New Roman" w:hAnsi="Times New Roman" w:cs="Times New Roman"/>
          <w:lang w:val="lv-LV"/>
        </w:rPr>
      </w:pPr>
      <w:r w:rsidRPr="004F07BB">
        <w:rPr>
          <w:rFonts w:ascii="Times New Roman" w:hAnsi="Times New Roman" w:cs="Times New Roman"/>
          <w:lang w:val="lv-LV"/>
        </w:rPr>
        <w:t>Sabiedrība iebilst, ka minētais Likumprojekta 2. panta noteikums, kā arī Enerģētikas likuma 2. pants, ko Likumprojekta 2. punkts groza, satur vispārīgu norādi par normatīvā akta tematisko tvērumu, bet tas nesatur “regulatīvās smilšukastes” būtiskas pazīmes, piemēram, bet ne tikai, atkāpi no citiem tirgus dalībniekiem piemērojamā regulējuma, lai nodrošinātu inovāciju projekta norisi un pieļautu plašāku inovāciju projektu spektru, kā arī Sabiedrisko pakalpojumu regulēšanas komisijas</w:t>
      </w:r>
      <w:r w:rsidR="00212FC4" w:rsidRPr="004F07BB">
        <w:rPr>
          <w:rFonts w:ascii="Times New Roman" w:hAnsi="Times New Roman" w:cs="Times New Roman"/>
          <w:lang w:val="lv-LV"/>
        </w:rPr>
        <w:t xml:space="preserve"> (turpmāk – regulators)</w:t>
      </w:r>
      <w:r w:rsidRPr="004F07BB">
        <w:rPr>
          <w:rFonts w:ascii="Times New Roman" w:hAnsi="Times New Roman" w:cs="Times New Roman"/>
          <w:lang w:val="lv-LV"/>
        </w:rPr>
        <w:t xml:space="preserve"> iesaisti “regulatīvās smilšukastes” uzsākšanā un darbībā. Likumprojekta 1. punkta daļa, kas paredz Enerģētikas likuma 1. pantu papildināt ar jaunu 55. punktu arī nesatur šīs būtiskās pazīmes, kas “regulatīvo smilšukasti” nošķir no parastas pētniecības enerģētikas jomā.</w:t>
      </w:r>
    </w:p>
    <w:p w14:paraId="385BEE1C" w14:textId="408C4927" w:rsidR="00D643D6" w:rsidRPr="004F07BB" w:rsidRDefault="00D643D6" w:rsidP="00FC48A3">
      <w:pPr>
        <w:ind w:firstLine="709"/>
        <w:jc w:val="both"/>
        <w:rPr>
          <w:rFonts w:ascii="Times New Roman" w:hAnsi="Times New Roman" w:cs="Times New Roman"/>
          <w:lang w:val="lv-LV"/>
        </w:rPr>
      </w:pPr>
      <w:r w:rsidRPr="004F07BB">
        <w:rPr>
          <w:rFonts w:ascii="Times New Roman" w:hAnsi="Times New Roman" w:cs="Times New Roman"/>
          <w:lang w:val="lv-LV"/>
        </w:rPr>
        <w:t xml:space="preserve">Ņemot vērā iepriekš minēto, Sabiedrība uztur iebildumu Nr. 2, kas pausts Sabiedrības 2021. gada </w:t>
      </w:r>
      <w:r w:rsidR="000E0C86" w:rsidRPr="004F07BB">
        <w:rPr>
          <w:rFonts w:ascii="Times New Roman" w:hAnsi="Times New Roman" w:cs="Times New Roman"/>
          <w:lang w:val="lv-LV"/>
        </w:rPr>
        <w:t>22</w:t>
      </w:r>
      <w:r w:rsidRPr="004F07BB">
        <w:rPr>
          <w:rFonts w:ascii="Times New Roman" w:hAnsi="Times New Roman" w:cs="Times New Roman"/>
          <w:lang w:val="lv-LV"/>
        </w:rPr>
        <w:t xml:space="preserve">. jūnija </w:t>
      </w:r>
      <w:r w:rsidR="000E0C86" w:rsidRPr="004F07BB">
        <w:rPr>
          <w:rFonts w:ascii="Times New Roman" w:hAnsi="Times New Roman" w:cs="Times New Roman"/>
          <w:lang w:val="lv-LV"/>
        </w:rPr>
        <w:t xml:space="preserve">atzinumā </w:t>
      </w:r>
      <w:r w:rsidRPr="004F07BB">
        <w:rPr>
          <w:rFonts w:ascii="Times New Roman" w:hAnsi="Times New Roman" w:cs="Times New Roman"/>
          <w:lang w:val="lv-LV"/>
        </w:rPr>
        <w:t xml:space="preserve">Nr. COR-N-2021/1215 un argumentus par labu tā iekļaušanai </w:t>
      </w:r>
      <w:r w:rsidR="00B4444B" w:rsidRPr="004F07BB">
        <w:rPr>
          <w:rFonts w:ascii="Times New Roman" w:hAnsi="Times New Roman" w:cs="Times New Roman"/>
          <w:lang w:val="lv-LV"/>
        </w:rPr>
        <w:t>L</w:t>
      </w:r>
      <w:r w:rsidRPr="004F07BB">
        <w:rPr>
          <w:rFonts w:ascii="Times New Roman" w:hAnsi="Times New Roman" w:cs="Times New Roman"/>
          <w:lang w:val="lv-LV"/>
        </w:rPr>
        <w:t xml:space="preserve">ikumprojektā, kas minēti Sabiedrības 2021. gada 19. aprīļa vēstulē Nr. COR-N-2021/0654 un 2021. gada </w:t>
      </w:r>
      <w:r w:rsidR="000E0C86" w:rsidRPr="004F07BB">
        <w:rPr>
          <w:rFonts w:ascii="Times New Roman" w:hAnsi="Times New Roman" w:cs="Times New Roman"/>
          <w:lang w:val="lv-LV"/>
        </w:rPr>
        <w:t>22</w:t>
      </w:r>
      <w:r w:rsidRPr="004F07BB">
        <w:rPr>
          <w:rFonts w:ascii="Times New Roman" w:hAnsi="Times New Roman" w:cs="Times New Roman"/>
          <w:lang w:val="lv-LV"/>
        </w:rPr>
        <w:t xml:space="preserve">. jūnija </w:t>
      </w:r>
      <w:r w:rsidR="000E0C86" w:rsidRPr="004F07BB">
        <w:rPr>
          <w:rFonts w:ascii="Times New Roman" w:hAnsi="Times New Roman" w:cs="Times New Roman"/>
          <w:lang w:val="lv-LV"/>
        </w:rPr>
        <w:t xml:space="preserve">atzinumā </w:t>
      </w:r>
      <w:r w:rsidRPr="004F07BB">
        <w:rPr>
          <w:rFonts w:ascii="Times New Roman" w:hAnsi="Times New Roman" w:cs="Times New Roman"/>
          <w:lang w:val="lv-LV"/>
        </w:rPr>
        <w:t>Nr. COR-N-2021/1215.</w:t>
      </w:r>
    </w:p>
    <w:p w14:paraId="16207614" w14:textId="4667EB2E" w:rsidR="00091B72" w:rsidRPr="004F07BB" w:rsidRDefault="00091B72" w:rsidP="00942636">
      <w:pPr>
        <w:pStyle w:val="ListParagraph"/>
        <w:numPr>
          <w:ilvl w:val="0"/>
          <w:numId w:val="11"/>
        </w:numPr>
        <w:tabs>
          <w:tab w:val="left" w:pos="993"/>
        </w:tabs>
        <w:ind w:left="0" w:firstLine="709"/>
        <w:jc w:val="both"/>
      </w:pPr>
      <w:r w:rsidRPr="004F07BB">
        <w:t xml:space="preserve">Likumprojektā piedāvāts izteikt Enerģētikas likuma 5. panta trešo daļu, kas paredz, ka “tirgus dalībnieki, veicot darbības dabasgāzes vairumtirdzniecībā, ievēro Eiropas Parlamenta un Padomes Regulas Nr. 1227/2011 par enerģijas vairumtirgus integritāti un pārredzamību prasības, tostarp aizliegumu darījumos ļaunprātīgi izmantot iekšējo informāciju, tirgus manipulāciju aizliegumu, kā arī pienākumu sniegt informāciju </w:t>
      </w:r>
      <w:r w:rsidR="00212FC4" w:rsidRPr="004F07BB">
        <w:t>regulatoram</w:t>
      </w:r>
      <w:r w:rsidRPr="004F07BB">
        <w:t xml:space="preserve"> un Energoregulatoru sadarbības aģentūrai”. Savukārt </w:t>
      </w:r>
      <w:r w:rsidR="00512C6D" w:rsidRPr="004F07BB">
        <w:t>L</w:t>
      </w:r>
      <w:r w:rsidRPr="004F07BB">
        <w:t xml:space="preserve">ikumprojektā piedāvāts iekļaut jaunu </w:t>
      </w:r>
      <w:r w:rsidRPr="004F07BB">
        <w:lastRenderedPageBreak/>
        <w:t>terminu, kas paredz, ka enerģijas tirdzniecība uzskatāma par energoapgādes veidu, kas ietver enerģijas iepirkšanu pārdošanai un pārdošanu enerģijas tirgotājiem vai enerģijas biržā. Ievērojot, ka Eiropas Parlamenta un Padomes Regulas Nr. 1227/2011 par enerģijas vairumtirgus integritāti un pārredzamību 2. panta 6. punktā enerģijas vairumtirgus definēts, kā jebkurš Eiropas Savienības tirgus, kur tirgo vairumtirdzniecības energoproduktus, Sabiedrība lūdz 5. panta trešajā daļā aizstāt vārdu “vairumtirdzniecībā” ar “vairumtirgū”, jo tirgus dalībnieks tirdzniecības darbības veic tirgus ietvaros kopumā.</w:t>
      </w:r>
    </w:p>
    <w:p w14:paraId="7DBBACC1" w14:textId="7BDBB9F9" w:rsidR="00091B72" w:rsidRPr="004F07BB" w:rsidRDefault="00091B72" w:rsidP="00942636">
      <w:pPr>
        <w:pStyle w:val="ListParagraph"/>
        <w:numPr>
          <w:ilvl w:val="0"/>
          <w:numId w:val="11"/>
        </w:numPr>
        <w:tabs>
          <w:tab w:val="left" w:pos="993"/>
        </w:tabs>
        <w:ind w:left="0" w:firstLine="709"/>
        <w:jc w:val="both"/>
      </w:pPr>
      <w:r w:rsidRPr="004F07BB">
        <w:t>Sabiedrība lūdz izteikt 44. panta astoto daļu šādā redakcijā: “(8) Piekļuve Inčukalna pazemes gāzes krātuvei tiek organizēta pārrunu procedūras veidā.”</w:t>
      </w:r>
      <w:r w:rsidR="000A4D68" w:rsidRPr="004F07BB">
        <w:t xml:space="preserve"> Regulētas procedūras nodrošināšana ir svarīga tādam tirgum, kur sistēmas operators, piemēram, pieļauj, ka krātuve tiek bloķēta (arī dēļ ilgtermiņa rezervācijām) un krātuvei piekļūt spēj tikai noteiktu, lielāku uzņēmumu loks, kas nav Latvijas gadījumā. Arī pārrunu procedūras gadījumā regulatoram saglabājas tiesības pārraudzīt nosacījumus par trešo pušu piekļuvi krātuvei. Līdz ar to, šāds princips būtu ieviešams, jo šobrīd nepastāv nedz administratīvi, tehniski, nedz arī ekonomiski šķēršļi attiecībā uz piekļuvi krātuvei.</w:t>
      </w:r>
    </w:p>
    <w:p w14:paraId="429A60A2" w14:textId="77777777" w:rsidR="00091B72" w:rsidRPr="004F07BB" w:rsidRDefault="00091B72" w:rsidP="00942636">
      <w:pPr>
        <w:pStyle w:val="ListParagraph"/>
        <w:numPr>
          <w:ilvl w:val="0"/>
          <w:numId w:val="11"/>
        </w:numPr>
        <w:tabs>
          <w:tab w:val="left" w:pos="993"/>
        </w:tabs>
        <w:ind w:left="0" w:firstLine="709"/>
        <w:jc w:val="both"/>
      </w:pPr>
      <w:r w:rsidRPr="004F07BB">
        <w:t>Sabiedrība iebilst piedāvātajai 44. panta papildinājuma ar 8.</w:t>
      </w:r>
      <w:r w:rsidRPr="004F07BB">
        <w:rPr>
          <w:vertAlign w:val="superscript"/>
        </w:rPr>
        <w:t>1</w:t>
      </w:r>
      <w:r w:rsidRPr="004F07BB">
        <w:t>, 8.</w:t>
      </w:r>
      <w:r w:rsidRPr="004F07BB">
        <w:rPr>
          <w:vertAlign w:val="superscript"/>
        </w:rPr>
        <w:t>2</w:t>
      </w:r>
      <w:r w:rsidRPr="004F07BB">
        <w:t xml:space="preserve"> un 8.</w:t>
      </w:r>
      <w:r w:rsidRPr="004F07BB">
        <w:rPr>
          <w:vertAlign w:val="superscript"/>
        </w:rPr>
        <w:t xml:space="preserve">3 </w:t>
      </w:r>
      <w:r w:rsidRPr="004F07BB">
        <w:t>punktu redakcijai, kā to Sabiedrība jau skaidrojusi un pamatojusi savā 2021. gada 28. janvāra atzinuma Nr. COR-N-2021/0132 15. punktā. Sabiedrības ieskatā:</w:t>
      </w:r>
    </w:p>
    <w:p w14:paraId="377A0124" w14:textId="5EA7890E" w:rsidR="00091B72" w:rsidRPr="004F07BB" w:rsidRDefault="00091B72" w:rsidP="00FC48A3">
      <w:pPr>
        <w:pStyle w:val="ListParagraph"/>
        <w:ind w:left="0" w:firstLine="709"/>
        <w:jc w:val="both"/>
      </w:pPr>
      <w:r w:rsidRPr="004F07BB">
        <w:t>1) 44. pants papildināms ar 8.</w:t>
      </w:r>
      <w:r w:rsidRPr="004F07BB">
        <w:rPr>
          <w:vertAlign w:val="superscript"/>
        </w:rPr>
        <w:t>1</w:t>
      </w:r>
      <w:r w:rsidRPr="004F07BB">
        <w:t xml:space="preserve"> punktu šādā redakcijā: “(8</w:t>
      </w:r>
      <w:r w:rsidRPr="004F07BB">
        <w:rPr>
          <w:vertAlign w:val="superscript"/>
        </w:rPr>
        <w:t>1</w:t>
      </w:r>
      <w:r w:rsidRPr="004F07BB">
        <w:t>) Lai nodrošinātu dabasgāzes krātuves jaudas rezervēšanu, dabasgāzes uzglabāšanas sistēmas operators var piemērot dabasgāzes krātuves jaudas izsoles procedūru.”;</w:t>
      </w:r>
    </w:p>
    <w:p w14:paraId="5E8A9732" w14:textId="77777777" w:rsidR="00091B72" w:rsidRPr="004F07BB" w:rsidRDefault="00091B72" w:rsidP="00FC48A3">
      <w:pPr>
        <w:pStyle w:val="ListParagraph"/>
        <w:ind w:left="0" w:firstLine="709"/>
        <w:jc w:val="both"/>
      </w:pPr>
      <w:r w:rsidRPr="004F07BB">
        <w:t>2) 44. pants papildināms ar 8.</w:t>
      </w:r>
      <w:r w:rsidRPr="004F07BB">
        <w:rPr>
          <w:vertAlign w:val="superscript"/>
        </w:rPr>
        <w:t xml:space="preserve">2 </w:t>
      </w:r>
      <w:r w:rsidRPr="004F07BB">
        <w:t>punktu šādā redakcijā: “(8</w:t>
      </w:r>
      <w:r w:rsidRPr="004F07BB">
        <w:rPr>
          <w:vertAlign w:val="superscript"/>
        </w:rPr>
        <w:t>2</w:t>
      </w:r>
      <w:r w:rsidRPr="004F07BB">
        <w:t>) Ja dabasgāzes krātuvei piemērotais piekļuves režīms ir regulēta procedūra, Regulators saskaņo šajā pantā noteiktās dabasgāzes krātuves jaudas izsoles solījuma minimālo cenu.”;</w:t>
      </w:r>
    </w:p>
    <w:p w14:paraId="19B249C6" w14:textId="3675A66D" w:rsidR="00091B72" w:rsidRPr="004F07BB" w:rsidRDefault="00091B72" w:rsidP="00FC48A3">
      <w:pPr>
        <w:pStyle w:val="ListParagraph"/>
        <w:ind w:left="0" w:firstLine="709"/>
        <w:jc w:val="both"/>
      </w:pPr>
      <w:r w:rsidRPr="004F07BB">
        <w:t xml:space="preserve">3) piedāvātā </w:t>
      </w:r>
      <w:r w:rsidR="00512C6D" w:rsidRPr="004F07BB">
        <w:t>L</w:t>
      </w:r>
      <w:r w:rsidRPr="004F07BB">
        <w:t>ikumprojekta 44. panta 8.</w:t>
      </w:r>
      <w:r w:rsidRPr="004F07BB">
        <w:rPr>
          <w:vertAlign w:val="superscript"/>
        </w:rPr>
        <w:t xml:space="preserve">3 </w:t>
      </w:r>
      <w:r w:rsidRPr="004F07BB">
        <w:t xml:space="preserve">punkts svītrojams no </w:t>
      </w:r>
      <w:r w:rsidR="00512C6D" w:rsidRPr="004F07BB">
        <w:t>L</w:t>
      </w:r>
      <w:r w:rsidRPr="004F07BB">
        <w:t xml:space="preserve">ikumprojekta vispār, jo detalizēti nosacījumi dabasgāzes krātuves jaudas izsoles rezultātu apstiprināšanai ietverami </w:t>
      </w:r>
      <w:r w:rsidR="00212FC4" w:rsidRPr="004F07BB">
        <w:t>r</w:t>
      </w:r>
      <w:r w:rsidRPr="004F07BB">
        <w:t>egulatora saskaņotajā dabasgāzes krātuves jaudas izsoles nolikumā vai attiecīgi dabasgāzes krātuves lietošanas noteikumos, nevis nosakāmi likuma līmenī.</w:t>
      </w:r>
    </w:p>
    <w:p w14:paraId="523C712B" w14:textId="4CFD32A3" w:rsidR="00D643D6" w:rsidRPr="004F07BB" w:rsidRDefault="00D643D6" w:rsidP="00FC48A3">
      <w:pPr>
        <w:pStyle w:val="ListParagraph"/>
        <w:numPr>
          <w:ilvl w:val="0"/>
          <w:numId w:val="11"/>
        </w:numPr>
        <w:tabs>
          <w:tab w:val="left" w:pos="993"/>
        </w:tabs>
        <w:ind w:left="0" w:firstLine="709"/>
        <w:jc w:val="both"/>
      </w:pPr>
      <w:r w:rsidRPr="004F07BB">
        <w:t xml:space="preserve">Sabiedrība norāda, ka tās iebildums Nr. 4, kas iekļauts Sabiedrības 2021. gada </w:t>
      </w:r>
      <w:r w:rsidR="000E0C86" w:rsidRPr="004F07BB">
        <w:t>22</w:t>
      </w:r>
      <w:r w:rsidRPr="004F07BB">
        <w:t xml:space="preserve">. jūnija </w:t>
      </w:r>
      <w:r w:rsidR="000E0C86" w:rsidRPr="004F07BB">
        <w:t xml:space="preserve">atzinumā </w:t>
      </w:r>
      <w:r w:rsidRPr="004F07BB">
        <w:t>Nr. COR-N-2021/1215, ir iekļauts Likumprojekta izziņas par atzinumos sniegtajiem iebildumiem 299-301. lapā kā “Ņemts vērā”, taču Likumprojekta 27. punkta daļa, kas paredz Enerģētikas likumu papildināt ar 58</w:t>
      </w:r>
      <w:r w:rsidRPr="004F07BB">
        <w:rPr>
          <w:vertAlign w:val="superscript"/>
        </w:rPr>
        <w:t>8</w:t>
      </w:r>
      <w:r w:rsidRPr="004F07BB">
        <w:t xml:space="preserve">. panta četrpadsmito daļu nav grozīta saskaņā ar akceptēto iebildumu un Likumprojekta anotācija nesatur iztirzājumu par pārvades sistēmas operatora neitralitātes saistību vai finansiālu slogu. </w:t>
      </w:r>
    </w:p>
    <w:p w14:paraId="46EEA894" w14:textId="477E8E63" w:rsidR="00AB6168" w:rsidRPr="004F07BB" w:rsidRDefault="00D643D6" w:rsidP="00FC48A3">
      <w:pPr>
        <w:ind w:firstLine="709"/>
        <w:jc w:val="both"/>
        <w:rPr>
          <w:rFonts w:ascii="Times New Roman" w:hAnsi="Times New Roman" w:cs="Times New Roman"/>
          <w:lang w:val="lv-LV"/>
        </w:rPr>
      </w:pPr>
      <w:r w:rsidRPr="004F07BB">
        <w:rPr>
          <w:rFonts w:ascii="Times New Roman" w:hAnsi="Times New Roman" w:cs="Times New Roman"/>
          <w:lang w:val="lv-LV"/>
        </w:rPr>
        <w:t xml:space="preserve">Sabiedrība uztur iebildumu, </w:t>
      </w:r>
      <w:r w:rsidR="00B4444B" w:rsidRPr="004F07BB">
        <w:rPr>
          <w:rFonts w:ascii="Times New Roman" w:hAnsi="Times New Roman" w:cs="Times New Roman"/>
          <w:lang w:val="lv-LV"/>
        </w:rPr>
        <w:t xml:space="preserve">un lūdz minēto normu izteikt šādā, precizētā redakcijā, kas būtu saskanīga un saprotama vienlaikus ar Sabiedrisko pakalpojumu regulēšanas komisijas 2010. gada 14. jūlija lēmumu Nr. 1/12 “Noteikumi par tarifus veidojošo izmaksu pamatojumu” un tā ir: </w:t>
      </w:r>
      <w:r w:rsidRPr="004F07BB">
        <w:rPr>
          <w:rFonts w:ascii="Times New Roman" w:hAnsi="Times New Roman" w:cs="Times New Roman"/>
          <w:lang w:val="lv-LV"/>
        </w:rPr>
        <w:t xml:space="preserve">“(14) Lai segtu ar izcelsmes apliecinājuma izsniegšanu un elektroniskās sistēmas uzturēšanu saistītās mainīgās izmaksas, vienotais dabasgāzes pārvades un uzglabāšanas sistēmas operators par izcelsmes apliecinājuma izsniegšanu pieprasa maksu,  kuras aprēķināšanas kārtību tas izstrādā un publicē savā tīmekļvietnē. Savukārt, ar izcelsmes apliecinājumu elektroniskā reģistra ieviešanu saistītās </w:t>
      </w:r>
      <w:r w:rsidR="00B4444B" w:rsidRPr="004F07BB">
        <w:rPr>
          <w:rFonts w:ascii="Times New Roman" w:hAnsi="Times New Roman" w:cs="Times New Roman"/>
          <w:lang w:val="lv-LV"/>
        </w:rPr>
        <w:t xml:space="preserve">pamatotās </w:t>
      </w:r>
      <w:r w:rsidRPr="004F07BB">
        <w:rPr>
          <w:rFonts w:ascii="Times New Roman" w:hAnsi="Times New Roman" w:cs="Times New Roman"/>
          <w:lang w:val="lv-LV"/>
        </w:rPr>
        <w:t>fiksētās izmaksas sedz vienotais dabasgāzes pārvades un uzglabāšanas sistēmas operators un tās iekļauj</w:t>
      </w:r>
      <w:r w:rsidR="00B4444B" w:rsidRPr="004F07BB">
        <w:rPr>
          <w:rFonts w:ascii="Times New Roman" w:hAnsi="Times New Roman" w:cs="Times New Roman"/>
          <w:lang w:val="lv-LV"/>
        </w:rPr>
        <w:t xml:space="preserve"> gāzes pārvades sistēmas attiecināmajās izmaksās</w:t>
      </w:r>
      <w:r w:rsidR="004B1432" w:rsidRPr="004F07BB">
        <w:rPr>
          <w:rFonts w:ascii="Times New Roman" w:hAnsi="Times New Roman" w:cs="Times New Roman"/>
          <w:lang w:val="lv-LV"/>
        </w:rPr>
        <w:t>,</w:t>
      </w:r>
      <w:r w:rsidRPr="004F07BB">
        <w:rPr>
          <w:rFonts w:ascii="Times New Roman" w:hAnsi="Times New Roman" w:cs="Times New Roman"/>
          <w:lang w:val="lv-LV"/>
        </w:rPr>
        <w:t xml:space="preserve">” </w:t>
      </w:r>
      <w:r w:rsidR="004B1432" w:rsidRPr="004F07BB">
        <w:rPr>
          <w:rFonts w:ascii="Times New Roman" w:hAnsi="Times New Roman" w:cs="Times New Roman"/>
          <w:lang w:val="lv-LV"/>
        </w:rPr>
        <w:t>kā arī iebilst</w:t>
      </w:r>
      <w:r w:rsidR="00942636" w:rsidRPr="004F07BB">
        <w:rPr>
          <w:rFonts w:ascii="Times New Roman" w:hAnsi="Times New Roman" w:cs="Times New Roman"/>
          <w:lang w:val="lv-LV"/>
        </w:rPr>
        <w:t>,</w:t>
      </w:r>
      <w:r w:rsidRPr="004F07BB">
        <w:rPr>
          <w:rFonts w:ascii="Times New Roman" w:hAnsi="Times New Roman" w:cs="Times New Roman"/>
          <w:lang w:val="lv-LV"/>
        </w:rPr>
        <w:t xml:space="preserve"> ka Likumprojekta anotācijā ir </w:t>
      </w:r>
      <w:r w:rsidR="00942636" w:rsidRPr="004F07BB">
        <w:rPr>
          <w:rFonts w:ascii="Times New Roman" w:hAnsi="Times New Roman" w:cs="Times New Roman"/>
          <w:lang w:val="lv-LV"/>
        </w:rPr>
        <w:t>ietverama</w:t>
      </w:r>
      <w:r w:rsidRPr="004F07BB">
        <w:rPr>
          <w:rFonts w:ascii="Times New Roman" w:hAnsi="Times New Roman" w:cs="Times New Roman"/>
          <w:lang w:val="lv-LV"/>
        </w:rPr>
        <w:t xml:space="preserve"> analīze, kas iekļauta Sabiedrības 2021. gada </w:t>
      </w:r>
      <w:r w:rsidR="000E0C86" w:rsidRPr="004F07BB">
        <w:rPr>
          <w:rFonts w:ascii="Times New Roman" w:hAnsi="Times New Roman" w:cs="Times New Roman"/>
          <w:lang w:val="lv-LV"/>
        </w:rPr>
        <w:t>22</w:t>
      </w:r>
      <w:r w:rsidRPr="004F07BB">
        <w:rPr>
          <w:rFonts w:ascii="Times New Roman" w:hAnsi="Times New Roman" w:cs="Times New Roman"/>
          <w:lang w:val="lv-LV"/>
        </w:rPr>
        <w:t xml:space="preserve">. jūnija </w:t>
      </w:r>
      <w:r w:rsidR="000E0C86" w:rsidRPr="004F07BB">
        <w:rPr>
          <w:rFonts w:ascii="Times New Roman" w:hAnsi="Times New Roman" w:cs="Times New Roman"/>
          <w:lang w:val="lv-LV"/>
        </w:rPr>
        <w:t xml:space="preserve">atzinuma </w:t>
      </w:r>
      <w:r w:rsidRPr="004F07BB">
        <w:rPr>
          <w:rFonts w:ascii="Times New Roman" w:hAnsi="Times New Roman" w:cs="Times New Roman"/>
          <w:lang w:val="lv-LV"/>
        </w:rPr>
        <w:t>Nr. COR-N-2021/1215 iebildumā Nr. 4.</w:t>
      </w:r>
    </w:p>
    <w:p w14:paraId="728ADFA6" w14:textId="1C538146" w:rsidR="00512C6D" w:rsidRPr="004F07BB" w:rsidRDefault="00512C6D" w:rsidP="00942636">
      <w:pPr>
        <w:pStyle w:val="ListParagraph"/>
        <w:numPr>
          <w:ilvl w:val="0"/>
          <w:numId w:val="11"/>
        </w:numPr>
        <w:tabs>
          <w:tab w:val="left" w:pos="993"/>
        </w:tabs>
        <w:ind w:left="0" w:firstLine="709"/>
        <w:jc w:val="both"/>
      </w:pPr>
      <w:r w:rsidRPr="004F07BB">
        <w:t>Likumprojekts papildināts ar 58.</w:t>
      </w:r>
      <w:r w:rsidRPr="004F07BB">
        <w:rPr>
          <w:vertAlign w:val="superscript"/>
        </w:rPr>
        <w:t>8</w:t>
      </w:r>
      <w:r w:rsidRPr="004F07BB">
        <w:t xml:space="preserve"> pantu, kas noteic jautājumus saistībā ar no atjaunojamiem energoresursiem ražotas gāzes izcelsmes apliecinājumiem. Vēršam uzmanību, ka Likumprojektā nav noteikts sistēmas ieviešanas termiņš, kas ir būtiski, ņemot vērā, ka saskaņā ar Likumprojektā ietverto informāciju, Sabiedrība potenciāli būs izcelsmes </w:t>
      </w:r>
      <w:r w:rsidRPr="004F07BB">
        <w:lastRenderedPageBreak/>
        <w:t>apliecinājumu izdevējiestāde, taču šī pienākuma veikšanai nepieciešams pienācīgs un saprātīgs sistēmas ieviešanas laiks. Līdz ar to lūdzam Ministriju papildināt Likumprojektu ar nomu, kas nosaka, ka izcelsmes apliecinājumu izdevējiestādei ir jāievieš izcelsmes apliecinājumu sistēma (tostarp, elektroniskais reģistrs) viena gada laikā no Likumprojekta spēkā stāšanās brīža.</w:t>
      </w:r>
    </w:p>
    <w:p w14:paraId="0056409E" w14:textId="714F7C22" w:rsidR="00FC48A3" w:rsidRPr="004F07BB" w:rsidRDefault="00FC48A3" w:rsidP="00942636">
      <w:pPr>
        <w:pStyle w:val="ListParagraph"/>
        <w:numPr>
          <w:ilvl w:val="0"/>
          <w:numId w:val="11"/>
        </w:numPr>
        <w:tabs>
          <w:tab w:val="left" w:pos="993"/>
        </w:tabs>
        <w:ind w:left="0" w:firstLine="709"/>
        <w:jc w:val="both"/>
      </w:pPr>
      <w:r w:rsidRPr="004F07BB">
        <w:t xml:space="preserve">Likumprojekta izziņā norādīts, ka </w:t>
      </w:r>
      <w:r w:rsidR="00512C6D" w:rsidRPr="004F07BB">
        <w:t>L</w:t>
      </w:r>
      <w:r w:rsidRPr="004F07BB">
        <w:t>ikumprojekts papildināms ar 106. panta 2.</w:t>
      </w:r>
      <w:r w:rsidRPr="004F07BB">
        <w:rPr>
          <w:vertAlign w:val="superscript"/>
        </w:rPr>
        <w:t>2</w:t>
      </w:r>
      <w:r w:rsidRPr="004F07BB">
        <w:t xml:space="preserve"> daļu, kas paredz, ka “dabasgāzes pārvades maksas vērtību maksā sadales sistēmas operators un pārvades sistēmai tieši pieslēgti gāzes ražotāji, sašķidrinātās dabasgāzes sistēmas operatori un gāzes lietotāji. Regulators nosaka gāzes pārvades maksas vērtības aprēķināšanas metodiku”. Tomēr precizētajā </w:t>
      </w:r>
      <w:r w:rsidR="00512C6D" w:rsidRPr="004F07BB">
        <w:t>L</w:t>
      </w:r>
      <w:r w:rsidRPr="004F07BB">
        <w:t xml:space="preserve">ikumprojektā piedāvātā norma nav iekļauta, lai arī </w:t>
      </w:r>
      <w:r w:rsidR="00212FC4" w:rsidRPr="004F07BB">
        <w:t>M</w:t>
      </w:r>
      <w:r w:rsidRPr="004F07BB">
        <w:t xml:space="preserve">inistrija ir norādījusi uz minētās normas ieviešanas nepieciešamību. Ievērojot minēto, Sabiedrība lūdz </w:t>
      </w:r>
      <w:r w:rsidR="00512C6D" w:rsidRPr="004F07BB">
        <w:t>L</w:t>
      </w:r>
      <w:r w:rsidRPr="004F07BB">
        <w:t>ikumprojektu papildināt ar minēto 106. panta 2.</w:t>
      </w:r>
      <w:r w:rsidRPr="004F07BB">
        <w:rPr>
          <w:vertAlign w:val="superscript"/>
        </w:rPr>
        <w:t xml:space="preserve">2 </w:t>
      </w:r>
      <w:r w:rsidRPr="004F07BB">
        <w:t>daļu.</w:t>
      </w:r>
      <w:r w:rsidR="007979B1" w:rsidRPr="004F07BB">
        <w:t xml:space="preserve"> Vienlaikus, balstoties uz Likumprojekta anotācijā ietverto informāciju, Sabiedrība lūdz precizēt arī 15.</w:t>
      </w:r>
      <w:r w:rsidR="004C12A0" w:rsidRPr="004F07BB">
        <w:t xml:space="preserve"> </w:t>
      </w:r>
      <w:r w:rsidR="007979B1" w:rsidRPr="004F07BB">
        <w:t>panta 5.</w:t>
      </w:r>
      <w:r w:rsidR="007979B1" w:rsidRPr="004F07BB">
        <w:rPr>
          <w:vertAlign w:val="superscript"/>
        </w:rPr>
        <w:t>1</w:t>
      </w:r>
      <w:r w:rsidR="007979B1" w:rsidRPr="004F07BB">
        <w:t xml:space="preserve"> daļu šādā redakcijā “Līdz brīdim, kad tiek ieviesta fiziskā plūsma virzienā no sadales sistēmas uz pārvades sistēmu, sistēmas operators minētajā virzienā nodrošina virtuālu dabasgāzes plūsmu”.</w:t>
      </w:r>
    </w:p>
    <w:p w14:paraId="1A85096D" w14:textId="4D50C234" w:rsidR="00251596" w:rsidRPr="004F07BB" w:rsidRDefault="00FC48A3" w:rsidP="00251596">
      <w:pPr>
        <w:pStyle w:val="ListParagraph"/>
        <w:numPr>
          <w:ilvl w:val="0"/>
          <w:numId w:val="11"/>
        </w:numPr>
        <w:tabs>
          <w:tab w:val="left" w:pos="993"/>
        </w:tabs>
        <w:ind w:left="0" w:firstLine="709"/>
        <w:jc w:val="both"/>
      </w:pPr>
      <w:r w:rsidRPr="004F07BB">
        <w:t xml:space="preserve">Likumprojektā piedāvāts papildināt Enerģētikas likuma 112. pantu ar 19., 20. un 21. punktu, kas paredz dabasgāzes uzglabāšanas sistēmas operatora pienākumu izveidot un uzturēt regulatīvo kontu. Ņemot vērā, ka ar </w:t>
      </w:r>
      <w:r w:rsidR="00512C6D" w:rsidRPr="004F07BB">
        <w:t>L</w:t>
      </w:r>
      <w:r w:rsidRPr="004F07BB">
        <w:t>ikumprojektu piedāvāts papildināt Enerģētikas likuma 1. pantu ar jaunu 34.</w:t>
      </w:r>
      <w:r w:rsidRPr="004F07BB">
        <w:rPr>
          <w:vertAlign w:val="superscript"/>
        </w:rPr>
        <w:t xml:space="preserve">1 </w:t>
      </w:r>
      <w:r w:rsidRPr="004F07BB">
        <w:t>punktu, kas definē vienotā dabasgāzes pārvades un uzglabāšanas sistēmas operatora pienākumu uzturēt regulatīvo kontu, Sabiedrība lūdz piedāvātajā 112. panta 19. un 20. punktā aizstāt vārdus “dabasgāzes uzglabāšanas sistēmas operators” ar “vienotais dabasgāzes pārvades un uzglabāšanas sistēmas operators”.</w:t>
      </w:r>
    </w:p>
    <w:p w14:paraId="3220F991" w14:textId="4278CA9D" w:rsidR="00251596" w:rsidRPr="004F07BB" w:rsidRDefault="00251596" w:rsidP="00251596">
      <w:pPr>
        <w:pStyle w:val="naisc"/>
        <w:spacing w:before="0" w:after="0"/>
        <w:jc w:val="both"/>
      </w:pPr>
      <w:r w:rsidRPr="004F07BB">
        <w:tab/>
        <w:t xml:space="preserve">9. Kā to Sabiedrība norādījusi arī </w:t>
      </w:r>
      <w:r w:rsidR="000E0C86" w:rsidRPr="004F07BB">
        <w:t>2021. gada 22</w:t>
      </w:r>
      <w:r w:rsidRPr="004F07BB">
        <w:t xml:space="preserve">. jūnija </w:t>
      </w:r>
      <w:r w:rsidR="000E0C86" w:rsidRPr="004F07BB">
        <w:t xml:space="preserve">atzinumā </w:t>
      </w:r>
      <w:r w:rsidRPr="004F07BB">
        <w:t>Nr. COR-N-2021/1215, Sabiedrība uztur iebildumu par normu iekļaušanu likumā (117.</w:t>
      </w:r>
      <w:r w:rsidRPr="004F07BB">
        <w:rPr>
          <w:vertAlign w:val="superscript"/>
        </w:rPr>
        <w:t>1</w:t>
      </w:r>
      <w:r w:rsidRPr="004F07BB">
        <w:t xml:space="preserve"> pants), kas paredz pienākumu dabasgāzes pārvades sistēmas operatoram reizi divos gados izstrādāt un iesniegt apstiprināšanai Regulatorā dabasgāzes pārvades sistēmas 10 gadu attīstības plānu. Šāda koncepta ieviešanu Ekonomikas ministrija anotācijā skaidro ar nepieciešamību nodrošināt koordinētu un tālredzīgu pārvades sistēmas attīstību. Turpretī Eiropas Komisijas 2010. gada 10. janvāra darba dokuments par elektroenerģijas un dabasgāzes sistēmas operatoru nodalīšanas režīmiem satur norādes par desmit gadu tīkla attīstības plāna izstrādes pienākuma nepieciešamību tikai situācijā, ja dalībvalstī sistēmas operatora nodalīšanai tiek piemērots neatkarīga pārvades sistēmas operatora (</w:t>
      </w:r>
      <w:proofErr w:type="spellStart"/>
      <w:r w:rsidRPr="004F07BB">
        <w:t>independent</w:t>
      </w:r>
      <w:proofErr w:type="spellEnd"/>
      <w:r w:rsidRPr="004F07BB">
        <w:t xml:space="preserve"> </w:t>
      </w:r>
      <w:proofErr w:type="spellStart"/>
      <w:r w:rsidRPr="004F07BB">
        <w:t>transmission</w:t>
      </w:r>
      <w:proofErr w:type="spellEnd"/>
      <w:r w:rsidRPr="004F07BB">
        <w:t xml:space="preserve"> </w:t>
      </w:r>
      <w:proofErr w:type="spellStart"/>
      <w:r w:rsidRPr="004F07BB">
        <w:t>system</w:t>
      </w:r>
      <w:proofErr w:type="spellEnd"/>
      <w:r w:rsidRPr="004F07BB">
        <w:t xml:space="preserve"> operator) (turpmāk – ITO) modelis. Tas tiek pamatots ar apsvērumu, ka ITO modeļa piemērošanas gadījumā ITO uzraugāms, lai tas veiktu ieguldījumus un pieņemtu atbilstošus lēmumus par ieguldījumiem ar mērķi nodrošināt tīkla attīstību.  </w:t>
      </w:r>
    </w:p>
    <w:p w14:paraId="36130279" w14:textId="73335DA5" w:rsidR="00251596" w:rsidRPr="004F07BB" w:rsidRDefault="00251596" w:rsidP="004C12A0">
      <w:pPr>
        <w:pStyle w:val="naisc"/>
        <w:spacing w:before="0" w:after="0"/>
        <w:ind w:firstLine="709"/>
        <w:jc w:val="both"/>
      </w:pPr>
      <w:r w:rsidRPr="004F07BB">
        <w:t>Enerģētikas likuma redakcija, kas tika sagatavota dabasgāzes tirgus liberalizēšanai, paredzēja un arī šobrīd paredz vienotā dabasgāzes pārvades un uzglabāšanas sistēmas operatora īpašumtiesību nodalīšanas modeļa (</w:t>
      </w:r>
      <w:proofErr w:type="spellStart"/>
      <w:r w:rsidRPr="004F07BB">
        <w:t>ownership</w:t>
      </w:r>
      <w:proofErr w:type="spellEnd"/>
      <w:r w:rsidRPr="004F07BB">
        <w:t xml:space="preserve"> </w:t>
      </w:r>
      <w:proofErr w:type="spellStart"/>
      <w:r w:rsidRPr="004F07BB">
        <w:t>unbundling</w:t>
      </w:r>
      <w:proofErr w:type="spellEnd"/>
      <w:r w:rsidRPr="004F07BB">
        <w:t>), nevis ITO vai neatkarīga sistēmas operatora (</w:t>
      </w:r>
      <w:proofErr w:type="spellStart"/>
      <w:r w:rsidRPr="004F07BB">
        <w:t>independent</w:t>
      </w:r>
      <w:proofErr w:type="spellEnd"/>
      <w:r w:rsidRPr="004F07BB">
        <w:t xml:space="preserve"> </w:t>
      </w:r>
      <w:proofErr w:type="spellStart"/>
      <w:r w:rsidRPr="004F07BB">
        <w:t>system</w:t>
      </w:r>
      <w:proofErr w:type="spellEnd"/>
      <w:r w:rsidRPr="004F07BB">
        <w:t xml:space="preserve"> operator) (turpmāk – ISO), īstenošanu un piemērošanu. Tas nozīmē, ka likumdevējam, pieņemot lēmumu par vienotā dabasgāzes pārvades un uzglabāšanas sistēmas operatora īpašumtiesību nodalīšanas modeli (2016. gada 2. februāra grozījumi Enerģētikas likumā, kas stājās spēkā 2016. gada 8. martā), tika pieņemts lēmums šo modeli īstenot atbilstoši šobrīd Enerģētikas likumā noteiktajam, nevis piemērot papildus nosacījumus, kas izriet, piemēram, no ISO vai attiecīgi ITO modeļa, lai tādējādi izveidotu jaunu nodalīšanas modeli, kas jebkurā gadījumā būtu pretrunā Eiropas Parlamenta un Padomes Direktīvā 2009/73/EK (2009. gada 13. jūlijs) par kopīgiem noteikumiem attiecībā uz dabasgāzes iekšējo tirgu un par Direktīvas 2003/55/EK atcelšanu noteiktajam.  </w:t>
      </w:r>
    </w:p>
    <w:p w14:paraId="1252AAC9" w14:textId="244D0E39" w:rsidR="00251596" w:rsidRPr="004F07BB" w:rsidRDefault="00251596" w:rsidP="004C12A0">
      <w:pPr>
        <w:pStyle w:val="naisc"/>
        <w:spacing w:before="0" w:after="0"/>
        <w:ind w:firstLine="709"/>
        <w:jc w:val="both"/>
      </w:pPr>
      <w:r w:rsidRPr="004F07BB">
        <w:t xml:space="preserve">Attiecībā uz ieguldījumu plānošanu īpašumtiesību nodalīšanas modeļa piemērošanas gadījumā, dabasgāzes pārvades sistēmas un Inčukalna pazemes gāzes krātuves īpašniekam </w:t>
      </w:r>
      <w:r w:rsidRPr="004F07BB">
        <w:lastRenderedPageBreak/>
        <w:t xml:space="preserve">Enerģētikas likuma 15. panta sestajā daļā un 112. panta pirmajā punktā jau ir noteikts pienākums caur ieguldījumu plānošanu un atbilstoši pieprasījumam nodrošināt ilglaicīgu spēju enerģijas pārvadei un uzglabāšanai. </w:t>
      </w:r>
    </w:p>
    <w:p w14:paraId="086E97CC" w14:textId="381C587A" w:rsidR="00251596" w:rsidRPr="004F07BB" w:rsidRDefault="00251596" w:rsidP="004C12A0">
      <w:pPr>
        <w:pStyle w:val="naisc"/>
        <w:spacing w:before="0" w:after="0"/>
        <w:ind w:firstLine="709"/>
        <w:jc w:val="both"/>
      </w:pPr>
      <w:r w:rsidRPr="004F07BB">
        <w:t xml:space="preserve">2006. gada 20. jūnija Ministru kabineta noteikumi Nr. 482 “Noteikumi par dabasgāzes pārvades sistēmas operatora ikgadējo novērtējuma ziņojumu” (turpmāk – MK noteikumi Nr. 482) jau paredz pienākumu Sabiedrībai ikgadēji izstrādāt un iesniegt Ekonomikas ministrijā un Regulatorā piegādes un patēriņa atbilstības un valsts dabasgāzes apgādes drošuma novērtējuma ziņojumu  (turpmāk – ziņojums). Šāds ziņojums, cita starpā, satur pārvades sistēmas operatora pienākumu izstrādāt gan dabasgāzes pieprasījuma prognozi nākamajiem 10 gadiem, vērtējumu par attiecīgu dabasgāzes piegādes un patēriņa atbilstību pārskata periodā un prognozi 10 gadu periodam, gan sagatavot informāciju par dabasgāzes pārvades sistēmas atbilstību pieprasījumam un uzturēšanas kvalitāti, tai skaitā informāciju par būvējamiem objektiem un plānotajām dabasgāzes pārvades jaudām un pasākumiem, kas tiek veikti maksimāla pieprasījuma gadījumā un viena vai vairāku piegādātāju iztrūkuma gadījumā. Turklāt MK noteikumu Nr. 482 6. punktā noteikts Ekonomikas ministrijas pienākums ziņojumu publicēt gan savā tīmekļvietnē, gan nosūtīt arī Eiropas Komisijai. </w:t>
      </w:r>
    </w:p>
    <w:p w14:paraId="7CC74DEC" w14:textId="18A9958D" w:rsidR="00251596" w:rsidRPr="004F07BB" w:rsidRDefault="00251596" w:rsidP="004C12A0">
      <w:pPr>
        <w:ind w:firstLine="709"/>
        <w:jc w:val="both"/>
        <w:rPr>
          <w:rFonts w:ascii="Times New Roman" w:hAnsi="Times New Roman" w:cs="Times New Roman"/>
          <w:lang w:val="lv-LV"/>
        </w:rPr>
      </w:pPr>
      <w:r w:rsidRPr="004F07BB">
        <w:rPr>
          <w:rFonts w:ascii="Times New Roman" w:hAnsi="Times New Roman" w:cs="Times New Roman"/>
          <w:lang w:val="lv-LV"/>
        </w:rPr>
        <w:t xml:space="preserve">Līdz ar to pēc nepieciešamības būtu veicamas izmaiņas Enerģētikas likumā, MK noteikumos Nr. 482, kas precizētu vai noteiktu papildus ziņojumā iekļaujamo saturu, tostarp </w:t>
      </w:r>
      <w:proofErr w:type="spellStart"/>
      <w:r w:rsidRPr="004F07BB">
        <w:rPr>
          <w:rFonts w:ascii="Times New Roman" w:hAnsi="Times New Roman" w:cs="Times New Roman"/>
          <w:lang w:val="lv-LV"/>
        </w:rPr>
        <w:t>Energoregulatoru</w:t>
      </w:r>
      <w:proofErr w:type="spellEnd"/>
      <w:r w:rsidRPr="004F07BB">
        <w:rPr>
          <w:rFonts w:ascii="Times New Roman" w:hAnsi="Times New Roman" w:cs="Times New Roman"/>
          <w:lang w:val="lv-LV"/>
        </w:rPr>
        <w:t xml:space="preserve"> sadarbības aģentūras (ACER) un ENTSOG informēšanas pienākumu par periodiski izstrādāto ziņojumu, nevis Enerģētikas likumā ieviešot pēc būtības analoģisku mehānismu tam, kas jau šobrīd noteikts Enerģētikas likuma 43.</w:t>
      </w:r>
      <w:r w:rsidRPr="004F07BB">
        <w:rPr>
          <w:rFonts w:ascii="Times New Roman" w:hAnsi="Times New Roman" w:cs="Times New Roman"/>
          <w:vertAlign w:val="superscript"/>
          <w:lang w:val="lv-LV"/>
        </w:rPr>
        <w:t>1</w:t>
      </w:r>
      <w:r w:rsidRPr="004F07BB">
        <w:rPr>
          <w:rFonts w:ascii="Times New Roman" w:hAnsi="Times New Roman" w:cs="Times New Roman"/>
          <w:lang w:val="lv-LV"/>
        </w:rPr>
        <w:t xml:space="preserve"> pantā. Ievērojot minēto, priekšlikums papildus regulējumam precizētajā likumprojektā par desmit gadu tīkla attīstības plāna izstrādes un apstiprināšanas nepieciešamību Sabiedrības ieskatā nav balstīts uz pamatotiem apsvērumiem un nav skaidrs šāda regulējuma mērķis situācijā, kad īstenotais īpašumtiesību nodalīšanas modelis dabasgāzes jomā ir funkcionējošs un Sabiedrība jau pilda Enerģētikas likuma 43.</w:t>
      </w:r>
      <w:r w:rsidRPr="004F07BB">
        <w:rPr>
          <w:rFonts w:ascii="Times New Roman" w:hAnsi="Times New Roman" w:cs="Times New Roman"/>
          <w:vertAlign w:val="superscript"/>
          <w:lang w:val="lv-LV"/>
        </w:rPr>
        <w:t>1</w:t>
      </w:r>
      <w:r w:rsidRPr="004F07BB">
        <w:rPr>
          <w:rFonts w:ascii="Times New Roman" w:hAnsi="Times New Roman" w:cs="Times New Roman"/>
          <w:lang w:val="lv-LV"/>
        </w:rPr>
        <w:t xml:space="preserve"> pantā un MK noteikumos Nr. 482 noteiktās prasības.</w:t>
      </w:r>
    </w:p>
    <w:p w14:paraId="6D6CEE8C" w14:textId="320A083B" w:rsidR="004C12A0" w:rsidRPr="004F07BB" w:rsidRDefault="00FC48A3" w:rsidP="004C12A0">
      <w:pPr>
        <w:pStyle w:val="ListParagraph"/>
        <w:numPr>
          <w:ilvl w:val="0"/>
          <w:numId w:val="11"/>
        </w:numPr>
        <w:tabs>
          <w:tab w:val="left" w:pos="993"/>
        </w:tabs>
        <w:ind w:left="0" w:firstLine="709"/>
        <w:jc w:val="both"/>
      </w:pPr>
      <w:r w:rsidRPr="004F07BB">
        <w:t>Likumprojektā piedāvāts papildināt Enerģētikas likumu ar 126. pantu, kas paredz, ka “saskaņā ar Regulu Nr. 2017/1938 Latvijas Republika slēdz divpusēju starptautisku līgumu par pasākumiem, lai nodrošinātu gāzes piegādes drošību, ar Lietuvas Republiku un Igaunijas Republiku”. Ievērojot, ka piedāvātā 126. panta formulējums un tādējādi arī tvērums var tikt interpretēts kā ļoti plašs</w:t>
      </w:r>
      <w:r w:rsidR="004C12A0" w:rsidRPr="004F07BB">
        <w:t xml:space="preserve">. Vienlaikus, Eiropas Parlamenta un Padomes Regulas </w:t>
      </w:r>
      <w:r w:rsidR="004F07BB">
        <w:t xml:space="preserve">(2017. gada 25. oktobris) </w:t>
      </w:r>
      <w:r w:rsidR="004C12A0" w:rsidRPr="004F07BB">
        <w:t>(ES) 2017/1938 par gāzes piegādes drošības aizsardzības pasākumiem un ar ko atceļ Regulu (ES) Nr. 994/2010 (turpmāk – Regula 2017/1938) 13. panta 2. daļa noteic “Dalībvalsts sniedz arī solidaritātes pasākumu citai dalībvalstij, ar kuru tā ir savienota, caur trešo valsti, ja vien plūsmas caur minēto trešo valsti netiek ierobežotas. Par šādu pasākuma paplašināšanu savstarpēji vienojas attiecīgās dalībvalstis, kuras vajadzības gadījumā iesaista trešo valsti, caur kuru tās ir savienotas.”. Pašreizējā Likumprojekta normas redakcija izslēdz Regula 2017/1938 13. panta otrajā daļā paredzētā līguma noslēgšanu, piemēram, ar Somiju</w:t>
      </w:r>
      <w:r w:rsidR="00C73489" w:rsidRPr="004F07BB">
        <w:t xml:space="preserve"> vai nodrošināt vienošanos ar trešo valsti, līdz ar to Sabiedrība rosina 126. pantu izteikt šādā redakcijā: “Latvijas Republika slēdz divpusējus starptautiskus līgumus par solidaritātes pasākumiem gāzes piegādes drošuma aizsardzībai.” </w:t>
      </w:r>
    </w:p>
    <w:p w14:paraId="430094F3" w14:textId="4284F903" w:rsidR="00AB6168" w:rsidRPr="004F07BB" w:rsidRDefault="00FC48A3" w:rsidP="00942636">
      <w:pPr>
        <w:pStyle w:val="ListParagraph"/>
        <w:numPr>
          <w:ilvl w:val="0"/>
          <w:numId w:val="11"/>
        </w:numPr>
        <w:tabs>
          <w:tab w:val="left" w:pos="1106"/>
        </w:tabs>
        <w:ind w:left="0" w:firstLine="709"/>
        <w:jc w:val="both"/>
      </w:pPr>
      <w:r w:rsidRPr="004F07BB">
        <w:t xml:space="preserve">Kā to Sabiedrība jau norādījusi 2021. gada 28. janvāra atzinumā Nr. COR-N-2021/0132 (27. punkts), ar </w:t>
      </w:r>
      <w:r w:rsidR="00512C6D" w:rsidRPr="004F07BB">
        <w:t>L</w:t>
      </w:r>
      <w:r w:rsidRPr="004F07BB">
        <w:t xml:space="preserve">ikumprojektu piedāvājot papildināt Enerģētikas likumu ar pārejas noteikumu 65. punktu, netiek paskaidroti apsvērumi, kādēļ </w:t>
      </w:r>
      <w:r w:rsidRPr="004F07BB">
        <w:rPr>
          <w:rFonts w:eastAsiaTheme="minorEastAsia"/>
        </w:rPr>
        <w:t xml:space="preserve">Sabiedrisko pakalpojumu regulēšanas komisijas 2019. gada 18. aprīļa padomes lēmums Nr. 1/7 “Dabasgāzes pārvades sistēmas pieslēguma noteikumi biometāna ražotājiem, sašķidrinātās dabasgāzes sistēmas operatoriem un dabasgāzes lietotājiem” ir aktualizējams. Sabiedrība uzskata, ka šobrīd nav mainījušies tiesiskie un faktiskie apstākļi, kas būtu par pamatu gāzes pārvades sistēmas operatora sistēmas pieslēguma noteikumu atkārtotai izstrādāšanai un iesniegšanai apstiprināšanai </w:t>
      </w:r>
      <w:r w:rsidR="00212FC4" w:rsidRPr="004F07BB">
        <w:rPr>
          <w:rFonts w:eastAsiaTheme="minorEastAsia"/>
        </w:rPr>
        <w:t>r</w:t>
      </w:r>
      <w:r w:rsidRPr="004F07BB">
        <w:rPr>
          <w:rFonts w:eastAsiaTheme="minorEastAsia"/>
        </w:rPr>
        <w:t>egulatorā.</w:t>
      </w:r>
    </w:p>
    <w:p w14:paraId="3A396F1E" w14:textId="06167382" w:rsidR="00E95E0C" w:rsidRPr="004F07BB" w:rsidRDefault="00E95E0C" w:rsidP="00E95E0C">
      <w:pPr>
        <w:pStyle w:val="BodyTextIndent2"/>
      </w:pPr>
      <w:r w:rsidRPr="004F07BB">
        <w:lastRenderedPageBreak/>
        <w:t>Vienlaikus Sabiedrība izsaka šādu priekšlikumu:</w:t>
      </w:r>
    </w:p>
    <w:p w14:paraId="388A721F" w14:textId="5C5F57AF" w:rsidR="004B3E37" w:rsidRPr="004F07BB" w:rsidRDefault="00E95E0C" w:rsidP="00212FC4">
      <w:pPr>
        <w:pStyle w:val="BodyTextIndent2"/>
      </w:pPr>
      <w:r w:rsidRPr="004F07BB">
        <w:t>Likumprojektā ietvertā 58.</w:t>
      </w:r>
      <w:r w:rsidRPr="004F07BB">
        <w:rPr>
          <w:vertAlign w:val="superscript"/>
        </w:rPr>
        <w:t>8</w:t>
      </w:r>
      <w:r w:rsidRPr="004F07BB">
        <w:t xml:space="preserve"> panta sestā daļa noteic izcelsmes apliecinājumos minimāli norādāmo informāciju. Eiropas Parlamenta un Padomes 2018. gada 11. decembra direktīvas Nr. 2018/2001 par no atjaunojamajiem energoresursiem iegūtas enerģijas izmantošanas veicināšanu </w:t>
      </w:r>
      <w:r w:rsidR="004B3E37" w:rsidRPr="004F07BB">
        <w:t xml:space="preserve">19. panta 6. punkts, cita starpā, noteic pienākumu, ka izcelsmes apliecinājumiem jābūt atbilstošiem CEN-EN 16325 standartam par enerģijas izcelsmes aplecinājumiem (turpmāk – Standarts). Saskaņā ar Sabiedrības rīcībā esošo informāciju, šobrīd attiecīgajās Eiropas Savienības institūcijās notiek šī Standarta pārskatīšana un tajā plānotas būtiskas izmaiņas, tostarp tādas, kas ļoti konkrēti un plaši nosaka to, kādai tieši informācijai jābūt iekļautai izcelsmes apliecinājumos. Līdz ar to, lūdzam Ministriju ietvert atsauci uz Standartu </w:t>
      </w:r>
      <w:r w:rsidR="00B4444B" w:rsidRPr="004F07BB">
        <w:t>L</w:t>
      </w:r>
      <w:r w:rsidR="004B3E37" w:rsidRPr="004F07BB">
        <w:t>ikumprojekta tekstā vai tā anotācijā, nosakot, ka izcelsmes apliecinājumiem ir jābūt atbilstošiem Standartam. Šāda atsauce</w:t>
      </w:r>
      <w:r w:rsidR="00D165E5" w:rsidRPr="004F07BB">
        <w:t xml:space="preserve"> palīdzētu skaidri noteikt kāds būs izcelsmes apliecinājumu saturs un</w:t>
      </w:r>
      <w:r w:rsidR="004B3E37" w:rsidRPr="004F07BB">
        <w:t xml:space="preserve"> novērstu </w:t>
      </w:r>
      <w:r w:rsidR="00D165E5" w:rsidRPr="004F07BB">
        <w:t xml:space="preserve">potenciālas </w:t>
      </w:r>
      <w:r w:rsidR="004B3E37" w:rsidRPr="004F07BB">
        <w:t xml:space="preserve">domstarpības </w:t>
      </w:r>
      <w:r w:rsidR="00D165E5" w:rsidRPr="004F07BB">
        <w:t xml:space="preserve">gan </w:t>
      </w:r>
      <w:r w:rsidR="004B3E37" w:rsidRPr="004F07BB">
        <w:t xml:space="preserve">tirgus dalībnieku </w:t>
      </w:r>
      <w:r w:rsidR="00D165E5" w:rsidRPr="004F07BB">
        <w:t>vidū</w:t>
      </w:r>
      <w:r w:rsidR="004B3E37" w:rsidRPr="004F07BB">
        <w:t xml:space="preserve">, gan </w:t>
      </w:r>
      <w:r w:rsidR="00D165E5" w:rsidRPr="004F07BB">
        <w:t>nodrošinātu starptautisku atzī</w:t>
      </w:r>
      <w:r w:rsidR="00834E77" w:rsidRPr="004F07BB">
        <w:t>šanu</w:t>
      </w:r>
      <w:r w:rsidR="00D165E5" w:rsidRPr="004F07BB">
        <w:t xml:space="preserve">, tostarp, novērstu nevajadzīgu grozījumu veikšanu Enerģētikas likumā, kad Standarts būs stājies spēkā vai, ja Standarts nākotnē tiktu atkārtoti grozīts. </w:t>
      </w:r>
      <w:r w:rsidR="004B3E37" w:rsidRPr="004F07BB">
        <w:t xml:space="preserve"> </w:t>
      </w:r>
    </w:p>
    <w:p w14:paraId="05DFA8BB" w14:textId="1964BC9A" w:rsidR="006754CB" w:rsidRPr="004F07BB" w:rsidRDefault="006754CB" w:rsidP="00512C6D">
      <w:pPr>
        <w:pStyle w:val="BodyTextIndent2"/>
        <w:tabs>
          <w:tab w:val="left" w:pos="851"/>
        </w:tabs>
        <w:ind w:left="567" w:firstLine="0"/>
      </w:pPr>
    </w:p>
    <w:p w14:paraId="46D4CE5B" w14:textId="77777777" w:rsidR="002D3A4E" w:rsidRPr="004F07BB" w:rsidRDefault="002D3A4E" w:rsidP="00265863">
      <w:pPr>
        <w:jc w:val="both"/>
        <w:rPr>
          <w:rFonts w:ascii="Times New Roman" w:hAnsi="Times New Roman" w:cs="Times New Roman"/>
          <w:lang w:val="lv-LV"/>
        </w:rPr>
      </w:pPr>
    </w:p>
    <w:p w14:paraId="5F8E6479" w14:textId="77777777" w:rsidR="00B80F1A" w:rsidRPr="00274AF2" w:rsidRDefault="00B80F1A" w:rsidP="00B80F1A">
      <w:pPr>
        <w:tabs>
          <w:tab w:val="left" w:pos="2360"/>
        </w:tabs>
        <w:jc w:val="both"/>
        <w:rPr>
          <w:rFonts w:ascii="Times New Roman" w:hAnsi="Times New Roman" w:cs="Times New Roman"/>
          <w:lang w:val="lv-LV"/>
        </w:rPr>
      </w:pPr>
      <w:r w:rsidRPr="00274AF2">
        <w:rPr>
          <w:rFonts w:ascii="Times New Roman" w:hAnsi="Times New Roman" w:cs="Times New Roman"/>
          <w:lang w:val="lv-LV"/>
        </w:rPr>
        <w:t>Cieņā</w:t>
      </w:r>
      <w:r w:rsidRPr="00274AF2">
        <w:rPr>
          <w:rFonts w:ascii="Times New Roman" w:hAnsi="Times New Roman" w:cs="Times New Roman"/>
          <w:lang w:val="lv-LV"/>
        </w:rPr>
        <w:tab/>
      </w:r>
    </w:p>
    <w:p w14:paraId="74B1673F" w14:textId="77777777" w:rsidR="00B80F1A" w:rsidRPr="00274AF2" w:rsidRDefault="00B80F1A" w:rsidP="00B80F1A">
      <w:pPr>
        <w:tabs>
          <w:tab w:val="left" w:pos="2360"/>
        </w:tabs>
        <w:jc w:val="both"/>
        <w:rPr>
          <w:rFonts w:ascii="Times New Roman" w:hAnsi="Times New Roman" w:cs="Times New Roman"/>
          <w:lang w:val="lv-LV"/>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2104"/>
        <w:gridCol w:w="2219"/>
      </w:tblGrid>
      <w:tr w:rsidR="00B80F1A" w:rsidRPr="00274AF2" w14:paraId="449F44A2" w14:textId="77777777" w:rsidTr="00546190">
        <w:tc>
          <w:tcPr>
            <w:tcW w:w="4608" w:type="dxa"/>
          </w:tcPr>
          <w:p w14:paraId="54D2CE4D" w14:textId="77777777" w:rsidR="00B80F1A" w:rsidRPr="00274AF2" w:rsidRDefault="00B80F1A" w:rsidP="00546190">
            <w:pPr>
              <w:tabs>
                <w:tab w:val="left" w:pos="6804"/>
              </w:tabs>
            </w:pPr>
            <w:r w:rsidRPr="00274AF2">
              <w:t>Valdes priekšsēdētājs, komercpilnvarnieks</w:t>
            </w:r>
          </w:p>
        </w:tc>
        <w:tc>
          <w:tcPr>
            <w:tcW w:w="2104" w:type="dxa"/>
          </w:tcPr>
          <w:p w14:paraId="364147E6" w14:textId="77777777" w:rsidR="00B80F1A" w:rsidRPr="00274AF2" w:rsidRDefault="00B80F1A" w:rsidP="00546190">
            <w:pPr>
              <w:tabs>
                <w:tab w:val="left" w:pos="6804"/>
              </w:tabs>
              <w:jc w:val="center"/>
            </w:pPr>
            <w:r>
              <w:t xml:space="preserve">      (paraksts*)</w:t>
            </w:r>
          </w:p>
        </w:tc>
        <w:tc>
          <w:tcPr>
            <w:tcW w:w="2219" w:type="dxa"/>
          </w:tcPr>
          <w:p w14:paraId="017019ED" w14:textId="77777777" w:rsidR="00B80F1A" w:rsidRPr="00274AF2" w:rsidRDefault="00B80F1A" w:rsidP="00546190">
            <w:pPr>
              <w:tabs>
                <w:tab w:val="left" w:pos="6804"/>
              </w:tabs>
              <w:jc w:val="right"/>
            </w:pPr>
            <w:r w:rsidRPr="00274AF2">
              <w:t>Uldis Bariss</w:t>
            </w:r>
          </w:p>
        </w:tc>
      </w:tr>
    </w:tbl>
    <w:p w14:paraId="2D18C2C9" w14:textId="77777777" w:rsidR="00B80F1A" w:rsidRPr="00274AF2" w:rsidRDefault="00B80F1A" w:rsidP="00B80F1A">
      <w:pPr>
        <w:tabs>
          <w:tab w:val="left" w:pos="6804"/>
        </w:tabs>
        <w:ind w:right="-7"/>
        <w:rPr>
          <w:rFonts w:ascii="Times New Roman" w:hAnsi="Times New Roman" w:cs="Times New Roman"/>
          <w:lang w:val="lv-LV"/>
        </w:rPr>
      </w:pPr>
    </w:p>
    <w:p w14:paraId="29F56659" w14:textId="77777777" w:rsidR="00B80F1A" w:rsidRPr="00274AF2" w:rsidRDefault="00B80F1A" w:rsidP="00B80F1A">
      <w:pPr>
        <w:tabs>
          <w:tab w:val="left" w:pos="6804"/>
        </w:tabs>
        <w:ind w:right="-7"/>
        <w:rPr>
          <w:rFonts w:ascii="Times New Roman" w:hAnsi="Times New Roman" w:cs="Times New Roman"/>
          <w:lang w:val="lv-LV"/>
        </w:rPr>
      </w:pPr>
    </w:p>
    <w:p w14:paraId="46642931" w14:textId="77777777" w:rsidR="00B80F1A" w:rsidRPr="00B80F1A" w:rsidRDefault="00B80F1A" w:rsidP="00B80F1A">
      <w:pPr>
        <w:jc w:val="both"/>
        <w:rPr>
          <w:rFonts w:ascii="Times New Roman" w:eastAsia="Calibri" w:hAnsi="Times New Roman" w:cs="Times New Roman"/>
          <w:spacing w:val="2"/>
          <w:sz w:val="22"/>
          <w:szCs w:val="22"/>
          <w:lang w:val="lv-LV" w:eastAsia="ja-JP"/>
        </w:rPr>
      </w:pPr>
      <w:r w:rsidRPr="00B80F1A">
        <w:rPr>
          <w:rFonts w:ascii="Times New Roman" w:eastAsia="Calibri" w:hAnsi="Times New Roman" w:cs="Times New Roman"/>
          <w:spacing w:val="2"/>
          <w:sz w:val="22"/>
          <w:szCs w:val="22"/>
          <w:lang w:val="lv-LV" w:eastAsia="ja-JP"/>
        </w:rPr>
        <w:t>* Dokuments parakstīts ar drošu elektronisko parakstu</w:t>
      </w:r>
    </w:p>
    <w:p w14:paraId="2CEE0BA1" w14:textId="77777777" w:rsidR="00727986" w:rsidRPr="004F07BB" w:rsidRDefault="00727986" w:rsidP="00265863">
      <w:pPr>
        <w:tabs>
          <w:tab w:val="left" w:pos="6521"/>
        </w:tabs>
        <w:ind w:right="-7"/>
        <w:rPr>
          <w:rFonts w:ascii="Times New Roman" w:hAnsi="Times New Roman" w:cs="Times New Roman"/>
          <w:lang w:val="lv-LV"/>
        </w:rPr>
      </w:pPr>
    </w:p>
    <w:p w14:paraId="4340FCA0" w14:textId="77777777" w:rsidR="00727986" w:rsidRPr="004F07BB" w:rsidRDefault="00727986" w:rsidP="00265863">
      <w:pPr>
        <w:tabs>
          <w:tab w:val="left" w:pos="6521"/>
        </w:tabs>
        <w:ind w:right="-7"/>
        <w:rPr>
          <w:rFonts w:ascii="Times New Roman" w:hAnsi="Times New Roman" w:cs="Times New Roman"/>
          <w:lang w:val="lv-LV"/>
        </w:rPr>
      </w:pPr>
    </w:p>
    <w:p w14:paraId="2F285780" w14:textId="4F5DA3BD" w:rsidR="00727986" w:rsidRPr="00B80F1A" w:rsidRDefault="00421A49" w:rsidP="00265863">
      <w:pPr>
        <w:tabs>
          <w:tab w:val="left" w:pos="6521"/>
        </w:tabs>
        <w:ind w:right="-7"/>
        <w:rPr>
          <w:rFonts w:ascii="Times New Roman" w:hAnsi="Times New Roman" w:cs="Times New Roman"/>
          <w:sz w:val="20"/>
          <w:szCs w:val="20"/>
          <w:lang w:val="lv-LV"/>
        </w:rPr>
      </w:pPr>
      <w:r w:rsidRPr="00B80F1A">
        <w:rPr>
          <w:rFonts w:ascii="Times New Roman" w:hAnsi="Times New Roman" w:cs="Times New Roman"/>
          <w:sz w:val="20"/>
          <w:szCs w:val="20"/>
          <w:lang w:val="lv-LV"/>
        </w:rPr>
        <w:t>K. Poriņš</w:t>
      </w:r>
      <w:r w:rsidR="00727986" w:rsidRPr="00B80F1A">
        <w:rPr>
          <w:rFonts w:ascii="Times New Roman" w:hAnsi="Times New Roman" w:cs="Times New Roman"/>
          <w:sz w:val="20"/>
          <w:szCs w:val="20"/>
          <w:lang w:val="lv-LV"/>
        </w:rPr>
        <w:t xml:space="preserve"> </w:t>
      </w:r>
      <w:r w:rsidR="00CA5878" w:rsidRPr="00B80F1A">
        <w:rPr>
          <w:rFonts w:ascii="Times New Roman" w:hAnsi="Times New Roman" w:cs="Times New Roman"/>
          <w:sz w:val="20"/>
          <w:szCs w:val="20"/>
          <w:lang w:val="lv-LV"/>
        </w:rPr>
        <w:t>22132711</w:t>
      </w:r>
    </w:p>
    <w:p w14:paraId="565F7B40" w14:textId="3ACF4312" w:rsidR="00F37524" w:rsidRPr="00B80F1A" w:rsidRDefault="002708F9" w:rsidP="00265863">
      <w:pPr>
        <w:tabs>
          <w:tab w:val="left" w:pos="6521"/>
        </w:tabs>
        <w:ind w:right="-7"/>
        <w:rPr>
          <w:rFonts w:ascii="Times New Roman" w:hAnsi="Times New Roman" w:cs="Times New Roman"/>
          <w:sz w:val="20"/>
          <w:szCs w:val="20"/>
          <w:lang w:val="lv-LV"/>
        </w:rPr>
      </w:pPr>
      <w:r w:rsidRPr="00B80F1A">
        <w:rPr>
          <w:rFonts w:ascii="Times New Roman" w:hAnsi="Times New Roman" w:cs="Times New Roman"/>
          <w:sz w:val="20"/>
          <w:szCs w:val="20"/>
          <w:lang w:val="lv-LV"/>
        </w:rPr>
        <w:t>Kristians.Porins@conexus.lv</w:t>
      </w:r>
    </w:p>
    <w:p w14:paraId="43C385B3" w14:textId="77777777" w:rsidR="002708F9" w:rsidRPr="00B80F1A" w:rsidRDefault="002708F9" w:rsidP="00265863">
      <w:pPr>
        <w:tabs>
          <w:tab w:val="left" w:pos="6521"/>
        </w:tabs>
        <w:ind w:right="-7"/>
        <w:rPr>
          <w:rFonts w:ascii="Times New Roman" w:hAnsi="Times New Roman" w:cs="Times New Roman"/>
          <w:sz w:val="20"/>
          <w:szCs w:val="20"/>
          <w:lang w:val="lv-LV"/>
        </w:rPr>
      </w:pPr>
    </w:p>
    <w:p w14:paraId="3FDE3D07" w14:textId="70A0C2B8" w:rsidR="00F37524" w:rsidRPr="00B80F1A" w:rsidRDefault="00D643D6" w:rsidP="00421A49">
      <w:pPr>
        <w:tabs>
          <w:tab w:val="left" w:pos="6521"/>
        </w:tabs>
        <w:ind w:right="-7"/>
        <w:rPr>
          <w:rFonts w:ascii="Times New Roman" w:hAnsi="Times New Roman" w:cs="Times New Roman"/>
          <w:sz w:val="20"/>
          <w:szCs w:val="20"/>
          <w:lang w:val="lv-LV"/>
        </w:rPr>
      </w:pPr>
      <w:r w:rsidRPr="00B80F1A">
        <w:rPr>
          <w:rFonts w:ascii="Times New Roman" w:hAnsi="Times New Roman" w:cs="Times New Roman"/>
          <w:sz w:val="20"/>
          <w:szCs w:val="20"/>
          <w:lang w:val="lv-LV"/>
        </w:rPr>
        <w:t xml:space="preserve">F. Bibiks </w:t>
      </w:r>
      <w:r w:rsidR="00FC48A3" w:rsidRPr="00B80F1A">
        <w:rPr>
          <w:rFonts w:ascii="Times New Roman" w:hAnsi="Times New Roman" w:cs="Times New Roman"/>
          <w:sz w:val="20"/>
          <w:szCs w:val="20"/>
          <w:lang w:val="lv-LV"/>
        </w:rPr>
        <w:t>67087901</w:t>
      </w:r>
    </w:p>
    <w:p w14:paraId="52707195" w14:textId="12AFB16E" w:rsidR="00D643D6" w:rsidRPr="00B80F1A" w:rsidRDefault="00D643D6" w:rsidP="00421A49">
      <w:pPr>
        <w:tabs>
          <w:tab w:val="left" w:pos="6521"/>
        </w:tabs>
        <w:ind w:right="-7"/>
        <w:rPr>
          <w:rFonts w:ascii="Times New Roman" w:hAnsi="Times New Roman" w:cs="Times New Roman"/>
          <w:sz w:val="20"/>
          <w:szCs w:val="20"/>
          <w:lang w:val="lv-LV"/>
        </w:rPr>
      </w:pPr>
      <w:r w:rsidRPr="00B80F1A">
        <w:rPr>
          <w:rFonts w:ascii="Times New Roman" w:hAnsi="Times New Roman" w:cs="Times New Roman"/>
          <w:sz w:val="20"/>
          <w:szCs w:val="20"/>
          <w:lang w:val="lv-LV"/>
        </w:rPr>
        <w:t>Filips.Bibiks@conexus.lv</w:t>
      </w:r>
    </w:p>
    <w:p w14:paraId="2B26A5D7" w14:textId="3C4CDE82" w:rsidR="00EA5E29" w:rsidRPr="00B80F1A" w:rsidRDefault="00EA5E29" w:rsidP="00421A49">
      <w:pPr>
        <w:tabs>
          <w:tab w:val="left" w:pos="6521"/>
        </w:tabs>
        <w:ind w:right="-7"/>
        <w:rPr>
          <w:rFonts w:ascii="Times New Roman" w:hAnsi="Times New Roman" w:cs="Times New Roman"/>
          <w:sz w:val="20"/>
          <w:szCs w:val="20"/>
          <w:lang w:val="lv-LV"/>
        </w:rPr>
      </w:pPr>
    </w:p>
    <w:p w14:paraId="1A22720B" w14:textId="4DACCA75" w:rsidR="002708F9" w:rsidRPr="00B80F1A" w:rsidRDefault="002708F9" w:rsidP="002708F9">
      <w:pPr>
        <w:tabs>
          <w:tab w:val="left" w:pos="6521"/>
        </w:tabs>
        <w:ind w:right="-7"/>
        <w:rPr>
          <w:rFonts w:ascii="Times New Roman" w:hAnsi="Times New Roman" w:cs="Times New Roman"/>
          <w:sz w:val="20"/>
          <w:szCs w:val="20"/>
          <w:lang w:val="lv-LV"/>
        </w:rPr>
      </w:pPr>
      <w:r w:rsidRPr="00B80F1A">
        <w:rPr>
          <w:rFonts w:ascii="Times New Roman" w:hAnsi="Times New Roman" w:cs="Times New Roman"/>
          <w:sz w:val="20"/>
          <w:szCs w:val="20"/>
          <w:lang w:val="lv-LV"/>
        </w:rPr>
        <w:t>A. Ansone 25546549</w:t>
      </w:r>
    </w:p>
    <w:p w14:paraId="6C00FA50" w14:textId="367DCB6A" w:rsidR="002708F9" w:rsidRPr="00B80F1A" w:rsidRDefault="002708F9" w:rsidP="002708F9">
      <w:pPr>
        <w:tabs>
          <w:tab w:val="left" w:pos="6521"/>
        </w:tabs>
        <w:ind w:right="-7"/>
        <w:rPr>
          <w:rFonts w:ascii="Times New Roman" w:hAnsi="Times New Roman" w:cs="Times New Roman"/>
          <w:sz w:val="20"/>
          <w:szCs w:val="20"/>
          <w:lang w:val="lv-LV"/>
        </w:rPr>
      </w:pPr>
      <w:r w:rsidRPr="00B80F1A">
        <w:rPr>
          <w:rFonts w:ascii="Times New Roman" w:hAnsi="Times New Roman" w:cs="Times New Roman"/>
          <w:sz w:val="20"/>
          <w:szCs w:val="20"/>
          <w:lang w:val="lv-LV"/>
        </w:rPr>
        <w:t>Ance.Ansone@conexus.lv</w:t>
      </w:r>
    </w:p>
    <w:sectPr w:rsidR="002708F9" w:rsidRPr="00B80F1A" w:rsidSect="00CC210D">
      <w:headerReference w:type="default" r:id="rId8"/>
      <w:footerReference w:type="default" r:id="rId9"/>
      <w:headerReference w:type="first" r:id="rId10"/>
      <w:footerReference w:type="first" r:id="rId11"/>
      <w:pgSz w:w="11900" w:h="16840"/>
      <w:pgMar w:top="1672" w:right="1268" w:bottom="1134" w:left="1701" w:header="705" w:footer="5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4EBC2" w14:textId="77777777" w:rsidR="00F1238F" w:rsidRDefault="00F1238F">
      <w:r>
        <w:separator/>
      </w:r>
    </w:p>
  </w:endnote>
  <w:endnote w:type="continuationSeparator" w:id="0">
    <w:p w14:paraId="7487B6A0" w14:textId="77777777" w:rsidR="00F1238F" w:rsidRDefault="00F1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EA890" w14:textId="77777777" w:rsidR="00CC210D" w:rsidRDefault="00CC210D" w:rsidP="00CC210D">
    <w:pPr>
      <w:pStyle w:val="Footer"/>
      <w:tabs>
        <w:tab w:val="left" w:pos="878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C025D" w14:textId="77777777" w:rsidR="00CC210D" w:rsidRDefault="00CC210D">
    <w:pPr>
      <w:pStyle w:val="Footer"/>
      <w:jc w:val="right"/>
    </w:pPr>
    <w:r>
      <w:rPr>
        <w:noProof/>
      </w:rPr>
      <w:drawing>
        <wp:anchor distT="0" distB="0" distL="114300" distR="114300" simplePos="0" relativeHeight="251661312" behindDoc="0" locked="0" layoutInCell="1" allowOverlap="1" wp14:anchorId="676DC4C5" wp14:editId="7922B92B">
          <wp:simplePos x="0" y="0"/>
          <wp:positionH relativeFrom="column">
            <wp:posOffset>5248195</wp:posOffset>
          </wp:positionH>
          <wp:positionV relativeFrom="paragraph">
            <wp:posOffset>-240030</wp:posOffset>
          </wp:positionV>
          <wp:extent cx="926465" cy="415925"/>
          <wp:effectExtent l="0" t="0" r="0" b="0"/>
          <wp:wrapTight wrapText="bothSides">
            <wp:wrapPolygon edited="0">
              <wp:start x="0" y="0"/>
              <wp:lineTo x="0" y="19786"/>
              <wp:lineTo x="20727" y="19786"/>
              <wp:lineTo x="20727" y="0"/>
              <wp:lineTo x="0" y="0"/>
            </wp:wrapPolygon>
          </wp:wrapTight>
          <wp:docPr id="27" name="Picture 27"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955EE" w14:textId="77777777" w:rsidR="00F1238F" w:rsidRDefault="00F1238F">
      <w:r>
        <w:separator/>
      </w:r>
    </w:p>
  </w:footnote>
  <w:footnote w:type="continuationSeparator" w:id="0">
    <w:p w14:paraId="4F8B4D17" w14:textId="77777777" w:rsidR="00F1238F" w:rsidRDefault="00F12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CE025" w14:textId="77777777" w:rsidR="00CC210D" w:rsidRPr="00A246AD" w:rsidRDefault="00CC210D" w:rsidP="00CC210D">
    <w:pPr>
      <w:jc w:val="right"/>
      <w:rPr>
        <w:rFonts w:ascii="Arial" w:hAnsi="Arial" w:cs="Arial"/>
        <w:b/>
        <w:color w:val="5B566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287D7" w14:textId="77777777" w:rsidR="00CC210D" w:rsidRDefault="00CC210D">
    <w:pPr>
      <w:pStyle w:val="Header"/>
      <w:jc w:val="right"/>
    </w:pPr>
    <w:r>
      <w:rPr>
        <w:noProof/>
        <w:color w:val="5B566E"/>
      </w:rPr>
      <mc:AlternateContent>
        <mc:Choice Requires="wps">
          <w:drawing>
            <wp:anchor distT="0" distB="0" distL="114300" distR="114300" simplePos="0" relativeHeight="251660288" behindDoc="0" locked="0" layoutInCell="1" allowOverlap="1" wp14:anchorId="244E4235" wp14:editId="694EA76B">
              <wp:simplePos x="0" y="0"/>
              <wp:positionH relativeFrom="column">
                <wp:posOffset>3942080</wp:posOffset>
              </wp:positionH>
              <wp:positionV relativeFrom="paragraph">
                <wp:posOffset>-76835</wp:posOffset>
              </wp:positionV>
              <wp:extent cx="2439035" cy="818515"/>
              <wp:effectExtent l="0" t="0" r="0" b="6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035" cy="818515"/>
                      </a:xfrm>
                      <a:prstGeom prst="rect">
                        <a:avLst/>
                      </a:prstGeom>
                      <a:noFill/>
                      <a:ln>
                        <a:noFill/>
                      </a:ln>
                      <a:effectLst/>
                      <a:extLst>
                        <a:ext uri="{C572A759-6A51-4108-AA02-DFA0A04FC94B}"/>
                      </a:extLst>
                    </wps:spPr>
                    <wps:txbx>
                      <w:txbxContent>
                        <w:p w14:paraId="44268D46" w14:textId="77777777" w:rsidR="00CC210D" w:rsidRPr="001B3361" w:rsidRDefault="00CC210D" w:rsidP="00CC210D">
                          <w:pPr>
                            <w:rPr>
                              <w:rFonts w:ascii="Arial" w:hAnsi="Arial" w:cs="Arial"/>
                              <w:b/>
                              <w:color w:val="5B566E"/>
                              <w:sz w:val="16"/>
                              <w:szCs w:val="16"/>
                              <w:lang w:val="lv-LV"/>
                            </w:rPr>
                          </w:pPr>
                        </w:p>
                        <w:p w14:paraId="16068A94" w14:textId="77777777" w:rsidR="00CC210D" w:rsidRPr="001B3361" w:rsidRDefault="00CC210D" w:rsidP="00CC210D">
                          <w:pPr>
                            <w:jc w:val="right"/>
                            <w:rPr>
                              <w:rFonts w:ascii="Arial" w:hAnsi="Arial" w:cs="Arial"/>
                              <w:b/>
                              <w:color w:val="5B566E"/>
                              <w:sz w:val="16"/>
                              <w:szCs w:val="16"/>
                              <w:lang w:val="lv-LV"/>
                            </w:rPr>
                          </w:pPr>
                        </w:p>
                        <w:p w14:paraId="13FF0292" w14:textId="77777777" w:rsidR="00CC210D" w:rsidRPr="001B3361" w:rsidRDefault="00CC210D" w:rsidP="00CC210D">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3912545C" w14:textId="77777777" w:rsidR="00CC210D" w:rsidRPr="001B3361" w:rsidRDefault="00CC210D" w:rsidP="00CC210D">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0F3B258A" w14:textId="77777777" w:rsidR="00CC210D" w:rsidRPr="001B3361" w:rsidRDefault="00CC210D" w:rsidP="00CC210D">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6B1BE9FC" w14:textId="77777777" w:rsidR="00CC210D" w:rsidRPr="001B3361" w:rsidRDefault="00CC210D" w:rsidP="00CC210D">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w:pict>
            <v:shapetype w14:anchorId="244E4235" id="_x0000_t202" coordsize="21600,21600" o:spt="202" path="m,l,21600r21600,l21600,xe">
              <v:stroke joinstyle="miter"/>
              <v:path gradientshapeok="t" o:connecttype="rect"/>
            </v:shapetype>
            <v:shape id="Text Box 3" o:spid="_x0000_s1026" type="#_x0000_t202" style="position:absolute;left:0;text-align:left;margin-left:310.4pt;margin-top:-6.05pt;width:192.05pt;height:6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" filled="f" stroked="f">
              <v:textbox>
                <w:txbxContent>
                  <w:p w14:paraId="44268D46" w14:textId="77777777" w:rsidR="00CC210D" w:rsidRPr="001B3361" w:rsidRDefault="00CC210D" w:rsidP="00CC210D">
                    <w:pPr>
                      <w:rPr>
                        <w:rFonts w:ascii="Arial" w:hAnsi="Arial" w:cs="Arial"/>
                        <w:b/>
                        <w:color w:val="5B566E"/>
                        <w:sz w:val="16"/>
                        <w:szCs w:val="16"/>
                        <w:lang w:val="lv-LV"/>
                      </w:rPr>
                    </w:pPr>
                  </w:p>
                  <w:p w14:paraId="16068A94" w14:textId="77777777" w:rsidR="00CC210D" w:rsidRPr="001B3361" w:rsidRDefault="00CC210D" w:rsidP="00CC210D">
                    <w:pPr>
                      <w:jc w:val="right"/>
                      <w:rPr>
                        <w:rFonts w:ascii="Arial" w:hAnsi="Arial" w:cs="Arial"/>
                        <w:b/>
                        <w:color w:val="5B566E"/>
                        <w:sz w:val="16"/>
                        <w:szCs w:val="16"/>
                        <w:lang w:val="lv-LV"/>
                      </w:rPr>
                    </w:pPr>
                  </w:p>
                  <w:p w14:paraId="13FF0292" w14:textId="77777777" w:rsidR="00CC210D" w:rsidRPr="001B3361" w:rsidRDefault="00CC210D" w:rsidP="00CC210D">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3912545C" w14:textId="77777777" w:rsidR="00CC210D" w:rsidRPr="001B3361" w:rsidRDefault="00CC210D" w:rsidP="00CC210D">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0F3B258A" w14:textId="77777777" w:rsidR="00CC210D" w:rsidRPr="001B3361" w:rsidRDefault="00CC210D" w:rsidP="00CC210D">
                    <w:pPr>
                      <w:rPr>
                        <w:rFonts w:ascii="Arial" w:hAnsi="Arial" w:cs="Arial"/>
                        <w:color w:val="5B566E"/>
                        <w:sz w:val="16"/>
                        <w:szCs w:val="16"/>
                        <w:lang w:val="lv-LV"/>
                      </w:rPr>
                    </w:pPr>
                    <w:r>
                      <w:rPr>
                        <w:rFonts w:ascii="Arial" w:hAnsi="Arial" w:cs="Arial"/>
                        <w:color w:val="5B566E"/>
                        <w:sz w:val="16"/>
                        <w:szCs w:val="16"/>
                        <w:lang w:val="lv-LV"/>
                      </w:rPr>
                      <w:t>Stigu</w:t>
                    </w:r>
                    <w:r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Pr="001B3361">
                      <w:rPr>
                        <w:rFonts w:ascii="Arial" w:hAnsi="Arial" w:cs="Arial"/>
                        <w:color w:val="5B566E"/>
                        <w:sz w:val="16"/>
                        <w:szCs w:val="16"/>
                        <w:lang w:val="lv-LV"/>
                      </w:rPr>
                      <w:t>, Rīga, LV-10</w:t>
                    </w:r>
                    <w:r>
                      <w:rPr>
                        <w:rFonts w:ascii="Arial" w:hAnsi="Arial" w:cs="Arial"/>
                        <w:color w:val="5B566E"/>
                        <w:sz w:val="16"/>
                        <w:szCs w:val="16"/>
                        <w:lang w:val="lv-LV"/>
                      </w:rPr>
                      <w:t>2</w:t>
                    </w:r>
                    <w:r w:rsidRPr="001B3361">
                      <w:rPr>
                        <w:rFonts w:ascii="Arial" w:hAnsi="Arial" w:cs="Arial"/>
                        <w:color w:val="5B566E"/>
                        <w:sz w:val="16"/>
                        <w:szCs w:val="16"/>
                        <w:lang w:val="lv-LV"/>
                      </w:rPr>
                      <w:t xml:space="preserve">1 </w:t>
                    </w:r>
                  </w:p>
                  <w:p w14:paraId="6B1BE9FC" w14:textId="77777777" w:rsidR="00CC210D" w:rsidRPr="001B3361" w:rsidRDefault="00CC210D" w:rsidP="00CC210D">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v:textbox>
              <w10:wrap type="square"/>
            </v:shape>
          </w:pict>
        </mc:Fallback>
      </mc:AlternateContent>
    </w:r>
    <w:r>
      <w:rPr>
        <w:b/>
        <w:noProof/>
      </w:rPr>
      <w:drawing>
        <wp:anchor distT="0" distB="0" distL="114300" distR="114300" simplePos="0" relativeHeight="251659264" behindDoc="0" locked="0" layoutInCell="1" allowOverlap="1" wp14:anchorId="0979AE9B" wp14:editId="1C2C3804">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26" name="Picture 26"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370D259D"/>
    <w:multiLevelType w:val="hybridMultilevel"/>
    <w:tmpl w:val="A964D804"/>
    <w:lvl w:ilvl="0" w:tplc="0426000F">
      <w:start w:val="1"/>
      <w:numFmt w:val="decimal"/>
      <w:lvlText w:val="%1."/>
      <w:lvlJc w:val="lef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274F56"/>
    <w:multiLevelType w:val="hybridMultilevel"/>
    <w:tmpl w:val="9B8A747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13F4234"/>
    <w:multiLevelType w:val="hybridMultilevel"/>
    <w:tmpl w:val="861AFB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6" w15:restartNumberingAfterBreak="0">
    <w:nsid w:val="6A7C7149"/>
    <w:multiLevelType w:val="hybridMultilevel"/>
    <w:tmpl w:val="6394A8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D0C3B3D"/>
    <w:multiLevelType w:val="hybridMultilevel"/>
    <w:tmpl w:val="97FE738E"/>
    <w:lvl w:ilvl="0" w:tplc="8ACE7D30">
      <w:start w:val="1"/>
      <w:numFmt w:val="decimal"/>
      <w:lvlText w:val="%1."/>
      <w:lvlJc w:val="left"/>
      <w:pPr>
        <w:ind w:left="2204"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292A72"/>
    <w:multiLevelType w:val="hybridMultilevel"/>
    <w:tmpl w:val="BEF8C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B9F5F45"/>
    <w:multiLevelType w:val="multilevel"/>
    <w:tmpl w:val="CFA6B432"/>
    <w:lvl w:ilvl="0">
      <w:start w:val="34"/>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9"/>
  </w:num>
  <w:num w:numId="3">
    <w:abstractNumId w:val="4"/>
  </w:num>
  <w:num w:numId="4">
    <w:abstractNumId w:val="5"/>
  </w:num>
  <w:num w:numId="5">
    <w:abstractNumId w:val="3"/>
  </w:num>
  <w:num w:numId="6">
    <w:abstractNumId w:val="7"/>
  </w:num>
  <w:num w:numId="7">
    <w:abstractNumId w:val="10"/>
  </w:num>
  <w:num w:numId="8">
    <w:abstractNumId w:val="6"/>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00790"/>
    <w:rsid w:val="000255A7"/>
    <w:rsid w:val="00026FB7"/>
    <w:rsid w:val="00031EDE"/>
    <w:rsid w:val="000366C1"/>
    <w:rsid w:val="00037745"/>
    <w:rsid w:val="00061F10"/>
    <w:rsid w:val="00062A35"/>
    <w:rsid w:val="000635E4"/>
    <w:rsid w:val="000648FD"/>
    <w:rsid w:val="00065E35"/>
    <w:rsid w:val="000671F9"/>
    <w:rsid w:val="00074219"/>
    <w:rsid w:val="000819ED"/>
    <w:rsid w:val="000918D2"/>
    <w:rsid w:val="00091B72"/>
    <w:rsid w:val="000961C0"/>
    <w:rsid w:val="000A4D68"/>
    <w:rsid w:val="000B728F"/>
    <w:rsid w:val="000B7CFF"/>
    <w:rsid w:val="000D003A"/>
    <w:rsid w:val="000D5C99"/>
    <w:rsid w:val="000E0154"/>
    <w:rsid w:val="000E0C86"/>
    <w:rsid w:val="000F27A4"/>
    <w:rsid w:val="0011344F"/>
    <w:rsid w:val="00115ADF"/>
    <w:rsid w:val="0013181D"/>
    <w:rsid w:val="00143275"/>
    <w:rsid w:val="0014355C"/>
    <w:rsid w:val="00156CA4"/>
    <w:rsid w:val="001630F0"/>
    <w:rsid w:val="00171C4C"/>
    <w:rsid w:val="00175B08"/>
    <w:rsid w:val="00177D15"/>
    <w:rsid w:val="001812F0"/>
    <w:rsid w:val="001949F5"/>
    <w:rsid w:val="001A5AB5"/>
    <w:rsid w:val="001A63C3"/>
    <w:rsid w:val="001A76FD"/>
    <w:rsid w:val="001C0307"/>
    <w:rsid w:val="001C3775"/>
    <w:rsid w:val="001C7052"/>
    <w:rsid w:val="001E354F"/>
    <w:rsid w:val="001F2789"/>
    <w:rsid w:val="00201812"/>
    <w:rsid w:val="002067CB"/>
    <w:rsid w:val="00210E63"/>
    <w:rsid w:val="00212FC4"/>
    <w:rsid w:val="00220171"/>
    <w:rsid w:val="002356C7"/>
    <w:rsid w:val="0024589C"/>
    <w:rsid w:val="0024725E"/>
    <w:rsid w:val="00251596"/>
    <w:rsid w:val="002519F0"/>
    <w:rsid w:val="002568C0"/>
    <w:rsid w:val="002628BE"/>
    <w:rsid w:val="00265863"/>
    <w:rsid w:val="00265C99"/>
    <w:rsid w:val="002708F9"/>
    <w:rsid w:val="00296891"/>
    <w:rsid w:val="002A7865"/>
    <w:rsid w:val="002B1465"/>
    <w:rsid w:val="002D2226"/>
    <w:rsid w:val="002D3A4E"/>
    <w:rsid w:val="002D67CD"/>
    <w:rsid w:val="002E5702"/>
    <w:rsid w:val="00302D67"/>
    <w:rsid w:val="00305A8C"/>
    <w:rsid w:val="00306EF0"/>
    <w:rsid w:val="00315CAD"/>
    <w:rsid w:val="0032148E"/>
    <w:rsid w:val="003263E1"/>
    <w:rsid w:val="003277A5"/>
    <w:rsid w:val="00341B0C"/>
    <w:rsid w:val="00351BE9"/>
    <w:rsid w:val="00360615"/>
    <w:rsid w:val="00363287"/>
    <w:rsid w:val="003770DB"/>
    <w:rsid w:val="00377C7A"/>
    <w:rsid w:val="003805D1"/>
    <w:rsid w:val="003811B2"/>
    <w:rsid w:val="00384F70"/>
    <w:rsid w:val="00385352"/>
    <w:rsid w:val="003940A5"/>
    <w:rsid w:val="003C02E8"/>
    <w:rsid w:val="003D6F74"/>
    <w:rsid w:val="003F0872"/>
    <w:rsid w:val="003F2517"/>
    <w:rsid w:val="003F39DC"/>
    <w:rsid w:val="00400D65"/>
    <w:rsid w:val="0041209A"/>
    <w:rsid w:val="004145EA"/>
    <w:rsid w:val="00421A49"/>
    <w:rsid w:val="004274F4"/>
    <w:rsid w:val="00431268"/>
    <w:rsid w:val="004337F4"/>
    <w:rsid w:val="00433F2A"/>
    <w:rsid w:val="00445944"/>
    <w:rsid w:val="00446243"/>
    <w:rsid w:val="004470C4"/>
    <w:rsid w:val="004502C1"/>
    <w:rsid w:val="004573C2"/>
    <w:rsid w:val="00461680"/>
    <w:rsid w:val="00461871"/>
    <w:rsid w:val="0046619E"/>
    <w:rsid w:val="0047369C"/>
    <w:rsid w:val="00474001"/>
    <w:rsid w:val="004849F8"/>
    <w:rsid w:val="004A1201"/>
    <w:rsid w:val="004A76EC"/>
    <w:rsid w:val="004B1432"/>
    <w:rsid w:val="004B2904"/>
    <w:rsid w:val="004B3E37"/>
    <w:rsid w:val="004B6FE9"/>
    <w:rsid w:val="004C12A0"/>
    <w:rsid w:val="004E01EF"/>
    <w:rsid w:val="004E37D5"/>
    <w:rsid w:val="004F07BB"/>
    <w:rsid w:val="004F596B"/>
    <w:rsid w:val="00503D9F"/>
    <w:rsid w:val="00506212"/>
    <w:rsid w:val="00506AFD"/>
    <w:rsid w:val="00512C6D"/>
    <w:rsid w:val="00532D12"/>
    <w:rsid w:val="00533ACC"/>
    <w:rsid w:val="00536F96"/>
    <w:rsid w:val="00540CC6"/>
    <w:rsid w:val="00543308"/>
    <w:rsid w:val="005567E2"/>
    <w:rsid w:val="00557CC4"/>
    <w:rsid w:val="00565D96"/>
    <w:rsid w:val="005742D8"/>
    <w:rsid w:val="00585AEE"/>
    <w:rsid w:val="00586774"/>
    <w:rsid w:val="005922F1"/>
    <w:rsid w:val="0059265B"/>
    <w:rsid w:val="005A291A"/>
    <w:rsid w:val="005B0995"/>
    <w:rsid w:val="005E7FF4"/>
    <w:rsid w:val="005F3DCE"/>
    <w:rsid w:val="00605F36"/>
    <w:rsid w:val="00610ABD"/>
    <w:rsid w:val="00613D87"/>
    <w:rsid w:val="0061514A"/>
    <w:rsid w:val="006213C8"/>
    <w:rsid w:val="00626979"/>
    <w:rsid w:val="00642568"/>
    <w:rsid w:val="006454EE"/>
    <w:rsid w:val="00654C65"/>
    <w:rsid w:val="006550CE"/>
    <w:rsid w:val="006754CB"/>
    <w:rsid w:val="0068019B"/>
    <w:rsid w:val="0069442B"/>
    <w:rsid w:val="006A14B9"/>
    <w:rsid w:val="006A3472"/>
    <w:rsid w:val="006A6B67"/>
    <w:rsid w:val="006B0679"/>
    <w:rsid w:val="006B433B"/>
    <w:rsid w:val="006B56BF"/>
    <w:rsid w:val="006D08A8"/>
    <w:rsid w:val="006F164B"/>
    <w:rsid w:val="006F4584"/>
    <w:rsid w:val="00705153"/>
    <w:rsid w:val="00705435"/>
    <w:rsid w:val="00711DDA"/>
    <w:rsid w:val="007169C9"/>
    <w:rsid w:val="0072085C"/>
    <w:rsid w:val="00727986"/>
    <w:rsid w:val="0075615D"/>
    <w:rsid w:val="0076052C"/>
    <w:rsid w:val="00760A6D"/>
    <w:rsid w:val="0076112E"/>
    <w:rsid w:val="00770A86"/>
    <w:rsid w:val="00770F6C"/>
    <w:rsid w:val="00782C94"/>
    <w:rsid w:val="00787B36"/>
    <w:rsid w:val="00794B66"/>
    <w:rsid w:val="007979B1"/>
    <w:rsid w:val="007A2E03"/>
    <w:rsid w:val="007C1EBE"/>
    <w:rsid w:val="007D1BDE"/>
    <w:rsid w:val="007D29AC"/>
    <w:rsid w:val="007D58B4"/>
    <w:rsid w:val="007E42C4"/>
    <w:rsid w:val="007F12B5"/>
    <w:rsid w:val="007F2779"/>
    <w:rsid w:val="007F3AB8"/>
    <w:rsid w:val="007F5842"/>
    <w:rsid w:val="007F7F29"/>
    <w:rsid w:val="00810A51"/>
    <w:rsid w:val="00810B20"/>
    <w:rsid w:val="00810C50"/>
    <w:rsid w:val="00820F82"/>
    <w:rsid w:val="0082271B"/>
    <w:rsid w:val="008255EB"/>
    <w:rsid w:val="00834E77"/>
    <w:rsid w:val="00842D4A"/>
    <w:rsid w:val="00850CAD"/>
    <w:rsid w:val="0085402A"/>
    <w:rsid w:val="0085640E"/>
    <w:rsid w:val="0086240A"/>
    <w:rsid w:val="00865AC7"/>
    <w:rsid w:val="008726BB"/>
    <w:rsid w:val="00882959"/>
    <w:rsid w:val="00891E88"/>
    <w:rsid w:val="0089317D"/>
    <w:rsid w:val="008939F2"/>
    <w:rsid w:val="008A3558"/>
    <w:rsid w:val="008A7740"/>
    <w:rsid w:val="008B13E5"/>
    <w:rsid w:val="008B65AB"/>
    <w:rsid w:val="008B7BC6"/>
    <w:rsid w:val="008C013D"/>
    <w:rsid w:val="008C16DF"/>
    <w:rsid w:val="008D3FBB"/>
    <w:rsid w:val="008E00FA"/>
    <w:rsid w:val="008E3DE0"/>
    <w:rsid w:val="008E6E66"/>
    <w:rsid w:val="00903A52"/>
    <w:rsid w:val="0090684C"/>
    <w:rsid w:val="0090783B"/>
    <w:rsid w:val="00911EAE"/>
    <w:rsid w:val="00925775"/>
    <w:rsid w:val="009314CD"/>
    <w:rsid w:val="00934811"/>
    <w:rsid w:val="009351E8"/>
    <w:rsid w:val="00942636"/>
    <w:rsid w:val="00942F96"/>
    <w:rsid w:val="0096134B"/>
    <w:rsid w:val="009614A5"/>
    <w:rsid w:val="00962CEF"/>
    <w:rsid w:val="00972991"/>
    <w:rsid w:val="0097711F"/>
    <w:rsid w:val="00977456"/>
    <w:rsid w:val="0098118A"/>
    <w:rsid w:val="00981679"/>
    <w:rsid w:val="0098427E"/>
    <w:rsid w:val="00985013"/>
    <w:rsid w:val="00995396"/>
    <w:rsid w:val="00995C40"/>
    <w:rsid w:val="0099630B"/>
    <w:rsid w:val="009A0B14"/>
    <w:rsid w:val="009A374E"/>
    <w:rsid w:val="009B16EE"/>
    <w:rsid w:val="009B2AB3"/>
    <w:rsid w:val="009E0092"/>
    <w:rsid w:val="009E4337"/>
    <w:rsid w:val="009E75C6"/>
    <w:rsid w:val="00A01229"/>
    <w:rsid w:val="00A117E2"/>
    <w:rsid w:val="00A148A9"/>
    <w:rsid w:val="00A174F7"/>
    <w:rsid w:val="00A21529"/>
    <w:rsid w:val="00A31C18"/>
    <w:rsid w:val="00A350C3"/>
    <w:rsid w:val="00A36251"/>
    <w:rsid w:val="00A36BAF"/>
    <w:rsid w:val="00A4753A"/>
    <w:rsid w:val="00A5035F"/>
    <w:rsid w:val="00A56AF9"/>
    <w:rsid w:val="00A63737"/>
    <w:rsid w:val="00A646E8"/>
    <w:rsid w:val="00A6540C"/>
    <w:rsid w:val="00A67D63"/>
    <w:rsid w:val="00A806D1"/>
    <w:rsid w:val="00A8186E"/>
    <w:rsid w:val="00A83652"/>
    <w:rsid w:val="00A94F2E"/>
    <w:rsid w:val="00AA2C67"/>
    <w:rsid w:val="00AA2EB6"/>
    <w:rsid w:val="00AA4C30"/>
    <w:rsid w:val="00AA7321"/>
    <w:rsid w:val="00AB2D58"/>
    <w:rsid w:val="00AB6168"/>
    <w:rsid w:val="00AC1E66"/>
    <w:rsid w:val="00AD3BA3"/>
    <w:rsid w:val="00AD482A"/>
    <w:rsid w:val="00AD73C2"/>
    <w:rsid w:val="00AE1796"/>
    <w:rsid w:val="00AE3A28"/>
    <w:rsid w:val="00AE4196"/>
    <w:rsid w:val="00AE7185"/>
    <w:rsid w:val="00AE7C1A"/>
    <w:rsid w:val="00AE7EEA"/>
    <w:rsid w:val="00AF20BB"/>
    <w:rsid w:val="00B14590"/>
    <w:rsid w:val="00B33C09"/>
    <w:rsid w:val="00B34452"/>
    <w:rsid w:val="00B4444B"/>
    <w:rsid w:val="00B72996"/>
    <w:rsid w:val="00B77FA2"/>
    <w:rsid w:val="00B80F1A"/>
    <w:rsid w:val="00B812CB"/>
    <w:rsid w:val="00B81BF1"/>
    <w:rsid w:val="00B84526"/>
    <w:rsid w:val="00B85FE9"/>
    <w:rsid w:val="00B92921"/>
    <w:rsid w:val="00BA0D92"/>
    <w:rsid w:val="00BB0A48"/>
    <w:rsid w:val="00BC0E39"/>
    <w:rsid w:val="00BC7410"/>
    <w:rsid w:val="00BC773D"/>
    <w:rsid w:val="00BD2243"/>
    <w:rsid w:val="00BD2316"/>
    <w:rsid w:val="00BD31FC"/>
    <w:rsid w:val="00BE225B"/>
    <w:rsid w:val="00C02E0A"/>
    <w:rsid w:val="00C10428"/>
    <w:rsid w:val="00C12967"/>
    <w:rsid w:val="00C1393C"/>
    <w:rsid w:val="00C25D30"/>
    <w:rsid w:val="00C2626D"/>
    <w:rsid w:val="00C35735"/>
    <w:rsid w:val="00C43EBB"/>
    <w:rsid w:val="00C45258"/>
    <w:rsid w:val="00C52D12"/>
    <w:rsid w:val="00C543FF"/>
    <w:rsid w:val="00C66E5D"/>
    <w:rsid w:val="00C71B56"/>
    <w:rsid w:val="00C7208C"/>
    <w:rsid w:val="00C728CD"/>
    <w:rsid w:val="00C72CBE"/>
    <w:rsid w:val="00C73489"/>
    <w:rsid w:val="00C751E3"/>
    <w:rsid w:val="00C75510"/>
    <w:rsid w:val="00C90E51"/>
    <w:rsid w:val="00C96BDE"/>
    <w:rsid w:val="00CA5878"/>
    <w:rsid w:val="00CA7062"/>
    <w:rsid w:val="00CA70EB"/>
    <w:rsid w:val="00CB6E4D"/>
    <w:rsid w:val="00CC210D"/>
    <w:rsid w:val="00CC2A57"/>
    <w:rsid w:val="00D00768"/>
    <w:rsid w:val="00D01F6E"/>
    <w:rsid w:val="00D06785"/>
    <w:rsid w:val="00D146A0"/>
    <w:rsid w:val="00D165E5"/>
    <w:rsid w:val="00D22D24"/>
    <w:rsid w:val="00D34B62"/>
    <w:rsid w:val="00D35532"/>
    <w:rsid w:val="00D426CB"/>
    <w:rsid w:val="00D44561"/>
    <w:rsid w:val="00D518F3"/>
    <w:rsid w:val="00D643D6"/>
    <w:rsid w:val="00D71D8B"/>
    <w:rsid w:val="00DA347D"/>
    <w:rsid w:val="00DC272A"/>
    <w:rsid w:val="00DD332F"/>
    <w:rsid w:val="00DD57B1"/>
    <w:rsid w:val="00DE2FCA"/>
    <w:rsid w:val="00DF03D7"/>
    <w:rsid w:val="00DF104C"/>
    <w:rsid w:val="00E0493A"/>
    <w:rsid w:val="00E135C4"/>
    <w:rsid w:val="00E17CBE"/>
    <w:rsid w:val="00E20C85"/>
    <w:rsid w:val="00E21841"/>
    <w:rsid w:val="00E2369B"/>
    <w:rsid w:val="00E24EB3"/>
    <w:rsid w:val="00E3047B"/>
    <w:rsid w:val="00E32644"/>
    <w:rsid w:val="00E37DCE"/>
    <w:rsid w:val="00E417CB"/>
    <w:rsid w:val="00E425B4"/>
    <w:rsid w:val="00E465A0"/>
    <w:rsid w:val="00E61AE9"/>
    <w:rsid w:val="00E74132"/>
    <w:rsid w:val="00E84CAF"/>
    <w:rsid w:val="00E8562E"/>
    <w:rsid w:val="00E95E0C"/>
    <w:rsid w:val="00EA1227"/>
    <w:rsid w:val="00EA3A61"/>
    <w:rsid w:val="00EA4208"/>
    <w:rsid w:val="00EA5E29"/>
    <w:rsid w:val="00EB4C97"/>
    <w:rsid w:val="00EC43ED"/>
    <w:rsid w:val="00EC4720"/>
    <w:rsid w:val="00EC534B"/>
    <w:rsid w:val="00EC6703"/>
    <w:rsid w:val="00ED0202"/>
    <w:rsid w:val="00ED0844"/>
    <w:rsid w:val="00ED2EA8"/>
    <w:rsid w:val="00ED619B"/>
    <w:rsid w:val="00EE3531"/>
    <w:rsid w:val="00EE6859"/>
    <w:rsid w:val="00EE7126"/>
    <w:rsid w:val="00EF49AB"/>
    <w:rsid w:val="00F02D8B"/>
    <w:rsid w:val="00F1238F"/>
    <w:rsid w:val="00F1368E"/>
    <w:rsid w:val="00F27072"/>
    <w:rsid w:val="00F37524"/>
    <w:rsid w:val="00F45185"/>
    <w:rsid w:val="00F57AD3"/>
    <w:rsid w:val="00F60723"/>
    <w:rsid w:val="00F666A0"/>
    <w:rsid w:val="00F6705F"/>
    <w:rsid w:val="00F6728A"/>
    <w:rsid w:val="00F9116A"/>
    <w:rsid w:val="00F95028"/>
    <w:rsid w:val="00FA1825"/>
    <w:rsid w:val="00FA2C54"/>
    <w:rsid w:val="00FA614B"/>
    <w:rsid w:val="00FA7F07"/>
    <w:rsid w:val="00FC3BAB"/>
    <w:rsid w:val="00FC48A3"/>
    <w:rsid w:val="00FC708F"/>
    <w:rsid w:val="00FD1715"/>
    <w:rsid w:val="00FD29C9"/>
    <w:rsid w:val="00FD3FB8"/>
    <w:rsid w:val="00FE27BC"/>
    <w:rsid w:val="00FF02DA"/>
    <w:rsid w:val="00FF1CC5"/>
    <w:rsid w:val="00FF5BDA"/>
    <w:rsid w:val="00FF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138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nhideWhenUsed/>
    <w:rsid w:val="00D518F3"/>
    <w:pPr>
      <w:tabs>
        <w:tab w:val="center" w:pos="4320"/>
        <w:tab w:val="right" w:pos="8640"/>
      </w:tabs>
    </w:pPr>
  </w:style>
  <w:style w:type="character" w:customStyle="1" w:styleId="FooterChar">
    <w:name w:val="Footer Char"/>
    <w:basedOn w:val="DefaultParagraphFont"/>
    <w:link w:val="Footer"/>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9614A5"/>
    <w:rPr>
      <w:color w:val="0563C1" w:themeColor="hyperlink"/>
      <w:u w:val="single"/>
    </w:rPr>
  </w:style>
  <w:style w:type="character" w:styleId="CommentReference">
    <w:name w:val="annotation reference"/>
    <w:basedOn w:val="DefaultParagraphFont"/>
    <w:uiPriority w:val="99"/>
    <w:semiHidden/>
    <w:unhideWhenUsed/>
    <w:rsid w:val="00C25D30"/>
    <w:rPr>
      <w:sz w:val="16"/>
      <w:szCs w:val="16"/>
    </w:rPr>
  </w:style>
  <w:style w:type="paragraph" w:styleId="CommentText">
    <w:name w:val="annotation text"/>
    <w:basedOn w:val="Normal"/>
    <w:link w:val="CommentTextChar"/>
    <w:uiPriority w:val="99"/>
    <w:unhideWhenUsed/>
    <w:rsid w:val="00C25D30"/>
    <w:rPr>
      <w:sz w:val="20"/>
      <w:szCs w:val="20"/>
    </w:rPr>
  </w:style>
  <w:style w:type="character" w:customStyle="1" w:styleId="CommentTextChar">
    <w:name w:val="Comment Text Char"/>
    <w:basedOn w:val="DefaultParagraphFont"/>
    <w:link w:val="CommentText"/>
    <w:uiPriority w:val="99"/>
    <w:rsid w:val="00C25D3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25D30"/>
    <w:rPr>
      <w:b/>
      <w:bCs/>
    </w:rPr>
  </w:style>
  <w:style w:type="character" w:customStyle="1" w:styleId="CommentSubjectChar">
    <w:name w:val="Comment Subject Char"/>
    <w:basedOn w:val="CommentTextChar"/>
    <w:link w:val="CommentSubject"/>
    <w:uiPriority w:val="99"/>
    <w:semiHidden/>
    <w:rsid w:val="00C25D30"/>
    <w:rPr>
      <w:rFonts w:eastAsiaTheme="minorEastAsia"/>
      <w:b/>
      <w:bCs/>
      <w:sz w:val="20"/>
      <w:szCs w:val="20"/>
    </w:rPr>
  </w:style>
  <w:style w:type="paragraph" w:styleId="BalloonText">
    <w:name w:val="Balloon Text"/>
    <w:basedOn w:val="Normal"/>
    <w:link w:val="BalloonTextChar"/>
    <w:uiPriority w:val="99"/>
    <w:semiHidden/>
    <w:unhideWhenUsed/>
    <w:rsid w:val="00C25D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D30"/>
    <w:rPr>
      <w:rFonts w:ascii="Segoe UI" w:eastAsiaTheme="minorEastAsia" w:hAnsi="Segoe UI" w:cs="Segoe UI"/>
      <w:sz w:val="18"/>
      <w:szCs w:val="18"/>
    </w:rPr>
  </w:style>
  <w:style w:type="paragraph" w:styleId="EndnoteText">
    <w:name w:val="endnote text"/>
    <w:basedOn w:val="Normal"/>
    <w:link w:val="EndnoteTextChar"/>
    <w:uiPriority w:val="99"/>
    <w:semiHidden/>
    <w:unhideWhenUsed/>
    <w:rsid w:val="0085640E"/>
    <w:rPr>
      <w:sz w:val="20"/>
      <w:szCs w:val="20"/>
    </w:rPr>
  </w:style>
  <w:style w:type="character" w:customStyle="1" w:styleId="EndnoteTextChar">
    <w:name w:val="Endnote Text Char"/>
    <w:basedOn w:val="DefaultParagraphFont"/>
    <w:link w:val="EndnoteText"/>
    <w:uiPriority w:val="99"/>
    <w:semiHidden/>
    <w:rsid w:val="0085640E"/>
    <w:rPr>
      <w:rFonts w:eastAsiaTheme="minorEastAsia"/>
      <w:sz w:val="20"/>
      <w:szCs w:val="20"/>
    </w:rPr>
  </w:style>
  <w:style w:type="character" w:styleId="EndnoteReference">
    <w:name w:val="endnote reference"/>
    <w:basedOn w:val="DefaultParagraphFont"/>
    <w:uiPriority w:val="99"/>
    <w:semiHidden/>
    <w:unhideWhenUsed/>
    <w:rsid w:val="0085640E"/>
    <w:rPr>
      <w:vertAlign w:val="superscript"/>
    </w:rPr>
  </w:style>
  <w:style w:type="character" w:styleId="FootnoteReference">
    <w:name w:val="footnote reference"/>
    <w:basedOn w:val="DefaultParagraphFont"/>
    <w:uiPriority w:val="99"/>
    <w:semiHidden/>
    <w:unhideWhenUsed/>
    <w:rsid w:val="006B433B"/>
    <w:rPr>
      <w:vertAlign w:val="superscript"/>
    </w:rPr>
  </w:style>
  <w:style w:type="paragraph" w:customStyle="1" w:styleId="StyleRight">
    <w:name w:val="Style Right"/>
    <w:basedOn w:val="Normal"/>
    <w:rsid w:val="000635E4"/>
    <w:pPr>
      <w:spacing w:after="120"/>
      <w:ind w:firstLine="720"/>
      <w:jc w:val="right"/>
    </w:pPr>
    <w:rPr>
      <w:rFonts w:ascii="Times New Roman" w:eastAsia="Times New Roman" w:hAnsi="Times New Roman" w:cs="Times New Roman"/>
      <w:sz w:val="28"/>
      <w:szCs w:val="28"/>
      <w:lang w:val="lv-LV"/>
    </w:rPr>
  </w:style>
  <w:style w:type="character" w:customStyle="1" w:styleId="UnresolvedMention1">
    <w:name w:val="Unresolved Mention1"/>
    <w:basedOn w:val="DefaultParagraphFont"/>
    <w:uiPriority w:val="99"/>
    <w:semiHidden/>
    <w:unhideWhenUsed/>
    <w:rsid w:val="00A36BAF"/>
    <w:rPr>
      <w:color w:val="605E5C"/>
      <w:shd w:val="clear" w:color="auto" w:fill="E1DFDD"/>
    </w:rPr>
  </w:style>
  <w:style w:type="character" w:styleId="FollowedHyperlink">
    <w:name w:val="FollowedHyperlink"/>
    <w:basedOn w:val="DefaultParagraphFont"/>
    <w:uiPriority w:val="99"/>
    <w:semiHidden/>
    <w:unhideWhenUsed/>
    <w:rsid w:val="00B812CB"/>
    <w:rPr>
      <w:color w:val="954F72" w:themeColor="followedHyperlink"/>
      <w:u w:val="single"/>
    </w:rPr>
  </w:style>
  <w:style w:type="paragraph" w:styleId="BodyText2">
    <w:name w:val="Body Text 2"/>
    <w:basedOn w:val="Normal"/>
    <w:link w:val="BodyText2Char"/>
    <w:uiPriority w:val="99"/>
    <w:unhideWhenUsed/>
    <w:rsid w:val="006A3472"/>
    <w:pPr>
      <w:jc w:val="both"/>
    </w:pPr>
    <w:rPr>
      <w:rFonts w:ascii="Times New Roman" w:hAnsi="Times New Roman" w:cs="Times New Roman"/>
      <w:lang w:val="lv-LV"/>
    </w:rPr>
  </w:style>
  <w:style w:type="character" w:customStyle="1" w:styleId="BodyText2Char">
    <w:name w:val="Body Text 2 Char"/>
    <w:basedOn w:val="DefaultParagraphFont"/>
    <w:link w:val="BodyText2"/>
    <w:uiPriority w:val="99"/>
    <w:rsid w:val="006A3472"/>
    <w:rPr>
      <w:rFonts w:ascii="Times New Roman" w:eastAsiaTheme="minorEastAsia" w:hAnsi="Times New Roman" w:cs="Times New Roman"/>
      <w:sz w:val="24"/>
      <w:szCs w:val="24"/>
      <w:lang w:val="lv-LV"/>
    </w:rPr>
  </w:style>
  <w:style w:type="paragraph" w:styleId="BodyTextIndent2">
    <w:name w:val="Body Text Indent 2"/>
    <w:basedOn w:val="Normal"/>
    <w:link w:val="BodyTextIndent2Char"/>
    <w:uiPriority w:val="99"/>
    <w:unhideWhenUsed/>
    <w:rsid w:val="009A0B14"/>
    <w:pPr>
      <w:ind w:firstLine="720"/>
      <w:jc w:val="both"/>
    </w:pPr>
    <w:rPr>
      <w:rFonts w:ascii="Times New Roman" w:hAnsi="Times New Roman" w:cs="Times New Roman"/>
      <w:lang w:val="lv-LV"/>
    </w:rPr>
  </w:style>
  <w:style w:type="character" w:customStyle="1" w:styleId="BodyTextIndent2Char">
    <w:name w:val="Body Text Indent 2 Char"/>
    <w:basedOn w:val="DefaultParagraphFont"/>
    <w:link w:val="BodyTextIndent2"/>
    <w:uiPriority w:val="99"/>
    <w:rsid w:val="009A0B14"/>
    <w:rPr>
      <w:rFonts w:ascii="Times New Roman" w:eastAsiaTheme="minorEastAsia" w:hAnsi="Times New Roman" w:cs="Times New Roman"/>
      <w:sz w:val="24"/>
      <w:szCs w:val="24"/>
      <w:lang w:val="lv-LV"/>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basedOn w:val="DefaultParagraphFont"/>
    <w:link w:val="ListParagraph"/>
    <w:uiPriority w:val="34"/>
    <w:qFormat/>
    <w:rsid w:val="00091B72"/>
    <w:rPr>
      <w:rFonts w:ascii="Times New Roman" w:eastAsia="Times New Roman" w:hAnsi="Times New Roman" w:cs="Times New Roman"/>
      <w:sz w:val="24"/>
      <w:szCs w:val="24"/>
      <w:lang w:val="lv-LV"/>
    </w:rPr>
  </w:style>
  <w:style w:type="character" w:customStyle="1" w:styleId="UnresolvedMention2">
    <w:name w:val="Unresolved Mention2"/>
    <w:basedOn w:val="DefaultParagraphFont"/>
    <w:uiPriority w:val="99"/>
    <w:semiHidden/>
    <w:unhideWhenUsed/>
    <w:rsid w:val="00EA5E29"/>
    <w:rPr>
      <w:color w:val="605E5C"/>
      <w:shd w:val="clear" w:color="auto" w:fill="E1DFDD"/>
    </w:rPr>
  </w:style>
  <w:style w:type="paragraph" w:customStyle="1" w:styleId="logo">
    <w:name w:val="logo"/>
    <w:basedOn w:val="Normal"/>
    <w:uiPriority w:val="99"/>
    <w:rsid w:val="00251596"/>
    <w:pPr>
      <w:spacing w:before="100" w:beforeAutospacing="1" w:after="100" w:afterAutospacing="1"/>
    </w:pPr>
    <w:rPr>
      <w:rFonts w:ascii="Times New Roman" w:eastAsia="Times New Roman" w:hAnsi="Times New Roman" w:cs="Times New Roman"/>
      <w:lang w:val="lv-LV" w:eastAsia="lv-LV"/>
    </w:rPr>
  </w:style>
  <w:style w:type="paragraph" w:customStyle="1" w:styleId="naisc">
    <w:name w:val="naisc"/>
    <w:basedOn w:val="Normal"/>
    <w:rsid w:val="00251596"/>
    <w:pPr>
      <w:spacing w:before="75" w:after="75"/>
      <w:jc w:val="center"/>
    </w:pPr>
    <w:rPr>
      <w:rFonts w:ascii="Times New Roman" w:eastAsia="Times New Roman" w:hAnsi="Times New Roman" w:cs="Times New Roman"/>
      <w:lang w:val="lv-LV" w:eastAsia="lv-LV"/>
    </w:rPr>
  </w:style>
  <w:style w:type="character" w:styleId="UnresolvedMention">
    <w:name w:val="Unresolved Mention"/>
    <w:basedOn w:val="DefaultParagraphFont"/>
    <w:uiPriority w:val="99"/>
    <w:semiHidden/>
    <w:unhideWhenUsed/>
    <w:rsid w:val="00270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83612">
      <w:bodyDiv w:val="1"/>
      <w:marLeft w:val="0"/>
      <w:marRight w:val="0"/>
      <w:marTop w:val="0"/>
      <w:marBottom w:val="0"/>
      <w:divBdr>
        <w:top w:val="none" w:sz="0" w:space="0" w:color="auto"/>
        <w:left w:val="none" w:sz="0" w:space="0" w:color="auto"/>
        <w:bottom w:val="none" w:sz="0" w:space="0" w:color="auto"/>
        <w:right w:val="none" w:sz="0" w:space="0" w:color="auto"/>
      </w:divBdr>
    </w:div>
    <w:div w:id="190264106">
      <w:bodyDiv w:val="1"/>
      <w:marLeft w:val="0"/>
      <w:marRight w:val="0"/>
      <w:marTop w:val="0"/>
      <w:marBottom w:val="0"/>
      <w:divBdr>
        <w:top w:val="none" w:sz="0" w:space="0" w:color="auto"/>
        <w:left w:val="none" w:sz="0" w:space="0" w:color="auto"/>
        <w:bottom w:val="none" w:sz="0" w:space="0" w:color="auto"/>
        <w:right w:val="none" w:sz="0" w:space="0" w:color="auto"/>
      </w:divBdr>
    </w:div>
    <w:div w:id="650528469">
      <w:bodyDiv w:val="1"/>
      <w:marLeft w:val="0"/>
      <w:marRight w:val="0"/>
      <w:marTop w:val="0"/>
      <w:marBottom w:val="0"/>
      <w:divBdr>
        <w:top w:val="none" w:sz="0" w:space="0" w:color="auto"/>
        <w:left w:val="none" w:sz="0" w:space="0" w:color="auto"/>
        <w:bottom w:val="none" w:sz="0" w:space="0" w:color="auto"/>
        <w:right w:val="none" w:sz="0" w:space="0" w:color="auto"/>
      </w:divBdr>
    </w:div>
    <w:div w:id="927886266">
      <w:bodyDiv w:val="1"/>
      <w:marLeft w:val="0"/>
      <w:marRight w:val="0"/>
      <w:marTop w:val="0"/>
      <w:marBottom w:val="0"/>
      <w:divBdr>
        <w:top w:val="none" w:sz="0" w:space="0" w:color="auto"/>
        <w:left w:val="none" w:sz="0" w:space="0" w:color="auto"/>
        <w:bottom w:val="none" w:sz="0" w:space="0" w:color="auto"/>
        <w:right w:val="none" w:sz="0" w:space="0" w:color="auto"/>
      </w:divBdr>
    </w:div>
    <w:div w:id="1020013184">
      <w:bodyDiv w:val="1"/>
      <w:marLeft w:val="0"/>
      <w:marRight w:val="0"/>
      <w:marTop w:val="0"/>
      <w:marBottom w:val="0"/>
      <w:divBdr>
        <w:top w:val="none" w:sz="0" w:space="0" w:color="auto"/>
        <w:left w:val="none" w:sz="0" w:space="0" w:color="auto"/>
        <w:bottom w:val="none" w:sz="0" w:space="0" w:color="auto"/>
        <w:right w:val="none" w:sz="0" w:space="0" w:color="auto"/>
      </w:divBdr>
    </w:div>
    <w:div w:id="1119685758">
      <w:bodyDiv w:val="1"/>
      <w:marLeft w:val="0"/>
      <w:marRight w:val="0"/>
      <w:marTop w:val="0"/>
      <w:marBottom w:val="0"/>
      <w:divBdr>
        <w:top w:val="none" w:sz="0" w:space="0" w:color="auto"/>
        <w:left w:val="none" w:sz="0" w:space="0" w:color="auto"/>
        <w:bottom w:val="none" w:sz="0" w:space="0" w:color="auto"/>
        <w:right w:val="none" w:sz="0" w:space="0" w:color="auto"/>
      </w:divBdr>
      <w:divsChild>
        <w:div w:id="1824346730">
          <w:marLeft w:val="0"/>
          <w:marRight w:val="0"/>
          <w:marTop w:val="0"/>
          <w:marBottom w:val="0"/>
          <w:divBdr>
            <w:top w:val="none" w:sz="0" w:space="0" w:color="auto"/>
            <w:left w:val="none" w:sz="0" w:space="0" w:color="auto"/>
            <w:bottom w:val="none" w:sz="0" w:space="0" w:color="auto"/>
            <w:right w:val="none" w:sz="0" w:space="0" w:color="auto"/>
          </w:divBdr>
          <w:divsChild>
            <w:div w:id="1860005618">
              <w:marLeft w:val="0"/>
              <w:marRight w:val="0"/>
              <w:marTop w:val="0"/>
              <w:marBottom w:val="0"/>
              <w:divBdr>
                <w:top w:val="none" w:sz="0" w:space="0" w:color="auto"/>
                <w:left w:val="none" w:sz="0" w:space="0" w:color="auto"/>
                <w:bottom w:val="none" w:sz="0" w:space="0" w:color="auto"/>
                <w:right w:val="none" w:sz="0" w:space="0" w:color="auto"/>
              </w:divBdr>
              <w:divsChild>
                <w:div w:id="1890409998">
                  <w:marLeft w:val="0"/>
                  <w:marRight w:val="0"/>
                  <w:marTop w:val="0"/>
                  <w:marBottom w:val="0"/>
                  <w:divBdr>
                    <w:top w:val="none" w:sz="0" w:space="0" w:color="auto"/>
                    <w:left w:val="none" w:sz="0" w:space="0" w:color="auto"/>
                    <w:bottom w:val="none" w:sz="0" w:space="0" w:color="auto"/>
                    <w:right w:val="none" w:sz="0" w:space="0" w:color="auto"/>
                  </w:divBdr>
                  <w:divsChild>
                    <w:div w:id="515576382">
                      <w:marLeft w:val="0"/>
                      <w:marRight w:val="0"/>
                      <w:marTop w:val="0"/>
                      <w:marBottom w:val="0"/>
                      <w:divBdr>
                        <w:top w:val="none" w:sz="0" w:space="0" w:color="auto"/>
                        <w:left w:val="none" w:sz="0" w:space="0" w:color="auto"/>
                        <w:bottom w:val="none" w:sz="0" w:space="0" w:color="auto"/>
                        <w:right w:val="none" w:sz="0" w:space="0" w:color="auto"/>
                      </w:divBdr>
                      <w:divsChild>
                        <w:div w:id="17521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013301">
      <w:bodyDiv w:val="1"/>
      <w:marLeft w:val="0"/>
      <w:marRight w:val="0"/>
      <w:marTop w:val="0"/>
      <w:marBottom w:val="0"/>
      <w:divBdr>
        <w:top w:val="none" w:sz="0" w:space="0" w:color="auto"/>
        <w:left w:val="none" w:sz="0" w:space="0" w:color="auto"/>
        <w:bottom w:val="none" w:sz="0" w:space="0" w:color="auto"/>
        <w:right w:val="none" w:sz="0" w:space="0" w:color="auto"/>
      </w:divBdr>
    </w:div>
    <w:div w:id="1249119277">
      <w:bodyDiv w:val="1"/>
      <w:marLeft w:val="0"/>
      <w:marRight w:val="0"/>
      <w:marTop w:val="0"/>
      <w:marBottom w:val="0"/>
      <w:divBdr>
        <w:top w:val="none" w:sz="0" w:space="0" w:color="auto"/>
        <w:left w:val="none" w:sz="0" w:space="0" w:color="auto"/>
        <w:bottom w:val="none" w:sz="0" w:space="0" w:color="auto"/>
        <w:right w:val="none" w:sz="0" w:space="0" w:color="auto"/>
      </w:divBdr>
    </w:div>
    <w:div w:id="1259754465">
      <w:bodyDiv w:val="1"/>
      <w:marLeft w:val="0"/>
      <w:marRight w:val="0"/>
      <w:marTop w:val="0"/>
      <w:marBottom w:val="0"/>
      <w:divBdr>
        <w:top w:val="none" w:sz="0" w:space="0" w:color="auto"/>
        <w:left w:val="none" w:sz="0" w:space="0" w:color="auto"/>
        <w:bottom w:val="none" w:sz="0" w:space="0" w:color="auto"/>
        <w:right w:val="none" w:sz="0" w:space="0" w:color="auto"/>
      </w:divBdr>
    </w:div>
    <w:div w:id="1307275886">
      <w:bodyDiv w:val="1"/>
      <w:marLeft w:val="0"/>
      <w:marRight w:val="0"/>
      <w:marTop w:val="0"/>
      <w:marBottom w:val="0"/>
      <w:divBdr>
        <w:top w:val="none" w:sz="0" w:space="0" w:color="auto"/>
        <w:left w:val="none" w:sz="0" w:space="0" w:color="auto"/>
        <w:bottom w:val="none" w:sz="0" w:space="0" w:color="auto"/>
        <w:right w:val="none" w:sz="0" w:space="0" w:color="auto"/>
      </w:divBdr>
    </w:div>
    <w:div w:id="1587417548">
      <w:bodyDiv w:val="1"/>
      <w:marLeft w:val="0"/>
      <w:marRight w:val="0"/>
      <w:marTop w:val="0"/>
      <w:marBottom w:val="0"/>
      <w:divBdr>
        <w:top w:val="none" w:sz="0" w:space="0" w:color="auto"/>
        <w:left w:val="none" w:sz="0" w:space="0" w:color="auto"/>
        <w:bottom w:val="none" w:sz="0" w:space="0" w:color="auto"/>
        <w:right w:val="none" w:sz="0" w:space="0" w:color="auto"/>
      </w:divBdr>
    </w:div>
    <w:div w:id="1623031382">
      <w:bodyDiv w:val="1"/>
      <w:marLeft w:val="0"/>
      <w:marRight w:val="0"/>
      <w:marTop w:val="0"/>
      <w:marBottom w:val="0"/>
      <w:divBdr>
        <w:top w:val="none" w:sz="0" w:space="0" w:color="auto"/>
        <w:left w:val="none" w:sz="0" w:space="0" w:color="auto"/>
        <w:bottom w:val="none" w:sz="0" w:space="0" w:color="auto"/>
        <w:right w:val="none" w:sz="0" w:space="0" w:color="auto"/>
      </w:divBdr>
      <w:divsChild>
        <w:div w:id="374934464">
          <w:marLeft w:val="0"/>
          <w:marRight w:val="0"/>
          <w:marTop w:val="0"/>
          <w:marBottom w:val="0"/>
          <w:divBdr>
            <w:top w:val="none" w:sz="0" w:space="0" w:color="auto"/>
            <w:left w:val="none" w:sz="0" w:space="0" w:color="auto"/>
            <w:bottom w:val="none" w:sz="0" w:space="0" w:color="auto"/>
            <w:right w:val="none" w:sz="0" w:space="0" w:color="auto"/>
          </w:divBdr>
        </w:div>
      </w:divsChild>
    </w:div>
    <w:div w:id="198816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C255C-6A71-4F77-AF30-310445D0D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10895</Words>
  <Characters>6211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2021-12-03T11:45:00Z</dcterms:created>
  <dcterms:modified xsi:type="dcterms:W3CDTF">2021-12-03T11:45:00Z</dcterms:modified>
</cp:coreProperties>
</file>