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DBD26" w14:textId="77777777" w:rsidR="000E522E" w:rsidRDefault="00113639">
      <w:pPr>
        <w:widowControl/>
        <w:rPr>
          <w:szCs w:val="24"/>
        </w:rPr>
      </w:pPr>
      <w:bookmarkStart w:id="0" w:name="_Hlk36803156"/>
      <w:bookmarkStart w:id="1" w:name="_GoBack"/>
      <w:bookmarkEnd w:id="1"/>
      <w:r>
        <w:rPr>
          <w:rFonts w:eastAsia="Times New Roman"/>
          <w:szCs w:val="24"/>
        </w:rPr>
        <w:t xml:space="preserve">Uz 01.07.2021.     </w:t>
      </w:r>
      <w:r>
        <w:rPr>
          <w:szCs w:val="24"/>
        </w:rPr>
        <w:t>VSS prot. Nr.25  27.§ (VSS-620)</w:t>
      </w:r>
    </w:p>
    <w:p w14:paraId="4DBDBD27" w14:textId="77777777" w:rsidR="000E522E" w:rsidRDefault="000E522E">
      <w:pPr>
        <w:rPr>
          <w:sz w:val="26"/>
          <w:szCs w:val="26"/>
        </w:rPr>
      </w:pPr>
    </w:p>
    <w:p w14:paraId="4DBDBD28" w14:textId="77777777" w:rsidR="000E522E" w:rsidRDefault="00113639">
      <w:pPr>
        <w:pStyle w:val="Bezatstarpm"/>
        <w:jc w:val="right"/>
        <w:rPr>
          <w:b/>
          <w:sz w:val="26"/>
          <w:szCs w:val="26"/>
        </w:rPr>
      </w:pPr>
      <w:r>
        <w:rPr>
          <w:b/>
          <w:sz w:val="26"/>
          <w:szCs w:val="26"/>
        </w:rPr>
        <w:t>Zemkopības ministrijai</w:t>
      </w:r>
    </w:p>
    <w:p w14:paraId="4DBDBD29" w14:textId="77777777" w:rsidR="000E522E" w:rsidRDefault="000E522E">
      <w:pPr>
        <w:pStyle w:val="Bezatstarpm"/>
        <w:rPr>
          <w:bCs/>
          <w:sz w:val="26"/>
          <w:szCs w:val="26"/>
        </w:rPr>
      </w:pPr>
    </w:p>
    <w:p w14:paraId="4DBDBD2A" w14:textId="77777777" w:rsidR="000E522E" w:rsidRDefault="000E522E">
      <w:pPr>
        <w:pStyle w:val="Bezatstarpm"/>
        <w:rPr>
          <w:sz w:val="26"/>
          <w:szCs w:val="26"/>
        </w:rPr>
      </w:pPr>
    </w:p>
    <w:p w14:paraId="4DBDBD2B" w14:textId="77777777" w:rsidR="000E522E" w:rsidRDefault="00113639">
      <w:pPr>
        <w:widowControl/>
        <w:jc w:val="left"/>
        <w:rPr>
          <w:rFonts w:eastAsia="Times New Roman"/>
          <w:i/>
          <w:sz w:val="26"/>
          <w:szCs w:val="26"/>
        </w:rPr>
      </w:pPr>
      <w:r>
        <w:rPr>
          <w:rFonts w:eastAsia="Times New Roman"/>
          <w:i/>
          <w:sz w:val="26"/>
          <w:szCs w:val="26"/>
        </w:rPr>
        <w:t xml:space="preserve">Par </w:t>
      </w:r>
      <w:bookmarkStart w:id="2" w:name="_Hlk36045257"/>
      <w:r>
        <w:rPr>
          <w:rFonts w:eastAsia="Times New Roman"/>
          <w:i/>
          <w:sz w:val="26"/>
          <w:szCs w:val="26"/>
        </w:rPr>
        <w:t xml:space="preserve">Ministru kabineta noteikumu projektu </w:t>
      </w:r>
    </w:p>
    <w:p w14:paraId="4DBDBD2C" w14:textId="77777777" w:rsidR="000E522E" w:rsidRDefault="00113639">
      <w:pPr>
        <w:widowControl/>
        <w:jc w:val="left"/>
        <w:rPr>
          <w:rFonts w:eastAsia="Times New Roman"/>
          <w:i/>
          <w:iCs/>
          <w:sz w:val="26"/>
          <w:szCs w:val="26"/>
        </w:rPr>
      </w:pPr>
      <w:r>
        <w:rPr>
          <w:rFonts w:eastAsia="Times New Roman"/>
          <w:i/>
          <w:sz w:val="26"/>
          <w:szCs w:val="26"/>
        </w:rPr>
        <w:t>“</w:t>
      </w:r>
      <w:r>
        <w:rPr>
          <w:rFonts w:eastAsia="Times New Roman"/>
          <w:i/>
          <w:iCs/>
          <w:sz w:val="26"/>
          <w:szCs w:val="26"/>
        </w:rPr>
        <w:t xml:space="preserve">Grozījumi Ministru kabineta 2016. gada 21. jūnija </w:t>
      </w:r>
    </w:p>
    <w:p w14:paraId="4DBDBD2D" w14:textId="50276460" w:rsidR="000E522E" w:rsidRDefault="00113639">
      <w:pPr>
        <w:widowControl/>
        <w:jc w:val="left"/>
        <w:rPr>
          <w:rFonts w:eastAsia="Times New Roman"/>
          <w:i/>
          <w:iCs/>
          <w:sz w:val="26"/>
          <w:szCs w:val="26"/>
        </w:rPr>
      </w:pPr>
      <w:r>
        <w:rPr>
          <w:rFonts w:eastAsia="Times New Roman"/>
          <w:i/>
          <w:iCs/>
          <w:sz w:val="26"/>
          <w:szCs w:val="26"/>
        </w:rPr>
        <w:t>noteikumos Nr.</w:t>
      </w:r>
      <w:r w:rsidR="00F05DFC">
        <w:rPr>
          <w:rFonts w:eastAsia="Times New Roman"/>
          <w:i/>
          <w:iCs/>
          <w:sz w:val="26"/>
          <w:szCs w:val="26"/>
        </w:rPr>
        <w:t> </w:t>
      </w:r>
      <w:r>
        <w:rPr>
          <w:rFonts w:eastAsia="Times New Roman"/>
          <w:i/>
          <w:iCs/>
          <w:sz w:val="26"/>
          <w:szCs w:val="26"/>
        </w:rPr>
        <w:t xml:space="preserve">384 “Meža inventarizācijas un Meža </w:t>
      </w:r>
    </w:p>
    <w:p w14:paraId="4DBDBD2E" w14:textId="77777777" w:rsidR="000E522E" w:rsidRDefault="00113639">
      <w:pPr>
        <w:widowControl/>
        <w:jc w:val="left"/>
        <w:rPr>
          <w:rFonts w:eastAsia="Times New Roman"/>
          <w:i/>
          <w:sz w:val="26"/>
          <w:szCs w:val="26"/>
        </w:rPr>
      </w:pPr>
      <w:r>
        <w:rPr>
          <w:rFonts w:eastAsia="Times New Roman"/>
          <w:i/>
          <w:iCs/>
          <w:sz w:val="26"/>
          <w:szCs w:val="26"/>
        </w:rPr>
        <w:t>valsts reģistra informācijas aprites noteikumi”</w:t>
      </w:r>
      <w:r>
        <w:rPr>
          <w:rFonts w:eastAsia="Times New Roman"/>
          <w:i/>
          <w:sz w:val="26"/>
          <w:szCs w:val="26"/>
        </w:rPr>
        <w:t>”</w:t>
      </w:r>
    </w:p>
    <w:bookmarkEnd w:id="2"/>
    <w:p w14:paraId="4DBDBD2F" w14:textId="77777777" w:rsidR="000E522E" w:rsidRDefault="000E522E">
      <w:pPr>
        <w:widowControl/>
        <w:jc w:val="left"/>
        <w:rPr>
          <w:rFonts w:eastAsia="Times New Roman"/>
          <w:sz w:val="26"/>
          <w:szCs w:val="26"/>
        </w:rPr>
      </w:pPr>
    </w:p>
    <w:p w14:paraId="4DBDBD30" w14:textId="77777777" w:rsidR="000E522E" w:rsidRDefault="000E522E">
      <w:pPr>
        <w:widowControl/>
        <w:jc w:val="left"/>
        <w:rPr>
          <w:rFonts w:eastAsia="Times New Roman"/>
          <w:sz w:val="26"/>
          <w:szCs w:val="26"/>
        </w:rPr>
      </w:pPr>
    </w:p>
    <w:p w14:paraId="4DBDBD31" w14:textId="1242A360" w:rsidR="000E522E" w:rsidRDefault="00113639">
      <w:pPr>
        <w:widowControl/>
        <w:ind w:firstLine="720"/>
        <w:rPr>
          <w:rFonts w:eastAsia="Times New Roman"/>
          <w:sz w:val="26"/>
          <w:szCs w:val="26"/>
        </w:rPr>
      </w:pPr>
      <w:r>
        <w:rPr>
          <w:rFonts w:eastAsia="Times New Roman"/>
          <w:sz w:val="26"/>
          <w:szCs w:val="26"/>
        </w:rPr>
        <w:t>Tieslietu ministrija ir izskatījusi Zemkopības ministrijas sagatavoto Ministru kabineta noteikumu projektu “Grozījumi Ministru kabineta 2016. gada 21. jūnija noteikumos Nr.</w:t>
      </w:r>
      <w:r w:rsidR="00F05DFC">
        <w:rPr>
          <w:rFonts w:eastAsia="Times New Roman"/>
          <w:sz w:val="26"/>
          <w:szCs w:val="26"/>
        </w:rPr>
        <w:t> </w:t>
      </w:r>
      <w:r>
        <w:rPr>
          <w:rFonts w:eastAsia="Times New Roman"/>
          <w:sz w:val="26"/>
          <w:szCs w:val="26"/>
        </w:rPr>
        <w:t xml:space="preserve">384 “Meža inventarizācijas un Meža valsts reģistra informācijas aprites noteikumi”” </w:t>
      </w:r>
      <w:r>
        <w:rPr>
          <w:sz w:val="26"/>
          <w:szCs w:val="26"/>
        </w:rPr>
        <w:t xml:space="preserve">(turpmāk – </w:t>
      </w:r>
      <w:r>
        <w:rPr>
          <w:bCs/>
          <w:sz w:val="26"/>
          <w:szCs w:val="26"/>
        </w:rPr>
        <w:t>projekts</w:t>
      </w:r>
      <w:r>
        <w:rPr>
          <w:sz w:val="26"/>
          <w:szCs w:val="26"/>
        </w:rPr>
        <w:t xml:space="preserve">) </w:t>
      </w:r>
      <w:r>
        <w:rPr>
          <w:rFonts w:eastAsia="Times New Roman"/>
          <w:sz w:val="26"/>
          <w:szCs w:val="26"/>
        </w:rPr>
        <w:t xml:space="preserve">un atbalsta tā tālāku virzību, izsakot šādus iebildumus. </w:t>
      </w:r>
    </w:p>
    <w:p w14:paraId="4DBDBD32" w14:textId="21824DF4" w:rsidR="000E522E" w:rsidRDefault="00113639">
      <w:pPr>
        <w:ind w:firstLine="709"/>
        <w:rPr>
          <w:bCs/>
          <w:sz w:val="26"/>
          <w:szCs w:val="26"/>
        </w:rPr>
      </w:pPr>
      <w:bookmarkStart w:id="3" w:name="_Hlk77155436"/>
      <w:r>
        <w:rPr>
          <w:bCs/>
          <w:sz w:val="26"/>
          <w:szCs w:val="26"/>
        </w:rPr>
        <w:t>1. Projekta 9. punktā paredzēto Ministru kabineta 2016. gada 21. jūnija noteikumu Nr.</w:t>
      </w:r>
      <w:r w:rsidR="00F05DFC">
        <w:rPr>
          <w:bCs/>
          <w:sz w:val="26"/>
          <w:szCs w:val="26"/>
        </w:rPr>
        <w:t> </w:t>
      </w:r>
      <w:r>
        <w:rPr>
          <w:bCs/>
          <w:sz w:val="26"/>
          <w:szCs w:val="26"/>
        </w:rPr>
        <w:t xml:space="preserve">384 “Meža inventarizācijas un Meža valsts reģistra informācijas aprites noteikumi” (turpmāk – noteikumi) 34. punktu (izteikts jaunā redakcijā) piedāvājam papildus izvērtēt un precizēt. Vēršam uzmanību, ka noteikumos nav pieļaujams pārrakstīt Meža likuma (turpmāk – likums) 29. pantā vai pārejas noteikumu 24. punktā esošo regulējumu par pirmreizējo meža inventarizāciju un likuma regulējums, veicot darbības Meža valsts reģistrā, jāpiemēro tieši. </w:t>
      </w:r>
    </w:p>
    <w:bookmarkEnd w:id="3"/>
    <w:p w14:paraId="4DBDBD33" w14:textId="77777777" w:rsidR="000E522E" w:rsidRDefault="00113639">
      <w:pPr>
        <w:ind w:firstLine="709"/>
        <w:rPr>
          <w:bCs/>
          <w:sz w:val="26"/>
          <w:szCs w:val="26"/>
        </w:rPr>
      </w:pPr>
      <w:r>
        <w:rPr>
          <w:bCs/>
          <w:sz w:val="26"/>
          <w:szCs w:val="26"/>
        </w:rPr>
        <w:t>2. Projekta 10. punktā paredzēto jauno noteikumu 34.</w:t>
      </w:r>
      <w:r>
        <w:rPr>
          <w:bCs/>
          <w:sz w:val="26"/>
          <w:szCs w:val="26"/>
          <w:vertAlign w:val="superscript"/>
        </w:rPr>
        <w:t>1</w:t>
      </w:r>
      <w:r>
        <w:rPr>
          <w:bCs/>
          <w:sz w:val="26"/>
          <w:szCs w:val="26"/>
        </w:rPr>
        <w:t xml:space="preserve"> punktu nepieciešams svītrot. Vēršam uzmanību, ka šāda veida norma, kas paredz privātpersonai nelabvēlīgu regulējumu saistībā ar meža inventarizāciju, neatbilst izveidotajai tiesību sistēmai, jo likuma 34. panta pirmās daļas pilnvarojums neparedz noteikumos veidot privātpersonas tiesības ierobežojošas normas. Tādējādi šāds regulējums ir pretrunā arī ar Administratīvā procesa likuma 11. pantā noteikto likuma atrunas principu. Tieslietu ministrijas ieskatā šāda veida regulējums ir jānosaka ar likumu. </w:t>
      </w:r>
    </w:p>
    <w:p w14:paraId="4DBDBD34" w14:textId="77777777" w:rsidR="000E522E" w:rsidRDefault="00113639">
      <w:pPr>
        <w:ind w:firstLine="709"/>
        <w:rPr>
          <w:bCs/>
          <w:sz w:val="26"/>
          <w:szCs w:val="26"/>
        </w:rPr>
      </w:pPr>
      <w:r>
        <w:rPr>
          <w:bCs/>
          <w:sz w:val="26"/>
          <w:szCs w:val="26"/>
        </w:rPr>
        <w:t xml:space="preserve">3. Projekta 12. punktā paredzēto noteikumu 45. punktu nepieciešams papildus izvērtēt un piedāvājam to redakcionāli precizēt. Vēršam uzmanību, ka likuma pilnvarojums paredz “meža inventarizācijas datu aktualizācijas kārtību”. Tādējādi piedāvājam šo normu vienkāršot, izmantojot likumā paredzētu vārdu atbilstošos locījumos un formās, jo “jaunu meža inventarizācijas datu pievienošana” vai “informāciju nomaiņa pret jauno informāciju” ir datu aktualizācija un normatīvajos aktos ir pieņemts, ka regulējums tiek veidots par aktuālajiem datiem un vēsturiskajiem datiem. Papildus </w:t>
      </w:r>
      <w:r>
        <w:rPr>
          <w:bCs/>
          <w:sz w:val="26"/>
          <w:szCs w:val="26"/>
        </w:rPr>
        <w:lastRenderedPageBreak/>
        <w:t xml:space="preserve">norādām, ka noteikumu 46. punktā ir minēta “vēsturiskā informācija”. Ievērojot minēto, piedāvājam projektā un noteikumos ievērot likuma pilnvarojumam atbilstošu vienotu normu veidošanas stilu. </w:t>
      </w:r>
    </w:p>
    <w:p w14:paraId="4DBDBD35" w14:textId="7E753701" w:rsidR="000E522E" w:rsidRDefault="00113639">
      <w:pPr>
        <w:ind w:firstLine="709"/>
        <w:rPr>
          <w:bCs/>
          <w:sz w:val="26"/>
          <w:szCs w:val="26"/>
        </w:rPr>
      </w:pPr>
      <w:r>
        <w:rPr>
          <w:bCs/>
          <w:sz w:val="26"/>
          <w:szCs w:val="26"/>
        </w:rPr>
        <w:t>4. Projekta 14. punktā paredzētos jaunos noteikumu 49.</w:t>
      </w:r>
      <w:r>
        <w:rPr>
          <w:bCs/>
          <w:sz w:val="26"/>
          <w:szCs w:val="26"/>
          <w:vertAlign w:val="superscript"/>
        </w:rPr>
        <w:t>2</w:t>
      </w:r>
      <w:r>
        <w:rPr>
          <w:bCs/>
          <w:sz w:val="26"/>
          <w:szCs w:val="26"/>
        </w:rPr>
        <w:t> un 49.</w:t>
      </w:r>
      <w:r>
        <w:rPr>
          <w:bCs/>
          <w:sz w:val="26"/>
          <w:szCs w:val="26"/>
          <w:vertAlign w:val="superscript"/>
        </w:rPr>
        <w:t>3</w:t>
      </w:r>
      <w:r>
        <w:rPr>
          <w:bCs/>
          <w:sz w:val="26"/>
          <w:szCs w:val="26"/>
        </w:rPr>
        <w:t xml:space="preserve"> punktu nepieciešams svītrot. Vēršam uzmanību, ka ārējos normatīvajos aktos nenosaka iestādes “iekšējo” darba organizāciju un iestādes rīcībā esošās informācijas apriti. Tas tiek darīts ar iekšējiem normatīvajiem aktiem vai citādiem iestādes vadītāja lēmumiem. Savukārt dokumentu juridisko spēku nosaka Dokumentu juridiskā spēka likums, Elektronisko dokumentu likums un citi normatīvie akti, tādēļ šāda veida norma nav pieļaujama atsevišķas valsts informācijas sistēmas (reģistra) darbību reglamentējošos Ministru kabineta noteikumos. </w:t>
      </w:r>
    </w:p>
    <w:p w14:paraId="4DBDBD36" w14:textId="71CC2037" w:rsidR="000E522E" w:rsidRDefault="00113639">
      <w:pPr>
        <w:ind w:firstLine="709"/>
        <w:rPr>
          <w:bCs/>
          <w:sz w:val="26"/>
          <w:szCs w:val="26"/>
        </w:rPr>
      </w:pPr>
      <w:r>
        <w:rPr>
          <w:bCs/>
          <w:sz w:val="26"/>
          <w:szCs w:val="26"/>
        </w:rPr>
        <w:t>5. Projekta 14. punktā paredzēto jauno noteikumu 49.</w:t>
      </w:r>
      <w:r>
        <w:rPr>
          <w:bCs/>
          <w:sz w:val="26"/>
          <w:szCs w:val="26"/>
          <w:vertAlign w:val="superscript"/>
        </w:rPr>
        <w:t>6</w:t>
      </w:r>
      <w:r>
        <w:rPr>
          <w:bCs/>
          <w:sz w:val="26"/>
          <w:szCs w:val="26"/>
        </w:rPr>
        <w:t> punktu nepieciešams papildus izvērtēt un precizēt vai svītrot. Vēršam uzmanību, ka likuma pilnvarojums paredz “noteikt apjomu un kārtību, kādā publisko meža inventarizācijas datus, kā arī kārtību, kādā meža īpašnieks vai tiesiskais valdītājs var ierobežot meža inventarizācijas datu publiskošanu”. Tād</w:t>
      </w:r>
      <w:r w:rsidR="00F05DFC">
        <w:rPr>
          <w:bCs/>
          <w:sz w:val="26"/>
          <w:szCs w:val="26"/>
        </w:rPr>
        <w:t>ē</w:t>
      </w:r>
      <w:r>
        <w:rPr>
          <w:bCs/>
          <w:sz w:val="26"/>
          <w:szCs w:val="26"/>
        </w:rPr>
        <w:t xml:space="preserve">jādi noteikumos vispirms nepieciešams paredzēt publicējamo datu apjomu, pēc kā jānosaka kārtība meža īpašnieka vai valdītāja tiesību īstenošanai. Turklāt iestādei (reģistra turētājam) arī bez meža īpašnieka vai valdītāja tiesību īstenošanas ir jāpilda ārējos normatīvajos aktos noteiktais regulējums, piemēram, fiziskas personas datu aizsardzības regulējums. Savukārt saskaņā ar Informācijas atklātības likumu privātpersona var norādīt tikai par komercnoslēpumu. Ievērojot minēto, projektā nav jāveido vispārīga formāla ārējā atsauce uz Informācijas atklātības likumu, bet jānosaka atbilstoša kārtība. </w:t>
      </w:r>
    </w:p>
    <w:p w14:paraId="4DBDBD37" w14:textId="3EFCCBC0" w:rsidR="000E522E" w:rsidRDefault="00113639">
      <w:pPr>
        <w:ind w:firstLine="709"/>
        <w:rPr>
          <w:bCs/>
          <w:sz w:val="26"/>
          <w:szCs w:val="26"/>
        </w:rPr>
      </w:pPr>
      <w:r>
        <w:rPr>
          <w:bCs/>
          <w:sz w:val="26"/>
          <w:szCs w:val="26"/>
        </w:rPr>
        <w:t xml:space="preserve">6. Projekta 15. punktā paredzēto noteikumu 55. punktu nepieciešams papildus izvērtēt un precizēt. Vēršam uzmanību, ka projektā šāds noteikumu 55. punkts nosaka </w:t>
      </w:r>
      <w:bookmarkStart w:id="4" w:name="_Hlk77166136"/>
      <w:r>
        <w:rPr>
          <w:bCs/>
          <w:sz w:val="26"/>
          <w:szCs w:val="26"/>
        </w:rPr>
        <w:t xml:space="preserve">meža īpašnieka vai tiesiskā valdītāja tiesību aizstāšanu ar pienākumu </w:t>
      </w:r>
      <w:bookmarkEnd w:id="4"/>
      <w:r>
        <w:rPr>
          <w:bCs/>
          <w:sz w:val="26"/>
          <w:szCs w:val="26"/>
        </w:rPr>
        <w:t xml:space="preserve">jebkurā gadījumā “aizpildīt nocirstās koksnes izcelsmes apliecinājumu (8. pielikums) vai sagatavot brīvas formas apliecinājumu”. Šāds regulējums nesniedz tiesisko noteiktību veicamajām darbībām, jo nav saprotams, kādos gadījumos meža īpašniekam vai tiesiskajam valdītājam nepieciešams sagatavot noteiktās formas informāciju. Turklāt piedāvātais regulējums, izslēdzot no esošā regulējuma vārdus “ja apliecinājums nav bijis nepieciešams”, privātpersonai var palielināt administratīvās procedūras, jo projekts meža īpašniekam vai tiesiskajam valdītājam paredz pienākumu sagatavot apliecinājumu arī tad, ja ir Valsts meža dienesta apliecinājums (administratīvais akts). Projekta anotācijā par esošās kārtības maiņu un administratīvā sloga palielinājumu informācija un skaidrojums šobrīd nav sniegta. Papildus norādām, ka vienlaikus nepieciešams izvērtēt grozījumu izdarīšanu noteikumu 8. pielikumā. </w:t>
      </w:r>
    </w:p>
    <w:p w14:paraId="4DBDBD38" w14:textId="77777777" w:rsidR="000E522E" w:rsidRDefault="00113639">
      <w:pPr>
        <w:ind w:firstLine="709"/>
        <w:rPr>
          <w:bCs/>
          <w:sz w:val="26"/>
          <w:szCs w:val="26"/>
        </w:rPr>
      </w:pPr>
      <w:r>
        <w:rPr>
          <w:bCs/>
          <w:sz w:val="26"/>
          <w:szCs w:val="26"/>
        </w:rPr>
        <w:t xml:space="preserve">7. Projektā nepieciešams paredzēt grozījumu noteikumu 7. pielikumā, proti, veidlapā nepieciešams izslēgt zemes īpašnieka vai tiesiskā valdītāja un viņu personas koda vai reģistrācijas numura norādi, jo Valsts zemes dienests datu reģistrācijai izmanto kadastra numuru un Nekustamā īpašuma valsts kadastra informācijas sistēmā ievadīt personu datus nav nepieciešams. Grozījums nepieciešams, lai novērstu personu datu nelietderīgu sūtīšanu un minimizētu to apstrādi. </w:t>
      </w:r>
    </w:p>
    <w:p w14:paraId="4DBDBD39" w14:textId="77777777" w:rsidR="000E522E" w:rsidRDefault="00113639">
      <w:pPr>
        <w:ind w:firstLine="709"/>
        <w:rPr>
          <w:bCs/>
          <w:sz w:val="26"/>
          <w:szCs w:val="26"/>
        </w:rPr>
      </w:pPr>
      <w:r>
        <w:rPr>
          <w:bCs/>
          <w:sz w:val="26"/>
          <w:szCs w:val="26"/>
        </w:rPr>
        <w:t>Vienlaikus izsakām šādus priekšlikumus.</w:t>
      </w:r>
    </w:p>
    <w:p w14:paraId="4DBDBD3A" w14:textId="77777777" w:rsidR="000E522E" w:rsidRDefault="00113639">
      <w:pPr>
        <w:ind w:firstLine="709"/>
        <w:rPr>
          <w:bCs/>
          <w:sz w:val="26"/>
          <w:szCs w:val="26"/>
        </w:rPr>
      </w:pPr>
      <w:bookmarkStart w:id="5" w:name="_Hlk77168435"/>
      <w:r>
        <w:rPr>
          <w:bCs/>
          <w:sz w:val="26"/>
          <w:szCs w:val="26"/>
        </w:rPr>
        <w:t xml:space="preserve">1. Projekta 1. punkta ievaddaļā skaitli un vārdu “1. punktu” piedāvājam aizstāt ar vārdu “noteikumus”, jo Ministru kabineta noteikumos apakšpunkts ir atsevišķa normatīvā akta vienība un tās atrašanās vietu arī grozījumu gadījumā normatīvajā aktā nosaka tās numerācija. </w:t>
      </w:r>
    </w:p>
    <w:bookmarkEnd w:id="5"/>
    <w:p w14:paraId="4DBDBD3B" w14:textId="77777777" w:rsidR="000E522E" w:rsidRDefault="00113639">
      <w:pPr>
        <w:ind w:firstLine="709"/>
        <w:rPr>
          <w:bCs/>
          <w:sz w:val="26"/>
          <w:szCs w:val="26"/>
        </w:rPr>
      </w:pPr>
      <w:r>
        <w:rPr>
          <w:bCs/>
          <w:sz w:val="26"/>
          <w:szCs w:val="26"/>
        </w:rPr>
        <w:lastRenderedPageBreak/>
        <w:t xml:space="preserve">2. Projekta 2. punkta ievaddaļā piedāvājam svītrot vārdu “noteikumus”. Vēršam uzmanību, ka projekta turpmākajā tekstā līdzīgu grozījumu gadījumā vārds “noteikumus” netiek izmantots. </w:t>
      </w:r>
    </w:p>
    <w:p w14:paraId="4DBDBD3C" w14:textId="77777777" w:rsidR="000E522E" w:rsidRDefault="00113639">
      <w:pPr>
        <w:ind w:firstLine="709"/>
        <w:rPr>
          <w:bCs/>
          <w:sz w:val="26"/>
          <w:szCs w:val="26"/>
        </w:rPr>
      </w:pPr>
      <w:r>
        <w:rPr>
          <w:bCs/>
          <w:sz w:val="26"/>
          <w:szCs w:val="26"/>
        </w:rPr>
        <w:t xml:space="preserve">3. Projekta 7. punktā paredzētajā noteikumu 25.4. apakšpunktā piedāvājam vārdus “datu failā” aizstāt ar latviešu valodā esošo apzīmējumu “datne”. Vienlaikus piedāvājam paredzēt grozījumu noteikumu 24. punktā, lai līdzīgi aizstātu neatbilstošos vārdus. </w:t>
      </w:r>
    </w:p>
    <w:p w14:paraId="4DBDBD3D" w14:textId="77777777" w:rsidR="000E522E" w:rsidRDefault="000E522E">
      <w:pPr>
        <w:ind w:firstLine="709"/>
        <w:rPr>
          <w:bCs/>
          <w:sz w:val="26"/>
          <w:szCs w:val="26"/>
        </w:rPr>
      </w:pPr>
    </w:p>
    <w:p w14:paraId="4DBDBD3E" w14:textId="77777777" w:rsidR="000E522E" w:rsidRDefault="000E522E">
      <w:pPr>
        <w:ind w:firstLine="709"/>
        <w:rPr>
          <w:bCs/>
          <w:sz w:val="26"/>
          <w:szCs w:val="26"/>
        </w:rPr>
      </w:pPr>
    </w:p>
    <w:p w14:paraId="4DBDBD3F" w14:textId="77777777" w:rsidR="000E522E" w:rsidRDefault="000E522E">
      <w:pPr>
        <w:widowControl/>
        <w:ind w:firstLine="720"/>
        <w:rPr>
          <w:rFonts w:eastAsia="Times New Roman"/>
          <w:sz w:val="26"/>
          <w:szCs w:val="26"/>
        </w:rPr>
      </w:pPr>
    </w:p>
    <w:p w14:paraId="4DBDBD40" w14:textId="77777777" w:rsidR="000E522E" w:rsidRDefault="00113639">
      <w:pPr>
        <w:widowControl/>
        <w:rPr>
          <w:rFonts w:eastAsia="Times New Roman"/>
          <w:sz w:val="26"/>
          <w:szCs w:val="26"/>
        </w:rPr>
      </w:pPr>
      <w:r>
        <w:rPr>
          <w:rFonts w:eastAsia="Times New Roman"/>
          <w:sz w:val="26"/>
          <w:szCs w:val="26"/>
        </w:rPr>
        <w:t>Valsts sekretāra vietniece</w:t>
      </w:r>
    </w:p>
    <w:p w14:paraId="4DBDBD41" w14:textId="77777777" w:rsidR="000E522E" w:rsidRDefault="00113639">
      <w:pPr>
        <w:widowControl/>
        <w:rPr>
          <w:rFonts w:eastAsia="Times New Roman"/>
          <w:sz w:val="26"/>
          <w:szCs w:val="26"/>
        </w:rPr>
      </w:pPr>
      <w:r>
        <w:rPr>
          <w:rFonts w:eastAsia="Times New Roman"/>
          <w:sz w:val="26"/>
          <w:szCs w:val="26"/>
        </w:rPr>
        <w:t>tiesību politikas jautājumos</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 xml:space="preserve">      Laila Medina</w:t>
      </w:r>
    </w:p>
    <w:p w14:paraId="4DBDBD42" w14:textId="77777777" w:rsidR="000E522E" w:rsidRDefault="000E522E">
      <w:pPr>
        <w:widowControl/>
        <w:rPr>
          <w:rFonts w:eastAsia="Times New Roman"/>
          <w:sz w:val="26"/>
          <w:szCs w:val="26"/>
        </w:rPr>
      </w:pPr>
    </w:p>
    <w:p w14:paraId="4DBDBD43" w14:textId="77777777" w:rsidR="000E522E" w:rsidRDefault="000E522E">
      <w:pPr>
        <w:widowControl/>
        <w:rPr>
          <w:rFonts w:eastAsia="Times New Roman"/>
          <w:sz w:val="26"/>
          <w:szCs w:val="26"/>
        </w:rPr>
      </w:pPr>
    </w:p>
    <w:p w14:paraId="4DBDBD44" w14:textId="77777777" w:rsidR="000E522E" w:rsidRDefault="000E522E">
      <w:pPr>
        <w:widowControl/>
        <w:rPr>
          <w:rFonts w:eastAsia="Times New Roman"/>
          <w:sz w:val="26"/>
          <w:szCs w:val="26"/>
        </w:rPr>
      </w:pPr>
    </w:p>
    <w:p w14:paraId="4DBDBD45" w14:textId="77777777" w:rsidR="000E522E" w:rsidRDefault="00113639">
      <w:pPr>
        <w:widowControl/>
        <w:jc w:val="left"/>
        <w:rPr>
          <w:rFonts w:eastAsia="Times New Roman"/>
          <w:sz w:val="20"/>
          <w:szCs w:val="20"/>
          <w:lang w:val="en-US"/>
        </w:rPr>
      </w:pPr>
      <w:bookmarkStart w:id="6" w:name="_Hlk45806315"/>
      <w:proofErr w:type="spellStart"/>
      <w:r>
        <w:rPr>
          <w:rFonts w:eastAsia="Times New Roman"/>
          <w:sz w:val="20"/>
          <w:szCs w:val="20"/>
          <w:lang w:val="en-US"/>
        </w:rPr>
        <w:t>U.Rudziks</w:t>
      </w:r>
      <w:proofErr w:type="spellEnd"/>
    </w:p>
    <w:p w14:paraId="4DBDBD46"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Valststiesību</w:t>
      </w:r>
      <w:proofErr w:type="spellEnd"/>
      <w:r>
        <w:rPr>
          <w:rFonts w:eastAsia="Times New Roman"/>
          <w:sz w:val="20"/>
          <w:szCs w:val="20"/>
          <w:lang w:val="en-US"/>
        </w:rPr>
        <w:t xml:space="preserve"> </w:t>
      </w:r>
      <w:proofErr w:type="spellStart"/>
      <w:r>
        <w:rPr>
          <w:rFonts w:eastAsia="Times New Roman"/>
          <w:sz w:val="20"/>
          <w:szCs w:val="20"/>
          <w:lang w:val="en-US"/>
        </w:rPr>
        <w:t>departamenta</w:t>
      </w:r>
      <w:proofErr w:type="spellEnd"/>
    </w:p>
    <w:p w14:paraId="4DBDBD47"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Administratīvo</w:t>
      </w:r>
      <w:proofErr w:type="spellEnd"/>
      <w:r>
        <w:rPr>
          <w:rFonts w:eastAsia="Times New Roman"/>
          <w:sz w:val="20"/>
          <w:szCs w:val="20"/>
          <w:lang w:val="en-US"/>
        </w:rPr>
        <w:t xml:space="preserve"> </w:t>
      </w:r>
      <w:proofErr w:type="spellStart"/>
      <w:r>
        <w:rPr>
          <w:rFonts w:eastAsia="Times New Roman"/>
          <w:sz w:val="20"/>
          <w:szCs w:val="20"/>
          <w:lang w:val="en-US"/>
        </w:rPr>
        <w:t>tiesību</w:t>
      </w:r>
      <w:proofErr w:type="spellEnd"/>
      <w:r>
        <w:rPr>
          <w:rFonts w:eastAsia="Times New Roman"/>
          <w:sz w:val="20"/>
          <w:szCs w:val="20"/>
          <w:lang w:val="en-US"/>
        </w:rPr>
        <w:t xml:space="preserve"> </w:t>
      </w:r>
      <w:proofErr w:type="spellStart"/>
      <w:r>
        <w:rPr>
          <w:rFonts w:eastAsia="Times New Roman"/>
          <w:sz w:val="20"/>
          <w:szCs w:val="20"/>
          <w:lang w:val="en-US"/>
        </w:rPr>
        <w:t>nodaļas</w:t>
      </w:r>
      <w:proofErr w:type="spellEnd"/>
      <w:r>
        <w:rPr>
          <w:rFonts w:eastAsia="Times New Roman"/>
          <w:sz w:val="20"/>
          <w:szCs w:val="20"/>
          <w:lang w:val="en-US"/>
        </w:rPr>
        <w:t xml:space="preserve"> jurists</w:t>
      </w:r>
    </w:p>
    <w:p w14:paraId="4DBDBD48" w14:textId="77777777" w:rsidR="000E522E" w:rsidRDefault="00113639">
      <w:pPr>
        <w:widowControl/>
        <w:jc w:val="left"/>
        <w:rPr>
          <w:sz w:val="20"/>
          <w:szCs w:val="20"/>
        </w:rPr>
      </w:pPr>
      <w:r>
        <w:rPr>
          <w:rFonts w:eastAsia="Times New Roman"/>
          <w:sz w:val="20"/>
          <w:szCs w:val="20"/>
          <w:lang w:val="en-US"/>
        </w:rPr>
        <w:t xml:space="preserve">67036902, </w:t>
      </w:r>
      <w:hyperlink r:id="rId8" w:history="1">
        <w:r>
          <w:rPr>
            <w:rFonts w:eastAsia="Times New Roman"/>
            <w:color w:val="0000FF"/>
            <w:sz w:val="20"/>
            <w:szCs w:val="20"/>
            <w:u w:val="single"/>
            <w:lang w:val="en-US"/>
          </w:rPr>
          <w:t>Uldis.R</w:t>
        </w:r>
        <w:bookmarkStart w:id="7" w:name="_Hlt95904132"/>
        <w:r>
          <w:rPr>
            <w:rFonts w:eastAsia="Times New Roman"/>
            <w:color w:val="0000FF"/>
            <w:sz w:val="20"/>
            <w:szCs w:val="20"/>
            <w:u w:val="single"/>
            <w:lang w:val="en-US"/>
          </w:rPr>
          <w:t>u</w:t>
        </w:r>
        <w:bookmarkEnd w:id="7"/>
        <w:r>
          <w:rPr>
            <w:rFonts w:eastAsia="Times New Roman"/>
            <w:color w:val="0000FF"/>
            <w:sz w:val="20"/>
            <w:szCs w:val="20"/>
            <w:u w:val="single"/>
            <w:lang w:val="en-US"/>
          </w:rPr>
          <w:t>dziks@tm.gov.lv</w:t>
        </w:r>
      </w:hyperlink>
      <w:bookmarkEnd w:id="0"/>
      <w:bookmarkEnd w:id="6"/>
    </w:p>
    <w:p w14:paraId="4DBDBD49" w14:textId="77777777" w:rsidR="000E522E" w:rsidRDefault="000E522E"/>
    <w:p w14:paraId="4DBDBD4A"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L.Krūze</w:t>
      </w:r>
      <w:proofErr w:type="spellEnd"/>
    </w:p>
    <w:p w14:paraId="4DBDBD4B"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Valsts</w:t>
      </w:r>
      <w:proofErr w:type="spellEnd"/>
      <w:r>
        <w:rPr>
          <w:rFonts w:eastAsia="Times New Roman"/>
          <w:sz w:val="20"/>
          <w:szCs w:val="20"/>
          <w:lang w:val="en-US"/>
        </w:rPr>
        <w:t xml:space="preserve"> </w:t>
      </w:r>
      <w:proofErr w:type="spellStart"/>
      <w:r>
        <w:rPr>
          <w:rFonts w:eastAsia="Times New Roman"/>
          <w:sz w:val="20"/>
          <w:szCs w:val="20"/>
          <w:lang w:val="en-US"/>
        </w:rPr>
        <w:t>zemes</w:t>
      </w:r>
      <w:proofErr w:type="spellEnd"/>
      <w:r>
        <w:rPr>
          <w:rFonts w:eastAsia="Times New Roman"/>
          <w:sz w:val="20"/>
          <w:szCs w:val="20"/>
          <w:lang w:val="en-US"/>
        </w:rPr>
        <w:t xml:space="preserve"> </w:t>
      </w:r>
      <w:proofErr w:type="spellStart"/>
      <w:r>
        <w:rPr>
          <w:rFonts w:eastAsia="Times New Roman"/>
          <w:sz w:val="20"/>
          <w:szCs w:val="20"/>
          <w:lang w:val="en-US"/>
        </w:rPr>
        <w:t>dienesta</w:t>
      </w:r>
      <w:proofErr w:type="spellEnd"/>
      <w:r>
        <w:rPr>
          <w:rFonts w:eastAsia="Times New Roman"/>
          <w:sz w:val="20"/>
          <w:szCs w:val="20"/>
          <w:lang w:val="en-US"/>
        </w:rPr>
        <w:t xml:space="preserve"> </w:t>
      </w:r>
    </w:p>
    <w:p w14:paraId="4DBDBD4C"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Juridiskā</w:t>
      </w:r>
      <w:proofErr w:type="spellEnd"/>
      <w:r>
        <w:rPr>
          <w:rFonts w:eastAsia="Times New Roman"/>
          <w:sz w:val="20"/>
          <w:szCs w:val="20"/>
          <w:lang w:val="en-US"/>
        </w:rPr>
        <w:t xml:space="preserve"> </w:t>
      </w:r>
      <w:proofErr w:type="spellStart"/>
      <w:r>
        <w:rPr>
          <w:rFonts w:eastAsia="Times New Roman"/>
          <w:sz w:val="20"/>
          <w:szCs w:val="20"/>
          <w:lang w:val="en-US"/>
        </w:rPr>
        <w:t>departamenta</w:t>
      </w:r>
      <w:proofErr w:type="spellEnd"/>
      <w:r>
        <w:rPr>
          <w:rFonts w:eastAsia="Times New Roman"/>
          <w:sz w:val="20"/>
          <w:szCs w:val="20"/>
          <w:lang w:val="en-US"/>
        </w:rPr>
        <w:t xml:space="preserve"> </w:t>
      </w:r>
      <w:proofErr w:type="spellStart"/>
      <w:r>
        <w:rPr>
          <w:rFonts w:eastAsia="Times New Roman"/>
          <w:sz w:val="20"/>
          <w:szCs w:val="20"/>
          <w:lang w:val="en-US"/>
        </w:rPr>
        <w:t>Tiesību</w:t>
      </w:r>
      <w:proofErr w:type="spellEnd"/>
      <w:r>
        <w:rPr>
          <w:rFonts w:eastAsia="Times New Roman"/>
          <w:sz w:val="20"/>
          <w:szCs w:val="20"/>
          <w:lang w:val="en-US"/>
        </w:rPr>
        <w:t xml:space="preserve"> </w:t>
      </w:r>
      <w:proofErr w:type="spellStart"/>
      <w:r>
        <w:rPr>
          <w:rFonts w:eastAsia="Times New Roman"/>
          <w:sz w:val="20"/>
          <w:szCs w:val="20"/>
          <w:lang w:val="en-US"/>
        </w:rPr>
        <w:t>aktu</w:t>
      </w:r>
      <w:proofErr w:type="spellEnd"/>
      <w:r>
        <w:rPr>
          <w:rFonts w:eastAsia="Times New Roman"/>
          <w:sz w:val="20"/>
          <w:szCs w:val="20"/>
          <w:lang w:val="en-US"/>
        </w:rPr>
        <w:t xml:space="preserve"> </w:t>
      </w:r>
      <w:proofErr w:type="spellStart"/>
      <w:r>
        <w:rPr>
          <w:rFonts w:eastAsia="Times New Roman"/>
          <w:sz w:val="20"/>
          <w:szCs w:val="20"/>
          <w:lang w:val="en-US"/>
        </w:rPr>
        <w:t>daļas</w:t>
      </w:r>
      <w:proofErr w:type="spellEnd"/>
      <w:r>
        <w:rPr>
          <w:rFonts w:eastAsia="Times New Roman"/>
          <w:sz w:val="20"/>
          <w:szCs w:val="20"/>
          <w:lang w:val="en-US"/>
        </w:rPr>
        <w:t xml:space="preserve"> </w:t>
      </w:r>
      <w:proofErr w:type="spellStart"/>
      <w:r>
        <w:rPr>
          <w:rFonts w:eastAsia="Times New Roman"/>
          <w:sz w:val="20"/>
          <w:szCs w:val="20"/>
          <w:lang w:val="en-US"/>
        </w:rPr>
        <w:t>juriste</w:t>
      </w:r>
      <w:proofErr w:type="spellEnd"/>
    </w:p>
    <w:p w14:paraId="4DBDBD4D" w14:textId="77777777" w:rsidR="000E522E" w:rsidRDefault="00113639">
      <w:pPr>
        <w:widowControl/>
        <w:jc w:val="left"/>
        <w:rPr>
          <w:sz w:val="20"/>
          <w:szCs w:val="20"/>
        </w:rPr>
      </w:pPr>
      <w:r>
        <w:rPr>
          <w:rFonts w:eastAsia="Times New Roman"/>
          <w:sz w:val="20"/>
          <w:szCs w:val="20"/>
          <w:lang w:val="en-US"/>
        </w:rPr>
        <w:t xml:space="preserve">67038695, </w:t>
      </w:r>
      <w:hyperlink r:id="rId9" w:history="1">
        <w:r>
          <w:rPr>
            <w:rStyle w:val="Hipersaite"/>
            <w:rFonts w:eastAsia="Times New Roman"/>
            <w:sz w:val="20"/>
            <w:szCs w:val="20"/>
            <w:lang w:val="en-US"/>
          </w:rPr>
          <w:t>Linda.Kruze@vzd.gov.lv</w:t>
        </w:r>
      </w:hyperlink>
    </w:p>
    <w:p w14:paraId="4DBDBD4E" w14:textId="77777777" w:rsidR="000E522E" w:rsidRDefault="000E522E"/>
    <w:p w14:paraId="4DBDBD4F"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E.Lujāne</w:t>
      </w:r>
      <w:proofErr w:type="spellEnd"/>
    </w:p>
    <w:p w14:paraId="4DBDBD50" w14:textId="77777777" w:rsidR="000E522E" w:rsidRDefault="00113639">
      <w:pPr>
        <w:widowControl/>
        <w:jc w:val="left"/>
        <w:rPr>
          <w:rFonts w:eastAsia="Times New Roman"/>
          <w:sz w:val="20"/>
          <w:szCs w:val="20"/>
          <w:lang w:val="en-US"/>
        </w:rPr>
      </w:pPr>
      <w:proofErr w:type="spellStart"/>
      <w:r>
        <w:rPr>
          <w:rFonts w:eastAsia="Times New Roman"/>
          <w:sz w:val="20"/>
          <w:szCs w:val="20"/>
          <w:lang w:val="en-US"/>
        </w:rPr>
        <w:t>Valsts</w:t>
      </w:r>
      <w:proofErr w:type="spellEnd"/>
      <w:r>
        <w:rPr>
          <w:rFonts w:eastAsia="Times New Roman"/>
          <w:sz w:val="20"/>
          <w:szCs w:val="20"/>
          <w:lang w:val="en-US"/>
        </w:rPr>
        <w:t xml:space="preserve"> </w:t>
      </w:r>
      <w:proofErr w:type="spellStart"/>
      <w:r>
        <w:rPr>
          <w:rFonts w:eastAsia="Times New Roman"/>
          <w:sz w:val="20"/>
          <w:szCs w:val="20"/>
          <w:lang w:val="en-US"/>
        </w:rPr>
        <w:t>zemes</w:t>
      </w:r>
      <w:proofErr w:type="spellEnd"/>
      <w:r>
        <w:rPr>
          <w:rFonts w:eastAsia="Times New Roman"/>
          <w:sz w:val="20"/>
          <w:szCs w:val="20"/>
          <w:lang w:val="en-US"/>
        </w:rPr>
        <w:t xml:space="preserve"> </w:t>
      </w:r>
      <w:proofErr w:type="spellStart"/>
      <w:r>
        <w:rPr>
          <w:rFonts w:eastAsia="Times New Roman"/>
          <w:sz w:val="20"/>
          <w:szCs w:val="20"/>
          <w:lang w:val="en-US"/>
        </w:rPr>
        <w:t>dienesta</w:t>
      </w:r>
      <w:proofErr w:type="spellEnd"/>
      <w:r>
        <w:rPr>
          <w:rFonts w:eastAsia="Times New Roman"/>
          <w:sz w:val="20"/>
          <w:szCs w:val="20"/>
          <w:lang w:val="en-US"/>
        </w:rPr>
        <w:t xml:space="preserve"> </w:t>
      </w:r>
    </w:p>
    <w:p w14:paraId="4DBDBD51" w14:textId="77777777" w:rsidR="000E522E" w:rsidRDefault="00113639">
      <w:pPr>
        <w:widowControl/>
        <w:jc w:val="left"/>
        <w:rPr>
          <w:rFonts w:eastAsia="Times New Roman"/>
          <w:sz w:val="20"/>
          <w:szCs w:val="20"/>
          <w:lang w:val="en-US"/>
        </w:rPr>
      </w:pPr>
      <w:r>
        <w:rPr>
          <w:rFonts w:eastAsia="Times New Roman"/>
          <w:sz w:val="20"/>
          <w:szCs w:val="20"/>
          <w:lang w:val="en-US"/>
        </w:rPr>
        <w:t xml:space="preserve">Kadastra </w:t>
      </w:r>
      <w:proofErr w:type="spellStart"/>
      <w:r>
        <w:rPr>
          <w:rFonts w:eastAsia="Times New Roman"/>
          <w:sz w:val="20"/>
          <w:szCs w:val="20"/>
          <w:lang w:val="en-US"/>
        </w:rPr>
        <w:t>departamenta</w:t>
      </w:r>
      <w:proofErr w:type="spellEnd"/>
      <w:r>
        <w:rPr>
          <w:rFonts w:eastAsia="Times New Roman"/>
          <w:sz w:val="20"/>
          <w:szCs w:val="20"/>
          <w:lang w:val="en-US"/>
        </w:rPr>
        <w:t xml:space="preserve"> Kadastra </w:t>
      </w:r>
      <w:proofErr w:type="spellStart"/>
      <w:r>
        <w:rPr>
          <w:rFonts w:eastAsia="Times New Roman"/>
          <w:sz w:val="20"/>
          <w:szCs w:val="20"/>
          <w:lang w:val="en-US"/>
        </w:rPr>
        <w:t>metodikas</w:t>
      </w:r>
      <w:proofErr w:type="spellEnd"/>
      <w:r>
        <w:rPr>
          <w:rFonts w:eastAsia="Times New Roman"/>
          <w:sz w:val="20"/>
          <w:szCs w:val="20"/>
          <w:lang w:val="en-US"/>
        </w:rPr>
        <w:t xml:space="preserve"> </w:t>
      </w:r>
      <w:proofErr w:type="spellStart"/>
      <w:r>
        <w:rPr>
          <w:rFonts w:eastAsia="Times New Roman"/>
          <w:sz w:val="20"/>
          <w:szCs w:val="20"/>
          <w:lang w:val="en-US"/>
        </w:rPr>
        <w:t>daļas</w:t>
      </w:r>
      <w:proofErr w:type="spellEnd"/>
      <w:r>
        <w:rPr>
          <w:rFonts w:eastAsia="Times New Roman"/>
          <w:sz w:val="20"/>
          <w:szCs w:val="20"/>
          <w:lang w:val="en-US"/>
        </w:rPr>
        <w:t xml:space="preserve"> </w:t>
      </w:r>
      <w:proofErr w:type="spellStart"/>
      <w:r>
        <w:rPr>
          <w:rFonts w:eastAsia="Times New Roman"/>
          <w:sz w:val="20"/>
          <w:szCs w:val="20"/>
          <w:lang w:val="en-US"/>
        </w:rPr>
        <w:t>vadītāja</w:t>
      </w:r>
      <w:proofErr w:type="spellEnd"/>
    </w:p>
    <w:p w14:paraId="4DBDBD52" w14:textId="77777777" w:rsidR="000E522E" w:rsidRDefault="00113639">
      <w:pPr>
        <w:widowControl/>
        <w:jc w:val="left"/>
        <w:rPr>
          <w:sz w:val="20"/>
          <w:szCs w:val="20"/>
        </w:rPr>
      </w:pPr>
      <w:r>
        <w:rPr>
          <w:rFonts w:eastAsia="Times New Roman"/>
          <w:sz w:val="20"/>
          <w:szCs w:val="20"/>
          <w:lang w:val="en-US"/>
        </w:rPr>
        <w:t xml:space="preserve">67210142, </w:t>
      </w:r>
      <w:hyperlink r:id="rId10" w:history="1">
        <w:r>
          <w:rPr>
            <w:rStyle w:val="Hipersaite"/>
            <w:rFonts w:eastAsia="Times New Roman"/>
            <w:sz w:val="20"/>
            <w:szCs w:val="20"/>
            <w:lang w:val="en-US"/>
          </w:rPr>
          <w:t>Evita.Lujane@vzd.gov.lv</w:t>
        </w:r>
      </w:hyperlink>
    </w:p>
    <w:p w14:paraId="4DBDBD53" w14:textId="77777777" w:rsidR="000E522E" w:rsidRDefault="000E522E"/>
    <w:p w14:paraId="4DBDBD54" w14:textId="77777777" w:rsidR="000E522E" w:rsidRDefault="000E522E"/>
    <w:sectPr w:rsidR="000E522E">
      <w:headerReference w:type="default" r:id="rId11"/>
      <w:footerReference w:type="default" r:id="rId12"/>
      <w:headerReference w:type="first" r:id="rId13"/>
      <w:footerReference w:type="first" r:id="rId14"/>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71A58" w14:textId="77777777" w:rsidR="003B2077" w:rsidRDefault="003B2077">
      <w:r>
        <w:separator/>
      </w:r>
    </w:p>
  </w:endnote>
  <w:endnote w:type="continuationSeparator" w:id="0">
    <w:p w14:paraId="32031D57" w14:textId="77777777" w:rsidR="003B2077" w:rsidRDefault="003B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DBD57" w14:textId="77777777" w:rsidR="000E522E" w:rsidRDefault="00113639">
    <w:pPr>
      <w:tabs>
        <w:tab w:val="center" w:pos="4320"/>
        <w:tab w:val="right" w:pos="8640"/>
      </w:tabs>
      <w:rPr>
        <w:sz w:val="20"/>
        <w:szCs w:val="20"/>
      </w:rPr>
    </w:pPr>
    <w:r>
      <w:rPr>
        <w:sz w:val="20"/>
        <w:szCs w:val="20"/>
      </w:rPr>
      <w:t>TMatz_010721_ZM_VSS-620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DBD6A" w14:textId="77777777" w:rsidR="000E522E" w:rsidRDefault="00113639">
    <w:pPr>
      <w:tabs>
        <w:tab w:val="center" w:pos="4320"/>
        <w:tab w:val="right" w:pos="8640"/>
      </w:tabs>
      <w:rPr>
        <w:sz w:val="20"/>
        <w:szCs w:val="20"/>
      </w:rPr>
    </w:pPr>
    <w:r>
      <w:rPr>
        <w:sz w:val="20"/>
        <w:szCs w:val="20"/>
      </w:rPr>
      <w:t>TMatz_010721_ZM_VSS-620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3EB36" w14:textId="77777777" w:rsidR="003B2077" w:rsidRDefault="003B2077">
      <w:r>
        <w:separator/>
      </w:r>
    </w:p>
  </w:footnote>
  <w:footnote w:type="continuationSeparator" w:id="0">
    <w:p w14:paraId="08A1A756" w14:textId="77777777" w:rsidR="003B2077" w:rsidRDefault="003B2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847357"/>
      <w:docPartObj>
        <w:docPartGallery w:val="AutoText"/>
      </w:docPartObj>
    </w:sdtPr>
    <w:sdtEndPr/>
    <w:sdtContent>
      <w:p w14:paraId="4DBDBD55" w14:textId="77777777" w:rsidR="000E522E" w:rsidRDefault="00113639">
        <w:pPr>
          <w:pStyle w:val="Galvene"/>
          <w:jc w:val="center"/>
        </w:pPr>
        <w:r>
          <w:fldChar w:fldCharType="begin"/>
        </w:r>
        <w:r>
          <w:instrText>PAGE   \* MERGEFORMAT</w:instrText>
        </w:r>
        <w:r>
          <w:fldChar w:fldCharType="separate"/>
        </w:r>
        <w:r w:rsidR="00046D5F">
          <w:rPr>
            <w:noProof/>
          </w:rPr>
          <w:t>2</w:t>
        </w:r>
        <w:r>
          <w:fldChar w:fldCharType="end"/>
        </w:r>
      </w:p>
    </w:sdtContent>
  </w:sdt>
  <w:p w14:paraId="4DBDBD56" w14:textId="77777777" w:rsidR="000E522E" w:rsidRDefault="000E522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DBD58" w14:textId="77777777" w:rsidR="000E522E" w:rsidRDefault="000E522E">
    <w:pPr>
      <w:pStyle w:val="Galvene"/>
    </w:pPr>
  </w:p>
  <w:p w14:paraId="4DBDBD59" w14:textId="77777777" w:rsidR="000E522E" w:rsidRDefault="00113639">
    <w:pPr>
      <w:pStyle w:val="Galvene"/>
    </w:pPr>
    <w:r>
      <w:rPr>
        <w:noProof/>
        <w:lang w:eastAsia="lv-LV"/>
      </w:rPr>
      <w:drawing>
        <wp:anchor distT="0" distB="0" distL="114300" distR="114300" simplePos="0" relativeHeight="251661312" behindDoc="1" locked="0" layoutInCell="1" allowOverlap="1" wp14:anchorId="4DBDBD6B" wp14:editId="4DBDBD6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4DBDBD5A" w14:textId="77777777" w:rsidR="000E522E" w:rsidRDefault="000E522E">
    <w:pPr>
      <w:pStyle w:val="Galvene"/>
    </w:pPr>
  </w:p>
  <w:p w14:paraId="4DBDBD5B" w14:textId="77777777" w:rsidR="000E522E" w:rsidRDefault="000E522E">
    <w:pPr>
      <w:pStyle w:val="Galvene"/>
    </w:pPr>
  </w:p>
  <w:p w14:paraId="4DBDBD5C" w14:textId="77777777" w:rsidR="000E522E" w:rsidRDefault="000E522E">
    <w:pPr>
      <w:pStyle w:val="Galvene"/>
    </w:pPr>
  </w:p>
  <w:p w14:paraId="4DBDBD5D" w14:textId="77777777" w:rsidR="000E522E" w:rsidRDefault="000E522E">
    <w:pPr>
      <w:pStyle w:val="Galvene"/>
    </w:pPr>
  </w:p>
  <w:p w14:paraId="4DBDBD5E" w14:textId="77777777" w:rsidR="000E522E" w:rsidRDefault="000E522E">
    <w:pPr>
      <w:pStyle w:val="Galvene"/>
    </w:pPr>
  </w:p>
  <w:p w14:paraId="4DBDBD5F" w14:textId="77777777" w:rsidR="000E522E" w:rsidRDefault="000E522E">
    <w:pPr>
      <w:pStyle w:val="Galvene"/>
    </w:pPr>
  </w:p>
  <w:p w14:paraId="4DBDBD60" w14:textId="77777777" w:rsidR="000E522E" w:rsidRDefault="000E522E">
    <w:pPr>
      <w:pStyle w:val="Galvene"/>
    </w:pPr>
  </w:p>
  <w:p w14:paraId="4DBDBD61" w14:textId="77777777" w:rsidR="000E522E" w:rsidRDefault="000E522E">
    <w:pPr>
      <w:pStyle w:val="Galvene"/>
    </w:pPr>
  </w:p>
  <w:p w14:paraId="4DBDBD62" w14:textId="77777777" w:rsidR="000E522E" w:rsidRDefault="00113639">
    <w:pPr>
      <w:pStyle w:val="Galvene"/>
    </w:pPr>
    <w:r>
      <w:rPr>
        <w:noProof/>
        <w:lang w:eastAsia="lv-LV"/>
      </w:rPr>
      <mc:AlternateContent>
        <mc:Choice Requires="wps">
          <w:drawing>
            <wp:anchor distT="0" distB="0" distL="114300" distR="114300" simplePos="0" relativeHeight="251660288" behindDoc="1" locked="0" layoutInCell="1" allowOverlap="1" wp14:anchorId="4DBDBD6D" wp14:editId="4DBDBD6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4DBDBD71" w14:textId="77777777" w:rsidR="000E522E" w:rsidRDefault="00113639">
                          <w:pPr>
                            <w:spacing w:line="194" w:lineRule="exact"/>
                            <w:ind w:left="20" w:right="-45"/>
                            <w:jc w:val="center"/>
                            <w:rPr>
                              <w:rFonts w:eastAsia="Times New Roman"/>
                              <w:sz w:val="17"/>
                              <w:szCs w:val="17"/>
                            </w:rPr>
                          </w:pPr>
                          <w:r>
                            <w:rPr>
                              <w:rFonts w:eastAsia="Times New Roman"/>
                              <w:sz w:val="17"/>
                              <w:szCs w:val="17"/>
                            </w:rPr>
                            <w:t xml:space="preserve">Brīvības bulvāris 36, Rīga, LV-1536; tālr.: 67036801, 67036716, 67036721; fakss: 67210823, 67285575; </w:t>
                          </w:r>
                        </w:p>
                        <w:p w14:paraId="4DBDBD72" w14:textId="77777777" w:rsidR="000E522E" w:rsidRDefault="00113639">
                          <w:pPr>
                            <w:spacing w:line="194" w:lineRule="exact"/>
                            <w:ind w:left="20" w:right="-45"/>
                            <w:jc w:val="center"/>
                            <w:rPr>
                              <w:rFonts w:eastAsia="Times New Roman"/>
                              <w:sz w:val="17"/>
                              <w:szCs w:val="17"/>
                            </w:rPr>
                          </w:pPr>
                          <w:r>
                            <w:rPr>
                              <w:rFonts w:eastAsia="Times New Roman"/>
                              <w:sz w:val="17"/>
                              <w:szCs w:val="17"/>
                            </w:rPr>
                            <w:t>e-pasts: pasts@tm.gov.lv; www.tm.gov.lv</w:t>
                          </w:r>
                        </w:p>
                      </w:txbxContent>
                    </wps:txbx>
                    <wps:bodyPr rot="0" vert="horz" wrap="square" lIns="0" tIns="0" rIns="0" bIns="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sCustomData="http://www.wps.cn/officeDocument/2013/wpsCustomData" xmlns:a14="http://schemas.microsoft.com/office/drawing/2010/main" xmlns:pic="http://schemas.openxmlformats.org/drawingml/2006/picture" xmlns:a="http://schemas.openxmlformats.org/drawingml/2006/main">
          <w:pict>
            <v:shapetype id="_x0000_t202" coordsize="21600,21600" o:spt="202" path="m,l,21600r21600,l21600,xe" w14:anchorId="4DBDBD6D">
              <v:stroke joinstyle="miter"/>
              <v:path gradientshapeok="t" o:connecttype="rect"/>
            </v:shapetype>
            <v:shape id="Text Box 43" style="position:absolute;left:0;text-align:left;margin-left:92.25pt;margin-top:159.9pt;width:459.75pt;height:24.75pt;z-index:-251656192;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000E522E" w:rsidRDefault="00113639" w14:paraId="4DBDBD71" w14:textId="77777777">
                    <w:pPr>
                      <w:spacing w:line="194" w:lineRule="exact"/>
                      <w:ind w:left="20" w:right="-45"/>
                      <w:jc w:val="center"/>
                      <w:rPr>
                        <w:rFonts w:eastAsia="Times New Roman"/>
                        <w:sz w:val="17"/>
                        <w:szCs w:val="17"/>
                      </w:rPr>
                    </w:pPr>
                    <w:r>
                      <w:rPr>
                        <w:rFonts w:eastAsia="Times New Roman"/>
                        <w:sz w:val="17"/>
                        <w:szCs w:val="17"/>
                      </w:rPr>
                      <w:t xml:space="preserve">Brīvības bulvāris 36, Rīga, LV-1536; tālr.: 67036801, 67036716, 67036721; fakss: 67210823, 67285575; </w:t>
                    </w:r>
                  </w:p>
                  <w:p w:rsidR="000E522E" w:rsidRDefault="00113639" w14:paraId="4DBDBD72" w14:textId="77777777">
                    <w:pPr>
                      <w:spacing w:line="194" w:lineRule="exact"/>
                      <w:ind w:left="20" w:right="-45"/>
                      <w:jc w:val="center"/>
                      <w:rPr>
                        <w:rFonts w:eastAsia="Times New Roman"/>
                        <w:sz w:val="17"/>
                        <w:szCs w:val="17"/>
                      </w:rPr>
                    </w:pPr>
                    <w:r>
                      <w:rPr>
                        <w:rFonts w:eastAsia="Times New Roman"/>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DBDBD6F" wp14:editId="4DBDBD7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left:0pt;margin-left:145.7pt;margin-top:149.85pt;height:0.1pt;width:346.25pt;mso-position-horizontal-relative:page;mso-position-vertical-relative:page;z-index:-251657216;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14:paraId="4DBDBD63" w14:textId="77777777" w:rsidR="000E522E" w:rsidRDefault="00113639">
    <w:pPr>
      <w:jc w:val="center"/>
      <w:rPr>
        <w:szCs w:val="24"/>
      </w:rPr>
    </w:pPr>
    <w:r>
      <w:rPr>
        <w:szCs w:val="24"/>
      </w:rPr>
      <w:t>Rīgā</w:t>
    </w:r>
  </w:p>
  <w:p w14:paraId="4DBDBD64" w14:textId="77777777" w:rsidR="000E522E" w:rsidRDefault="000E522E">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0E522E" w14:paraId="4DBDBD68" w14:textId="77777777">
      <w:tc>
        <w:tcPr>
          <w:tcW w:w="1810" w:type="dxa"/>
        </w:tcPr>
        <w:p w14:paraId="4DBDBD65" w14:textId="77777777" w:rsidR="000E522E" w:rsidRDefault="000E522E">
          <w:pPr>
            <w:pStyle w:val="Galvene"/>
            <w:jc w:val="center"/>
            <w:rPr>
              <w:szCs w:val="24"/>
              <w:lang w:eastAsia="lv-LV"/>
            </w:rPr>
          </w:pPr>
          <w:r>
            <w:t>15.07.2021</w:t>
          </w:r>
        </w:p>
      </w:tc>
      <w:tc>
        <w:tcPr>
          <w:tcW w:w="420" w:type="dxa"/>
          <w:tcBorders>
            <w:bottom w:val="nil"/>
          </w:tcBorders>
        </w:tcPr>
        <w:p w14:paraId="4DBDBD66" w14:textId="77777777" w:rsidR="000E522E" w:rsidRDefault="00113639">
          <w:pPr>
            <w:pStyle w:val="Galvene"/>
            <w:rPr>
              <w:szCs w:val="24"/>
              <w:lang w:eastAsia="lv-LV"/>
            </w:rPr>
          </w:pPr>
          <w:r>
            <w:rPr>
              <w:szCs w:val="24"/>
              <w:lang w:eastAsia="lv-LV"/>
            </w:rPr>
            <w:t xml:space="preserve"> Nr.</w:t>
          </w:r>
        </w:p>
      </w:tc>
      <w:tc>
        <w:tcPr>
          <w:tcW w:w="1890" w:type="dxa"/>
        </w:tcPr>
        <w:p w14:paraId="4DBDBD67" w14:textId="77777777" w:rsidR="000E522E" w:rsidRDefault="000E522E">
          <w:pPr>
            <w:pStyle w:val="Galvene"/>
            <w:jc w:val="center"/>
            <w:rPr>
              <w:szCs w:val="24"/>
              <w:lang w:eastAsia="lv-LV"/>
            </w:rPr>
          </w:pPr>
          <w:r>
            <w:t>1-9.1/799</w:t>
          </w:r>
        </w:p>
      </w:tc>
    </w:tr>
  </w:tbl>
  <w:p w14:paraId="4DBDBD69" w14:textId="77777777" w:rsidR="000E522E" w:rsidRDefault="000E522E">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29"/>
    <w:rsid w:val="00020D8A"/>
    <w:rsid w:val="00046D5F"/>
    <w:rsid w:val="000A44DB"/>
    <w:rsid w:val="000B53FD"/>
    <w:rsid w:val="000E0F4B"/>
    <w:rsid w:val="000E522E"/>
    <w:rsid w:val="00113639"/>
    <w:rsid w:val="00191856"/>
    <w:rsid w:val="001C5E94"/>
    <w:rsid w:val="001E2AA5"/>
    <w:rsid w:val="002D4D15"/>
    <w:rsid w:val="00325AF7"/>
    <w:rsid w:val="003B2077"/>
    <w:rsid w:val="003E6505"/>
    <w:rsid w:val="004A2D59"/>
    <w:rsid w:val="004E6D66"/>
    <w:rsid w:val="005169EF"/>
    <w:rsid w:val="00554529"/>
    <w:rsid w:val="00575D9E"/>
    <w:rsid w:val="005E384B"/>
    <w:rsid w:val="00620EC4"/>
    <w:rsid w:val="00722AAE"/>
    <w:rsid w:val="009471CA"/>
    <w:rsid w:val="0098115F"/>
    <w:rsid w:val="009C71E4"/>
    <w:rsid w:val="00A22D84"/>
    <w:rsid w:val="00A82BC4"/>
    <w:rsid w:val="00A839D4"/>
    <w:rsid w:val="00C77819"/>
    <w:rsid w:val="00D16046"/>
    <w:rsid w:val="00D24019"/>
    <w:rsid w:val="00D66207"/>
    <w:rsid w:val="00D77CD8"/>
    <w:rsid w:val="00D97604"/>
    <w:rsid w:val="00F05DFC"/>
    <w:rsid w:val="7956496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widowControl w:val="0"/>
      <w:jc w:val="both"/>
    </w:pPr>
    <w:rPr>
      <w:rFonts w:ascii="Times New Roman" w:eastAsia="Calibri" w:hAnsi="Times New Roman" w:cs="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pPr>
      <w:tabs>
        <w:tab w:val="center" w:pos="4513"/>
        <w:tab w:val="right" w:pos="9026"/>
      </w:tabs>
    </w:pPr>
  </w:style>
  <w:style w:type="paragraph" w:styleId="Galvene">
    <w:name w:val="header"/>
    <w:basedOn w:val="Parasts"/>
    <w:link w:val="GalveneRakstz"/>
    <w:unhideWhenUsed/>
    <w:pPr>
      <w:tabs>
        <w:tab w:val="center" w:pos="4320"/>
        <w:tab w:val="right" w:pos="8640"/>
      </w:tabs>
    </w:pPr>
  </w:style>
  <w:style w:type="character" w:styleId="Hipersaite">
    <w:name w:val="Hyperlink"/>
    <w:basedOn w:val="Noklusjumarindkopasfonts"/>
    <w:uiPriority w:val="99"/>
    <w:unhideWhenUsed/>
    <w:rPr>
      <w:color w:val="0563C1" w:themeColor="hyperlink"/>
      <w:u w:val="single"/>
    </w:rPr>
  </w:style>
  <w:style w:type="table" w:styleId="Reatabula">
    <w:name w:val="Table Grid"/>
    <w:basedOn w:val="Parastatabul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basedOn w:val="Noklusjumarindkopasfonts"/>
    <w:link w:val="Galvene"/>
    <w:qFormat/>
    <w:rPr>
      <w:rFonts w:ascii="Times New Roman" w:eastAsia="Calibri" w:hAnsi="Times New Roman" w:cs="Times New Roman"/>
      <w:sz w:val="24"/>
    </w:rPr>
  </w:style>
  <w:style w:type="paragraph" w:styleId="Bezatstarpm">
    <w:name w:val="No Spacing"/>
    <w:basedOn w:val="Parasts"/>
    <w:next w:val="Parasts"/>
    <w:uiPriority w:val="1"/>
    <w:qFormat/>
  </w:style>
  <w:style w:type="character" w:customStyle="1" w:styleId="Neatrisintapieminana1">
    <w:name w:val="Neatrisināta pieminēšana1"/>
    <w:basedOn w:val="Noklusjumarindkopasfonts"/>
    <w:uiPriority w:val="99"/>
    <w:semiHidden/>
    <w:unhideWhenUsed/>
    <w:rPr>
      <w:color w:val="605E5C"/>
      <w:shd w:val="clear" w:color="auto" w:fill="E1DFDD"/>
    </w:rPr>
  </w:style>
  <w:style w:type="character" w:customStyle="1" w:styleId="KjeneRakstz">
    <w:name w:val="Kājene Rakstz."/>
    <w:basedOn w:val="Noklusjumarindkopasfonts"/>
    <w:link w:val="Kjene"/>
    <w:uiPriority w:val="99"/>
    <w:rPr>
      <w:rFonts w:ascii="Times New Roman" w:eastAsia="Calibri" w:hAnsi="Times New Roman" w:cs="Times New Roman"/>
      <w:sz w:val="24"/>
    </w:rPr>
  </w:style>
  <w:style w:type="paragraph" w:styleId="Sarakstarindkopa">
    <w:name w:val="List Paragraph"/>
    <w:basedOn w:val="Parasts"/>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widowControl w:val="0"/>
      <w:jc w:val="both"/>
    </w:pPr>
    <w:rPr>
      <w:rFonts w:ascii="Times New Roman" w:eastAsia="Calibri" w:hAnsi="Times New Roman" w:cs="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pPr>
      <w:tabs>
        <w:tab w:val="center" w:pos="4513"/>
        <w:tab w:val="right" w:pos="9026"/>
      </w:tabs>
    </w:pPr>
  </w:style>
  <w:style w:type="paragraph" w:styleId="Galvene">
    <w:name w:val="header"/>
    <w:basedOn w:val="Parasts"/>
    <w:link w:val="GalveneRakstz"/>
    <w:unhideWhenUsed/>
    <w:pPr>
      <w:tabs>
        <w:tab w:val="center" w:pos="4320"/>
        <w:tab w:val="right" w:pos="8640"/>
      </w:tabs>
    </w:pPr>
  </w:style>
  <w:style w:type="character" w:styleId="Hipersaite">
    <w:name w:val="Hyperlink"/>
    <w:basedOn w:val="Noklusjumarindkopasfonts"/>
    <w:uiPriority w:val="99"/>
    <w:unhideWhenUsed/>
    <w:rPr>
      <w:color w:val="0563C1" w:themeColor="hyperlink"/>
      <w:u w:val="single"/>
    </w:rPr>
  </w:style>
  <w:style w:type="table" w:styleId="Reatabula">
    <w:name w:val="Table Grid"/>
    <w:basedOn w:val="Parastatabul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basedOn w:val="Noklusjumarindkopasfonts"/>
    <w:link w:val="Galvene"/>
    <w:qFormat/>
    <w:rPr>
      <w:rFonts w:ascii="Times New Roman" w:eastAsia="Calibri" w:hAnsi="Times New Roman" w:cs="Times New Roman"/>
      <w:sz w:val="24"/>
    </w:rPr>
  </w:style>
  <w:style w:type="paragraph" w:styleId="Bezatstarpm">
    <w:name w:val="No Spacing"/>
    <w:basedOn w:val="Parasts"/>
    <w:next w:val="Parasts"/>
    <w:uiPriority w:val="1"/>
    <w:qFormat/>
  </w:style>
  <w:style w:type="character" w:customStyle="1" w:styleId="Neatrisintapieminana1">
    <w:name w:val="Neatrisināta pieminēšana1"/>
    <w:basedOn w:val="Noklusjumarindkopasfonts"/>
    <w:uiPriority w:val="99"/>
    <w:semiHidden/>
    <w:unhideWhenUsed/>
    <w:rPr>
      <w:color w:val="605E5C"/>
      <w:shd w:val="clear" w:color="auto" w:fill="E1DFDD"/>
    </w:rPr>
  </w:style>
  <w:style w:type="character" w:customStyle="1" w:styleId="KjeneRakstz">
    <w:name w:val="Kājene Rakstz."/>
    <w:basedOn w:val="Noklusjumarindkopasfonts"/>
    <w:link w:val="Kjene"/>
    <w:uiPriority w:val="99"/>
    <w:rPr>
      <w:rFonts w:ascii="Times New Roman" w:eastAsia="Calibri" w:hAnsi="Times New Roman" w:cs="Times New Roman"/>
      <w:sz w:val="24"/>
    </w:rPr>
  </w:style>
  <w:style w:type="paragraph" w:styleId="Sarakstarindkopa">
    <w:name w:val="List Paragraph"/>
    <w:basedOn w:val="Parast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Rudziks@tm.gov.lv"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ita.Lujane@vzd.gov.lv" TargetMode="External"/><Relationship Id="rId4" Type="http://schemas.openxmlformats.org/officeDocument/2006/relationships/settings" Target="settings.xml"/><Relationship Id="rId9" Type="http://schemas.openxmlformats.org/officeDocument/2006/relationships/hyperlink" Target="mailto:Linda.Kruze@vzd.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4421</Words>
  <Characters>2521</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Rudziks</dc:creator>
  <cp:lastModifiedBy>Lelda Pamovska</cp:lastModifiedBy>
  <cp:revision>2</cp:revision>
  <dcterms:created xsi:type="dcterms:W3CDTF">2021-07-26T13:35:00Z</dcterms:created>
  <dcterms:modified xsi:type="dcterms:W3CDTF">2021-07-26T13:35:00Z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ies>
</file>