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1"/>
        <w:gridCol w:w="4004"/>
      </w:tblGrid>
      <w:tr w:rsidR="003C6AB7" w14:paraId="5B4B61D8" w14:textId="77777777" w:rsidTr="00CF1CEA">
        <w:trPr>
          <w:trHeight w:val="851"/>
        </w:trPr>
        <w:tc>
          <w:tcPr>
            <w:tcW w:w="5637" w:type="dxa"/>
            <w:hideMark/>
          </w:tcPr>
          <w:p w14:paraId="5B9F25DD" w14:textId="77777777" w:rsidR="00064AA3" w:rsidRDefault="009E7C21" w:rsidP="00CF1CEA">
            <w:pPr>
              <w:pStyle w:val="BodyB"/>
              <w:tabs>
                <w:tab w:val="left" w:pos="6237"/>
              </w:tabs>
              <w:ind w:left="-100"/>
              <w:rPr>
                <w:rFonts w:cs="Times New Roman"/>
              </w:rPr>
            </w:pPr>
            <w:r>
              <w:rPr>
                <w:rFonts w:cs="Times New Roman"/>
              </w:rPr>
              <w:t>Rīgā</w:t>
            </w:r>
          </w:p>
          <w:p w14:paraId="037C6827" w14:textId="77777777" w:rsidR="00064AA3" w:rsidRDefault="009E7C21" w:rsidP="00CF1CEA">
            <w:pPr>
              <w:pStyle w:val="BodyB"/>
              <w:tabs>
                <w:tab w:val="left" w:pos="6237"/>
              </w:tabs>
              <w:ind w:left="-100"/>
              <w:rPr>
                <w:rFonts w:cs="Times New Roman"/>
              </w:rPr>
            </w:pPr>
            <w:r>
              <w:rPr>
                <w:rFonts w:cs="Times New Roman"/>
                <w:noProof/>
              </w:rPr>
              <w:t>Datums skatāms laika zīmogā</w:t>
            </w:r>
            <w:r>
              <w:rPr>
                <w:rFonts w:cs="Times New Roman"/>
              </w:rPr>
              <w:t xml:space="preserve"> Nr.</w:t>
            </w:r>
            <w:r>
              <w:rPr>
                <w:rFonts w:cs="Times New Roman"/>
                <w:noProof/>
              </w:rPr>
              <w:t>4-7-1/735</w:t>
            </w:r>
          </w:p>
          <w:p w14:paraId="56B463FA" w14:textId="77777777" w:rsidR="00064AA3" w:rsidRDefault="00064AA3" w:rsidP="00CF1CEA">
            <w:pPr>
              <w:pStyle w:val="BodyB"/>
              <w:tabs>
                <w:tab w:val="left" w:pos="6237"/>
              </w:tabs>
              <w:ind w:left="-100"/>
              <w:rPr>
                <w:rFonts w:cs="Times New Roman"/>
              </w:rPr>
            </w:pPr>
          </w:p>
        </w:tc>
        <w:tc>
          <w:tcPr>
            <w:tcW w:w="4002" w:type="dxa"/>
          </w:tcPr>
          <w:p w14:paraId="616C566B" w14:textId="77777777" w:rsidR="00064AA3" w:rsidRDefault="00064AA3" w:rsidP="00CF1CEA">
            <w:pPr>
              <w:pStyle w:val="BodyB"/>
              <w:rPr>
                <w:rFonts w:cs="Times New Roman"/>
              </w:rPr>
            </w:pPr>
          </w:p>
          <w:p w14:paraId="143C3698" w14:textId="77777777" w:rsidR="00064AA3" w:rsidRDefault="00064AA3" w:rsidP="00CF1CEA">
            <w:pPr>
              <w:pStyle w:val="BodyB"/>
              <w:rPr>
                <w:rFonts w:cs="Times New Roman"/>
              </w:rPr>
            </w:pPr>
          </w:p>
          <w:p w14:paraId="65071206" w14:textId="77777777" w:rsidR="00064AA3" w:rsidRDefault="00064AA3" w:rsidP="00CF1CEA">
            <w:pPr>
              <w:pStyle w:val="BodyB"/>
              <w:rPr>
                <w:rFonts w:cs="Times New Roman"/>
              </w:rPr>
            </w:pPr>
          </w:p>
        </w:tc>
      </w:tr>
      <w:tr w:rsidR="003C6AB7" w14:paraId="47643641" w14:textId="77777777" w:rsidTr="00CF1CEA">
        <w:trPr>
          <w:trHeight w:val="310"/>
        </w:trPr>
        <w:tc>
          <w:tcPr>
            <w:tcW w:w="5637" w:type="dxa"/>
          </w:tcPr>
          <w:p w14:paraId="75F58A5C" w14:textId="77777777" w:rsidR="00064AA3" w:rsidRDefault="00064AA3" w:rsidP="00CF1CEA">
            <w:pPr>
              <w:pStyle w:val="BodyB"/>
              <w:tabs>
                <w:tab w:val="left" w:pos="6237"/>
              </w:tabs>
              <w:rPr>
                <w:rFonts w:cs="Times New Roman"/>
              </w:rPr>
            </w:pPr>
          </w:p>
        </w:tc>
        <w:tc>
          <w:tcPr>
            <w:tcW w:w="4002" w:type="dxa"/>
            <w:hideMark/>
          </w:tcPr>
          <w:p w14:paraId="67C9E507" w14:textId="77777777" w:rsidR="00064AA3" w:rsidRDefault="009E7C21" w:rsidP="00CF1CEA">
            <w:pPr>
              <w:pStyle w:val="BodyB"/>
              <w:rPr>
                <w:rFonts w:cs="Times New Roman"/>
                <w:noProof/>
              </w:rPr>
            </w:pPr>
            <w:r>
              <w:rPr>
                <w:rFonts w:cs="Times New Roman"/>
                <w:noProof/>
              </w:rPr>
              <w:t>Ekonomikas ministrija</w:t>
            </w:r>
          </w:p>
        </w:tc>
      </w:tr>
      <w:tr w:rsidR="003C6AB7" w14:paraId="4897A2C3" w14:textId="77777777" w:rsidTr="00CF1CEA">
        <w:trPr>
          <w:trHeight w:val="310"/>
        </w:trPr>
        <w:tc>
          <w:tcPr>
            <w:tcW w:w="5637" w:type="dxa"/>
          </w:tcPr>
          <w:p w14:paraId="6A8226FD" w14:textId="77777777" w:rsidR="00064AA3" w:rsidRDefault="00064AA3" w:rsidP="00CF1CEA">
            <w:pPr>
              <w:pStyle w:val="BodyB"/>
              <w:tabs>
                <w:tab w:val="left" w:pos="6237"/>
              </w:tabs>
              <w:rPr>
                <w:rFonts w:cs="Times New Roman"/>
              </w:rPr>
            </w:pPr>
          </w:p>
        </w:tc>
        <w:tc>
          <w:tcPr>
            <w:tcW w:w="4002" w:type="dxa"/>
            <w:hideMark/>
          </w:tcPr>
          <w:p w14:paraId="1E1EADC6" w14:textId="77777777" w:rsidR="00E46888" w:rsidRDefault="009E7C21" w:rsidP="00CF1CEA">
            <w:pPr>
              <w:pStyle w:val="BodyB"/>
              <w:rPr>
                <w:rFonts w:cs="Times New Roman"/>
                <w:noProof/>
              </w:rPr>
            </w:pPr>
            <w:r>
              <w:rPr>
                <w:rFonts w:cs="Times New Roman"/>
                <w:noProof/>
              </w:rPr>
              <w:t xml:space="preserve">Brīvības iela 55, Rīga,  LV-1010, </w:t>
            </w:r>
          </w:p>
          <w:p w14:paraId="19FD540E" w14:textId="77777777" w:rsidR="00E46888" w:rsidRDefault="009E7C21" w:rsidP="00CF1CEA">
            <w:pPr>
              <w:pStyle w:val="BodyB"/>
              <w:rPr>
                <w:rFonts w:cs="Times New Roman"/>
                <w:noProof/>
              </w:rPr>
            </w:pPr>
            <w:hyperlink r:id="rId6" w:history="1">
              <w:r w:rsidRPr="006D612C">
                <w:rPr>
                  <w:rStyle w:val="Hyperlink"/>
                  <w:rFonts w:cs="Times New Roman"/>
                  <w:noProof/>
                </w:rPr>
                <w:t>pasts@em.gov.lv</w:t>
              </w:r>
            </w:hyperlink>
          </w:p>
          <w:p w14:paraId="268E6FBC" w14:textId="77777777" w:rsidR="00E46888" w:rsidRDefault="00E46888" w:rsidP="00CF1CEA">
            <w:pPr>
              <w:pStyle w:val="BodyB"/>
              <w:rPr>
                <w:rFonts w:cs="Times New Roman"/>
                <w:noProof/>
              </w:rPr>
            </w:pPr>
          </w:p>
          <w:p w14:paraId="4161402F" w14:textId="77777777" w:rsidR="00E46888" w:rsidRDefault="009E7C21" w:rsidP="00CF1CEA">
            <w:pPr>
              <w:pStyle w:val="BodyB"/>
              <w:rPr>
                <w:rFonts w:cs="Times New Roman"/>
                <w:noProof/>
              </w:rPr>
            </w:pPr>
            <w:r>
              <w:rPr>
                <w:rFonts w:cs="Times New Roman"/>
                <w:noProof/>
              </w:rPr>
              <w:t xml:space="preserve">Valsts kanceleja </w:t>
            </w:r>
          </w:p>
          <w:p w14:paraId="4AE83074" w14:textId="77777777" w:rsidR="00064AA3" w:rsidRDefault="009E7C21" w:rsidP="00CF1CEA">
            <w:pPr>
              <w:pStyle w:val="BodyB"/>
              <w:rPr>
                <w:rFonts w:cs="Times New Roman"/>
              </w:rPr>
            </w:pPr>
            <w:r>
              <w:rPr>
                <w:rFonts w:cs="Times New Roman"/>
                <w:noProof/>
              </w:rPr>
              <w:t>Brīvības bulvāris 36, Rīga, LV-1050</w:t>
            </w:r>
          </w:p>
        </w:tc>
      </w:tr>
      <w:tr w:rsidR="003C6AB7" w14:paraId="2DB626B7" w14:textId="77777777" w:rsidTr="00CF1CEA">
        <w:trPr>
          <w:trHeight w:val="310"/>
        </w:trPr>
        <w:tc>
          <w:tcPr>
            <w:tcW w:w="5637" w:type="dxa"/>
          </w:tcPr>
          <w:p w14:paraId="7C4BFDC2" w14:textId="77777777" w:rsidR="00064AA3" w:rsidRDefault="00064AA3" w:rsidP="00CF1CEA">
            <w:pPr>
              <w:pStyle w:val="BodyB"/>
              <w:tabs>
                <w:tab w:val="left" w:pos="6237"/>
              </w:tabs>
              <w:rPr>
                <w:rFonts w:cs="Times New Roman"/>
              </w:rPr>
            </w:pPr>
          </w:p>
        </w:tc>
        <w:tc>
          <w:tcPr>
            <w:tcW w:w="4002" w:type="dxa"/>
            <w:hideMark/>
          </w:tcPr>
          <w:p w14:paraId="0A530366" w14:textId="77777777" w:rsidR="00064AA3" w:rsidRDefault="009E7C21" w:rsidP="00CF1CEA">
            <w:pPr>
              <w:pStyle w:val="BodyB"/>
              <w:rPr>
                <w:rFonts w:cs="Times New Roman"/>
              </w:rPr>
            </w:pPr>
            <w:r>
              <w:rPr>
                <w:rFonts w:cs="Times New Roman"/>
                <w:noProof/>
              </w:rPr>
              <w:t>pasts@mk.gov.lv</w:t>
            </w:r>
          </w:p>
        </w:tc>
      </w:tr>
    </w:tbl>
    <w:p w14:paraId="3FF7F8F9" w14:textId="77777777" w:rsidR="00064AA3" w:rsidRDefault="00064AA3" w:rsidP="00064AA3">
      <w:pPr>
        <w:pStyle w:val="BodyB"/>
        <w:rPr>
          <w:rFonts w:cs="Times New Roman"/>
        </w:rPr>
      </w:pPr>
    </w:p>
    <w:p w14:paraId="27172EAB" w14:textId="77777777" w:rsidR="00064AA3" w:rsidRDefault="00064AA3" w:rsidP="00064AA3">
      <w:pPr>
        <w:pStyle w:val="Default"/>
        <w:jc w:val="both"/>
        <w:rPr>
          <w:rFonts w:ascii="Times New Roman" w:hAnsi="Times New Roman" w:cs="Times New Roman"/>
          <w:sz w:val="24"/>
          <w:szCs w:val="24"/>
        </w:rPr>
      </w:pPr>
    </w:p>
    <w:p w14:paraId="3F66112A" w14:textId="77777777" w:rsidR="00E46888" w:rsidRDefault="009E7C21" w:rsidP="00064AA3">
      <w:pPr>
        <w:pStyle w:val="Default"/>
        <w:rPr>
          <w:rFonts w:ascii="Times New Roman" w:hAnsi="Times New Roman" w:cs="Times New Roman"/>
          <w:noProof/>
          <w:sz w:val="24"/>
          <w:szCs w:val="24"/>
        </w:rPr>
      </w:pPr>
      <w:r>
        <w:rPr>
          <w:rFonts w:ascii="Times New Roman" w:hAnsi="Times New Roman" w:cs="Times New Roman"/>
          <w:noProof/>
          <w:sz w:val="24"/>
          <w:szCs w:val="24"/>
        </w:rPr>
        <w:t xml:space="preserve">Par likumprojektu “Grozījumi </w:t>
      </w:r>
    </w:p>
    <w:p w14:paraId="49AD5731" w14:textId="77777777" w:rsidR="00064AA3" w:rsidRDefault="009E7C21" w:rsidP="00064AA3">
      <w:pPr>
        <w:pStyle w:val="Default"/>
        <w:rPr>
          <w:rFonts w:ascii="Times New Roman" w:hAnsi="Times New Roman" w:cs="Times New Roman"/>
          <w:sz w:val="24"/>
          <w:szCs w:val="24"/>
        </w:rPr>
      </w:pPr>
      <w:r>
        <w:rPr>
          <w:rFonts w:ascii="Times New Roman" w:hAnsi="Times New Roman" w:cs="Times New Roman"/>
          <w:noProof/>
          <w:sz w:val="24"/>
          <w:szCs w:val="24"/>
        </w:rPr>
        <w:t>Enerģētikas likumā” TA-1563</w:t>
      </w:r>
    </w:p>
    <w:p w14:paraId="19F6D1F6" w14:textId="77777777" w:rsidR="00064AA3" w:rsidRDefault="00064AA3" w:rsidP="00064AA3">
      <w:pPr>
        <w:pStyle w:val="Default"/>
        <w:jc w:val="both"/>
        <w:rPr>
          <w:rFonts w:ascii="Times New Roman" w:hAnsi="Times New Roman" w:cs="Times New Roman"/>
          <w:sz w:val="24"/>
          <w:szCs w:val="24"/>
        </w:rPr>
      </w:pPr>
    </w:p>
    <w:p w14:paraId="2CE19812" w14:textId="77777777" w:rsidR="00064AA3" w:rsidRDefault="00064AA3" w:rsidP="00064AA3">
      <w:pPr>
        <w:pStyle w:val="Default"/>
        <w:jc w:val="both"/>
        <w:rPr>
          <w:rFonts w:ascii="Times New Roman" w:hAnsi="Times New Roman" w:cs="Times New Roman"/>
          <w:sz w:val="24"/>
          <w:szCs w:val="24"/>
        </w:rPr>
      </w:pPr>
    </w:p>
    <w:p w14:paraId="6593ABE0" w14:textId="77777777" w:rsidR="00E46888" w:rsidRPr="005B237C" w:rsidRDefault="009E7C21" w:rsidP="00E46888">
      <w:pPr>
        <w:pStyle w:val="Default"/>
        <w:ind w:firstLine="720"/>
        <w:jc w:val="both"/>
        <w:rPr>
          <w:rFonts w:ascii="Times New Roman" w:hAnsi="Times New Roman" w:cs="Times New Roman"/>
          <w:sz w:val="24"/>
          <w:szCs w:val="24"/>
          <w:lang w:val="lv-LV"/>
        </w:rPr>
      </w:pPr>
      <w:r w:rsidRPr="005B237C">
        <w:rPr>
          <w:rFonts w:ascii="Times New Roman" w:hAnsi="Times New Roman" w:cs="Times New Roman"/>
          <w:sz w:val="24"/>
          <w:szCs w:val="24"/>
          <w:lang w:val="lv-LV"/>
        </w:rPr>
        <w:t>Akciju sabiedrība</w:t>
      </w:r>
      <w:r>
        <w:rPr>
          <w:rFonts w:ascii="Times New Roman" w:hAnsi="Times New Roman" w:cs="Times New Roman"/>
          <w:sz w:val="24"/>
          <w:szCs w:val="24"/>
          <w:lang w:val="lv-LV"/>
        </w:rPr>
        <w:t>i</w:t>
      </w:r>
      <w:r w:rsidRPr="005B237C">
        <w:rPr>
          <w:rFonts w:ascii="Times New Roman" w:hAnsi="Times New Roman" w:cs="Times New Roman"/>
          <w:sz w:val="24"/>
          <w:szCs w:val="24"/>
          <w:lang w:val="lv-LV"/>
        </w:rPr>
        <w:t xml:space="preserve"> “Gaso” (turpmāk – Gaso)</w:t>
      </w:r>
      <w:r>
        <w:rPr>
          <w:rFonts w:ascii="Times New Roman" w:hAnsi="Times New Roman" w:cs="Times New Roman"/>
          <w:sz w:val="24"/>
          <w:szCs w:val="24"/>
          <w:lang w:val="lv-LV"/>
        </w:rPr>
        <w:t xml:space="preserve"> ir kļuvis zināms, ka 2022.gada 27.janvārī Valsts sekretāru sanāksmē ir izskatīts likumprojekts “Grozījumi Enerģētikas likumā” (TA-1563) (turpmāk – Likumprojekts). Gaso, kā Latvijā vienīgais dabasgāzes sadales sistēmas operators, sniedzot savus komentārus </w:t>
      </w:r>
      <w:r>
        <w:rPr>
          <w:rFonts w:ascii="Times New Roman" w:hAnsi="Times New Roman" w:cs="Times New Roman"/>
          <w:sz w:val="24"/>
          <w:szCs w:val="24"/>
          <w:lang w:val="lv-LV"/>
        </w:rPr>
        <w:t xml:space="preserve">un ierosinājumus, aktīvi līdzdarbojies Likumprojekta sagatavošanas procesā, bet diemžēl pirms Likumprojekta virzīšanas izskatīšanai Valsts sekretāru sanāksmē netika iepazīstināts ar tā gala redakciju. Ievērojot minēto Gaso regulējuma pilnveidošanas nolūkā </w:t>
      </w:r>
      <w:r>
        <w:rPr>
          <w:rFonts w:ascii="Times New Roman" w:hAnsi="Times New Roman" w:cs="Times New Roman"/>
          <w:sz w:val="24"/>
          <w:szCs w:val="24"/>
          <w:lang w:val="lv-LV"/>
        </w:rPr>
        <w:t>par Likumprojekta saturu izsaka šādus priekšlikumus un iebildumus:</w:t>
      </w:r>
      <w:r w:rsidRPr="005B237C">
        <w:rPr>
          <w:rFonts w:ascii="Times New Roman" w:hAnsi="Times New Roman" w:cs="Times New Roman"/>
          <w:sz w:val="24"/>
          <w:szCs w:val="24"/>
          <w:lang w:val="lv-LV"/>
        </w:rPr>
        <w:t xml:space="preserve"> </w:t>
      </w:r>
    </w:p>
    <w:p w14:paraId="6D359932" w14:textId="77777777" w:rsidR="00E46888" w:rsidRDefault="00E46888" w:rsidP="00E46888">
      <w:pPr>
        <w:pStyle w:val="Default"/>
        <w:ind w:firstLine="709"/>
        <w:jc w:val="both"/>
        <w:rPr>
          <w:rFonts w:ascii="Times New Roman" w:hAnsi="Times New Roman" w:cs="Times New Roman"/>
          <w:sz w:val="24"/>
          <w:szCs w:val="24"/>
          <w:lang w:val="lv-LV"/>
        </w:rPr>
      </w:pPr>
    </w:p>
    <w:p w14:paraId="3C4317CA" w14:textId="77777777" w:rsidR="00E46888" w:rsidRDefault="009E7C21" w:rsidP="00E46888">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Likumprojekta 2.pants paredz jaunu termina “enerģija” definīciju. Minētā definīcijas ietvaros dabasgāze tiek noteikta, kā atsevišķs enerģijas veids. Vēršam uzmanību uz to, ka </w:t>
      </w:r>
      <w:r>
        <w:rPr>
          <w:rFonts w:ascii="Times New Roman" w:hAnsi="Times New Roman" w:cs="Times New Roman"/>
          <w:sz w:val="24"/>
          <w:szCs w:val="24"/>
          <w:lang w:val="lv-LV"/>
        </w:rPr>
        <w:t>dabasgāze ir energoresurss vai kurināmais, nevis enerģija. Ja dabasgāzi atzīt par atsevišķu enerģijas veidu, tad par enerģiju būtu jāuzskata arī benzīns, dīzeļdegviela, akmeņogles, kūdra kā arī jebkādu citu vielu, kas var būt izmantota elektroenerģijas vai</w:t>
      </w:r>
      <w:r>
        <w:rPr>
          <w:rFonts w:ascii="Times New Roman" w:hAnsi="Times New Roman" w:cs="Times New Roman"/>
          <w:sz w:val="24"/>
          <w:szCs w:val="24"/>
          <w:lang w:val="lv-LV"/>
        </w:rPr>
        <w:t xml:space="preserve"> siltumenerģijas iegūšanai. Ņemot vērā, ka likumā noteiktais termina saturs var būt izmantots arī ārpus likuma regulējuma, ierosinām izvērtēt lietderību ar likumu noteikt termina nekorektu saturu. Turklāt, ja dabasgāzi uzskatīt par enerģijas veidu, tad dab</w:t>
      </w:r>
      <w:r>
        <w:rPr>
          <w:rFonts w:ascii="Times New Roman" w:hAnsi="Times New Roman" w:cs="Times New Roman"/>
          <w:sz w:val="24"/>
          <w:szCs w:val="24"/>
          <w:lang w:val="lv-LV"/>
        </w:rPr>
        <w:t>asgāzi nevarēs uzskatīt par kurināmo 23.punktā paredzētā definējumam neatbilstības dēļ.</w:t>
      </w:r>
    </w:p>
    <w:p w14:paraId="74F46756" w14:textId="77777777" w:rsidR="00E46888" w:rsidRDefault="00E46888" w:rsidP="00E46888">
      <w:pPr>
        <w:pStyle w:val="Default"/>
        <w:ind w:firstLine="709"/>
        <w:jc w:val="both"/>
        <w:rPr>
          <w:rFonts w:ascii="Times New Roman" w:hAnsi="Times New Roman" w:cs="Times New Roman"/>
          <w:sz w:val="24"/>
          <w:szCs w:val="24"/>
          <w:lang w:val="lv-LV"/>
        </w:rPr>
      </w:pPr>
    </w:p>
    <w:p w14:paraId="5F2D4EF8" w14:textId="77777777" w:rsidR="00E46888" w:rsidRDefault="009E7C21" w:rsidP="00E46888">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2. Likumprojekta 2.pantā ir paredzēts skaidrot termina “sašķidrinātās dabasgāzes iekārtu kopums” saturu, paredzot, ka sašķidrinātās dabasgāzes iekārtu kopums nevar būt</w:t>
      </w:r>
      <w:r>
        <w:rPr>
          <w:rFonts w:ascii="Times New Roman" w:hAnsi="Times New Roman" w:cs="Times New Roman"/>
          <w:sz w:val="24"/>
          <w:szCs w:val="24"/>
          <w:lang w:val="lv-LV"/>
        </w:rPr>
        <w:t xml:space="preserve"> pievienots pārvades vai sadales sistēmai. Atkārtoti norādām uz to, ka dabasgāzes sadales sistēmas operatoru skaits nav ierobežots. Vienīgais nosacījums sadales sistēmas operatora darbībai ir tas, ka operatoru darbības zonas nedrīkst pārklāties. Šobrīd lik</w:t>
      </w:r>
      <w:r>
        <w:rPr>
          <w:rFonts w:ascii="Times New Roman" w:hAnsi="Times New Roman" w:cs="Times New Roman"/>
          <w:sz w:val="24"/>
          <w:szCs w:val="24"/>
          <w:lang w:val="lv-LV"/>
        </w:rPr>
        <w:t>umprojekts paredz, ka sadales sistēma var būt pieslēgta pie pārvades sistēmas, enerģijas ražotāja (biometāna ražotāja) vai sašķidrinātās dabasgāzes terminālim. Ierobežojums pievienot sašķidrinātās dabasgāzes iekārtu kopumu pie sadales sistēmas ne ar ko nav</w:t>
      </w:r>
      <w:r>
        <w:rPr>
          <w:rFonts w:ascii="Times New Roman" w:hAnsi="Times New Roman" w:cs="Times New Roman"/>
          <w:sz w:val="24"/>
          <w:szCs w:val="24"/>
          <w:lang w:val="lv-LV"/>
        </w:rPr>
        <w:t xml:space="preserve"> pamatots. Līdz ar to šis nosacījums ir mākslīgs un nevajadzīgs ierobežojums gazifikācijas attīstībai. Turklāt šīs ierobežojums ir pretrunā ar 40.</w:t>
      </w:r>
      <w:r>
        <w:rPr>
          <w:rFonts w:ascii="Times New Roman" w:hAnsi="Times New Roman" w:cs="Times New Roman"/>
          <w:sz w:val="24"/>
          <w:szCs w:val="24"/>
          <w:vertAlign w:val="superscript"/>
          <w:lang w:val="lv-LV"/>
        </w:rPr>
        <w:t>1 </w:t>
      </w:r>
      <w:r>
        <w:rPr>
          <w:rFonts w:ascii="Times New Roman" w:hAnsi="Times New Roman" w:cs="Times New Roman"/>
          <w:sz w:val="24"/>
          <w:szCs w:val="24"/>
          <w:lang w:val="lv-LV"/>
        </w:rPr>
        <w:t>punktā paredzēto termina “sašķidrinātās dabasgāzes iekārtu kopuma pakalpojums” saturu. Ievērojot minēto iero</w:t>
      </w:r>
      <w:r>
        <w:rPr>
          <w:rFonts w:ascii="Times New Roman" w:hAnsi="Times New Roman" w:cs="Times New Roman"/>
          <w:sz w:val="24"/>
          <w:szCs w:val="24"/>
          <w:lang w:val="lv-LV"/>
        </w:rPr>
        <w:t>sinām neierobežot sašķidrinātās dabasgāzes iekārtu kopuma pieslēgšanas iespēju pie sadales sistēmas.</w:t>
      </w:r>
    </w:p>
    <w:p w14:paraId="683B5C54" w14:textId="77777777" w:rsidR="00E46888" w:rsidRDefault="00E46888" w:rsidP="00E46888">
      <w:pPr>
        <w:pStyle w:val="Default"/>
        <w:ind w:firstLine="709"/>
        <w:jc w:val="both"/>
        <w:rPr>
          <w:rFonts w:ascii="Times New Roman" w:hAnsi="Times New Roman" w:cs="Times New Roman"/>
          <w:sz w:val="24"/>
          <w:szCs w:val="24"/>
          <w:lang w:val="lv-LV"/>
        </w:rPr>
      </w:pPr>
    </w:p>
    <w:p w14:paraId="4851F35C" w14:textId="77777777" w:rsidR="00E46888" w:rsidRDefault="009E7C21" w:rsidP="00E46888">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Ierosinām izvērtēt nepieciešamību likumprojekta ietvaros nošķirt dabasgāzi no biometāna. Būtībā tā ir viena un tā pati viela, tas ir līdz attiecīgajai </w:t>
      </w:r>
      <w:r>
        <w:rPr>
          <w:rFonts w:ascii="Times New Roman" w:hAnsi="Times New Roman" w:cs="Times New Roman"/>
          <w:sz w:val="24"/>
          <w:szCs w:val="24"/>
          <w:lang w:val="lv-LV"/>
        </w:rPr>
        <w:t xml:space="preserve">pakāpei attīrītais metāns. Nosacīta atšķirība </w:t>
      </w:r>
      <w:r>
        <w:rPr>
          <w:rFonts w:ascii="Times New Roman" w:hAnsi="Times New Roman" w:cs="Times New Roman"/>
          <w:sz w:val="24"/>
          <w:szCs w:val="24"/>
          <w:lang w:val="lv-LV"/>
        </w:rPr>
        <w:lastRenderedPageBreak/>
        <w:t>ir tikai vielas izcelsmē, jo tradicionāli ar dabasgāzi apzīmē no zemes dzīlēm iegūtais un līdz attiecīgajai pakāpei attīrītais metāns, savukārt biometāns ir no biomasas iegūtais un līdz tai pašai pakāpei attīrī</w:t>
      </w:r>
      <w:r>
        <w:rPr>
          <w:rFonts w:ascii="Times New Roman" w:hAnsi="Times New Roman" w:cs="Times New Roman"/>
          <w:sz w:val="24"/>
          <w:szCs w:val="24"/>
          <w:lang w:val="lv-LV"/>
        </w:rPr>
        <w:t>tais metāns. Turklāt Eiropas Parlamenta un Padomes Direktīvas projektā par kopīgiem noteikumiem attiecībā uz iekšējo dabasgāzes tirgu un Eiropas Parlamenta un Padomes Regulas projektā par nosacījumiem piekļuvei dabasgāzes pārvades tīkliem ar dabasgāzi tiek</w:t>
      </w:r>
      <w:r>
        <w:rPr>
          <w:rFonts w:ascii="Times New Roman" w:hAnsi="Times New Roman" w:cs="Times New Roman"/>
          <w:sz w:val="24"/>
          <w:szCs w:val="24"/>
          <w:lang w:val="lv-LV"/>
        </w:rPr>
        <w:t xml:space="preserve"> apzīmēts arī biometāns.</w:t>
      </w:r>
    </w:p>
    <w:p w14:paraId="0AF1D908" w14:textId="77777777" w:rsidR="00E46888" w:rsidRDefault="00E46888" w:rsidP="00E46888">
      <w:pPr>
        <w:pStyle w:val="Default"/>
        <w:ind w:firstLine="709"/>
        <w:jc w:val="both"/>
        <w:rPr>
          <w:rFonts w:ascii="Times New Roman" w:hAnsi="Times New Roman" w:cs="Times New Roman"/>
          <w:sz w:val="24"/>
          <w:szCs w:val="24"/>
          <w:lang w:val="lv-LV"/>
        </w:rPr>
      </w:pPr>
    </w:p>
    <w:p w14:paraId="7B1FBBC1" w14:textId="77777777" w:rsidR="00E46888" w:rsidRDefault="009E7C21" w:rsidP="00E46888">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4. Likumprojekta 12.pants paredz papildināt Likuma 15.pantu ar 5.</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daļu, nosakot, ka līdz brīdim, kad tiek ieviesta fiziskā plūsma virzienā no sadales sistēmas uz pārvades sistēmu, pārvades sistēmas operators minētajā virzienā nod</w:t>
      </w:r>
      <w:r>
        <w:rPr>
          <w:rFonts w:ascii="Times New Roman" w:hAnsi="Times New Roman" w:cs="Times New Roman"/>
          <w:sz w:val="24"/>
          <w:szCs w:val="24"/>
          <w:lang w:val="lv-LV"/>
        </w:rPr>
        <w:t>rošina virtuālu dabasgāzes plūsmu. Gaso vērš uzmanību uz to, ka šis regulējums darbosies tikai pie nosacījuma, ja saražotu un sadales sistēmā ievadīto biometānu spēs patērēt gala lietotāji, kas pieslēgti pie attiecīga sadales sistēmas segmenta. Gadījumā, j</w:t>
      </w:r>
      <w:r>
        <w:rPr>
          <w:rFonts w:ascii="Times New Roman" w:hAnsi="Times New Roman" w:cs="Times New Roman"/>
          <w:sz w:val="24"/>
          <w:szCs w:val="24"/>
          <w:lang w:val="lv-LV"/>
        </w:rPr>
        <w:t>a biometāna ražotāja saražotas un sadales sistēmā ievadītās gāzes apjoms pārsniegs attiecīga sadales sistēmas segmenta gala lietotāju patērējamās dabasgāzes apjomu, tad ar virtuālo gāzes plūsmu šo jautājumu nebūs iespējams atrisināt, būs nepieciešama fizis</w:t>
      </w:r>
      <w:r>
        <w:rPr>
          <w:rFonts w:ascii="Times New Roman" w:hAnsi="Times New Roman" w:cs="Times New Roman"/>
          <w:sz w:val="24"/>
          <w:szCs w:val="24"/>
          <w:lang w:val="lv-LV"/>
        </w:rPr>
        <w:t xml:space="preserve">kā reversīvā dabasgāzes plūsma. Ievērojot minēto, lai izvairītos no nerealizējama regulējuma, ierosinām papildināt </w:t>
      </w:r>
      <w:r w:rsidRPr="009B2F7D">
        <w:rPr>
          <w:rFonts w:ascii="Times New Roman" w:hAnsi="Times New Roman" w:cs="Times New Roman"/>
          <w:sz w:val="24"/>
          <w:szCs w:val="24"/>
          <w:lang w:val="lv-LV"/>
        </w:rPr>
        <w:t>15.pant</w:t>
      </w:r>
      <w:r>
        <w:rPr>
          <w:rFonts w:ascii="Times New Roman" w:hAnsi="Times New Roman" w:cs="Times New Roman"/>
          <w:sz w:val="24"/>
          <w:szCs w:val="24"/>
          <w:lang w:val="lv-LV"/>
        </w:rPr>
        <w:t>a</w:t>
      </w:r>
      <w:r w:rsidRPr="009B2F7D">
        <w:rPr>
          <w:rFonts w:ascii="Times New Roman" w:hAnsi="Times New Roman" w:cs="Times New Roman"/>
          <w:sz w:val="24"/>
          <w:szCs w:val="24"/>
          <w:lang w:val="lv-LV"/>
        </w:rPr>
        <w:t xml:space="preserve"> 5.</w:t>
      </w:r>
      <w:r w:rsidRPr="009B2F7D">
        <w:rPr>
          <w:rFonts w:ascii="Times New Roman" w:hAnsi="Times New Roman" w:cs="Times New Roman"/>
          <w:sz w:val="24"/>
          <w:szCs w:val="24"/>
          <w:vertAlign w:val="superscript"/>
          <w:lang w:val="lv-LV"/>
        </w:rPr>
        <w:t>1</w:t>
      </w:r>
      <w:r w:rsidRPr="009B2F7D">
        <w:rPr>
          <w:rFonts w:ascii="Times New Roman" w:hAnsi="Times New Roman" w:cs="Times New Roman"/>
          <w:sz w:val="24"/>
          <w:szCs w:val="24"/>
          <w:lang w:val="lv-LV"/>
        </w:rPr>
        <w:t xml:space="preserve"> daļu</w:t>
      </w:r>
      <w:r>
        <w:rPr>
          <w:rFonts w:ascii="Times New Roman" w:hAnsi="Times New Roman" w:cs="Times New Roman"/>
          <w:sz w:val="24"/>
          <w:szCs w:val="24"/>
          <w:lang w:val="lv-LV"/>
        </w:rPr>
        <w:t xml:space="preserve"> pēc vārdiem “virtuālu dabasgāzes plūsmu” ar vārdiem “ja tehniski tas ir iespējams”.</w:t>
      </w:r>
    </w:p>
    <w:p w14:paraId="0B72CFA1" w14:textId="77777777" w:rsidR="00E46888" w:rsidRDefault="00E46888" w:rsidP="00E46888">
      <w:pPr>
        <w:pStyle w:val="Default"/>
        <w:ind w:firstLine="709"/>
        <w:jc w:val="both"/>
        <w:rPr>
          <w:rFonts w:ascii="Times New Roman" w:hAnsi="Times New Roman" w:cs="Times New Roman"/>
          <w:sz w:val="24"/>
          <w:szCs w:val="24"/>
          <w:lang w:val="lv-LV"/>
        </w:rPr>
      </w:pPr>
    </w:p>
    <w:p w14:paraId="4E941859" w14:textId="77777777" w:rsidR="00E46888" w:rsidRDefault="009E7C21" w:rsidP="00E46888">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5. Likumprojekta 28.pants paredz papil</w:t>
      </w:r>
      <w:r>
        <w:rPr>
          <w:rFonts w:ascii="Times New Roman" w:hAnsi="Times New Roman" w:cs="Times New Roman"/>
          <w:sz w:val="24"/>
          <w:szCs w:val="24"/>
          <w:lang w:val="lv-LV"/>
        </w:rPr>
        <w:t>dināt Likuma 51.pantu ar ceturto daļu, kas piešķirs pašvaldībām tiesību savos saistošajos noteikumos noteikt priekšnoteikumus, kuriem izpildoties, pašvaldībai ir tiesības neatļaut jaunu katlumāju vai esošo katlumāju jaudas palielināšanas projektu īstenošan</w:t>
      </w:r>
      <w:r>
        <w:rPr>
          <w:rFonts w:ascii="Times New Roman" w:hAnsi="Times New Roman" w:cs="Times New Roman"/>
          <w:sz w:val="24"/>
          <w:szCs w:val="24"/>
          <w:lang w:val="lv-LV"/>
        </w:rPr>
        <w:t>u. Gaso vērš uzmanību uz to, ka piedāvātais regulējums juridiski nav korekts triju iemeslu dēļ. Pirmkārt, šāds regulējums dažādās administratīvajās teritorijās radīs atšķirīgus nosacījumus katlumāju būvniecībai vai to jaudas palielināšanai. Otrkārt, nav ko</w:t>
      </w:r>
      <w:r>
        <w:rPr>
          <w:rFonts w:ascii="Times New Roman" w:hAnsi="Times New Roman" w:cs="Times New Roman"/>
          <w:sz w:val="24"/>
          <w:szCs w:val="24"/>
          <w:lang w:val="lv-LV"/>
        </w:rPr>
        <w:t>rekti pašvaldībai pašai noteikt priekšnosacījumus, kuriem iestājoties tai pašai pašvaldībai rodas tiesības ierobežot konkrēta veida komercdarbību. Treškārt, piedāvātais regulējums rada iespēju ar saistošiem noteikumiem ierobežot komercdarbību. Vēršam uzman</w:t>
      </w:r>
      <w:r>
        <w:rPr>
          <w:rFonts w:ascii="Times New Roman" w:hAnsi="Times New Roman" w:cs="Times New Roman"/>
          <w:sz w:val="24"/>
          <w:szCs w:val="24"/>
          <w:lang w:val="lv-LV"/>
        </w:rPr>
        <w:t>ību uz to, ka atbilstoši Latvijas Republikas Satversmes 106. un 116.pantam komercdarbību ierobežot var tikai likumā paredzētajos gadījumos. Ievērojot minēto, ja attiecīga mērķa sasniegšanai ir nepieciešami ierobežojumi attiecībā uz katlumāju būvniecības va</w:t>
      </w:r>
      <w:r>
        <w:rPr>
          <w:rFonts w:ascii="Times New Roman" w:hAnsi="Times New Roman" w:cs="Times New Roman"/>
          <w:sz w:val="24"/>
          <w:szCs w:val="24"/>
          <w:lang w:val="lv-LV"/>
        </w:rPr>
        <w:t>i jaudas palielināšanas projektu realizāciju, tos precīzi būtu jāatrunā likumā (gan priekšnosacījumus, gan arī konkrētie ierobežojumi). Komercdarbības ierobežošana ir ārpus pašvaldību kompetences.</w:t>
      </w:r>
    </w:p>
    <w:p w14:paraId="2276E567" w14:textId="77777777" w:rsidR="00E46888" w:rsidRDefault="00E46888" w:rsidP="00E46888">
      <w:pPr>
        <w:pStyle w:val="Default"/>
        <w:ind w:firstLine="709"/>
        <w:jc w:val="both"/>
        <w:rPr>
          <w:rFonts w:ascii="Times New Roman" w:hAnsi="Times New Roman" w:cs="Times New Roman"/>
          <w:sz w:val="24"/>
          <w:szCs w:val="24"/>
          <w:lang w:val="lv-LV"/>
        </w:rPr>
      </w:pPr>
    </w:p>
    <w:p w14:paraId="464B5671" w14:textId="77777777" w:rsidR="00E46888" w:rsidRDefault="009E7C21" w:rsidP="00E46888">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6. Likumprojekta 30.pants paredz papildināt Likumu ar 58.</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pantu, kura trešā daļa paredz, ka atjaunojamās enerģijas saistību pārsniegums ir valsts īpašums, kura tiesiskais valdītājs ir Ekonomikas ministrija. Lai novērstu tiesību normas dažādas interpretācijas, ierosinām konkretizēt regulējumu, aprakstot atjaunoja</w:t>
      </w:r>
      <w:r>
        <w:rPr>
          <w:rFonts w:ascii="Times New Roman" w:hAnsi="Times New Roman" w:cs="Times New Roman"/>
          <w:sz w:val="24"/>
          <w:szCs w:val="24"/>
          <w:lang w:val="lv-LV"/>
        </w:rPr>
        <w:t>mās enerģijas saistību pārsnieguma saturisko būtību un kā dēļ uz to veidojas īpašuma tiesības.</w:t>
      </w:r>
    </w:p>
    <w:p w14:paraId="53400577" w14:textId="77777777" w:rsidR="00E46888" w:rsidRDefault="00E46888" w:rsidP="00E46888">
      <w:pPr>
        <w:ind w:firstLine="709"/>
        <w:jc w:val="both"/>
        <w:rPr>
          <w:lang w:val="lv-LV"/>
        </w:rPr>
      </w:pPr>
    </w:p>
    <w:p w14:paraId="5A1E8CF5" w14:textId="77777777" w:rsidR="00E46888" w:rsidRDefault="009E7C21" w:rsidP="00E46888">
      <w:pPr>
        <w:ind w:firstLine="709"/>
        <w:jc w:val="both"/>
        <w:rPr>
          <w:lang w:val="lv-LV"/>
        </w:rPr>
      </w:pPr>
      <w:r>
        <w:rPr>
          <w:lang w:val="lv-LV"/>
        </w:rPr>
        <w:t>7. Likumprojekta 31.pants paredz izteikt Likuma 60.panta pirmo daļu jaunā redakcijā. Jaunais regulējums nosaka gadījumus, kad var būt izsludināta valsts enerģēt</w:t>
      </w:r>
      <w:r>
        <w:rPr>
          <w:lang w:val="lv-LV"/>
        </w:rPr>
        <w:t>iskā krīze. Kā viens no kritērijiem krīzes izsludināšanai ir paredzēts gadījums, kad enerģijas piegādes traucējumi skar valstspilsētu. Gaso ierosina precizēt situācijas “enerģijas piegādes traucējumi skar valstspilsētu” juridisko tvērumu, jo pašlaik sanāk,</w:t>
      </w:r>
      <w:r>
        <w:rPr>
          <w:lang w:val="lv-LV"/>
        </w:rPr>
        <w:t xml:space="preserve"> ka enerģētisko krīzi var izsludināt arī gadījumā, ja enerģijas piegāde traucēta vienam valstspilsētas iedzīvotājam.</w:t>
      </w:r>
    </w:p>
    <w:p w14:paraId="61126DF7" w14:textId="77777777" w:rsidR="00E46888" w:rsidRDefault="00E46888" w:rsidP="00E46888">
      <w:pPr>
        <w:ind w:firstLine="709"/>
        <w:jc w:val="both"/>
        <w:rPr>
          <w:lang w:val="lv-LV"/>
        </w:rPr>
      </w:pPr>
    </w:p>
    <w:p w14:paraId="1B118A34" w14:textId="77777777" w:rsidR="00E46888" w:rsidRDefault="009E7C21" w:rsidP="00E46888">
      <w:pPr>
        <w:ind w:firstLine="709"/>
        <w:jc w:val="both"/>
        <w:rPr>
          <w:lang w:val="lv-LV"/>
        </w:rPr>
      </w:pPr>
      <w:r>
        <w:rPr>
          <w:lang w:val="lv-LV"/>
        </w:rPr>
        <w:t>8. Likumprojekta 35.pants paredz izteikt Likuma 84.</w:t>
      </w:r>
      <w:r>
        <w:rPr>
          <w:vertAlign w:val="superscript"/>
          <w:lang w:val="lv-LV"/>
        </w:rPr>
        <w:t>1</w:t>
      </w:r>
      <w:r>
        <w:rPr>
          <w:lang w:val="lv-LV"/>
        </w:rPr>
        <w:t xml:space="preserve"> panta pirmo daļu jaunā redakcijā. Jaunais regulējums piešķir Sabiedrisko pakalpojumu </w:t>
      </w:r>
      <w:r>
        <w:rPr>
          <w:lang w:val="lv-LV"/>
        </w:rPr>
        <w:t xml:space="preserve">regulatoram tiesību ierosināt dabasgāzes sistēmas pieslēguma noteikumu pārskatīšanu </w:t>
      </w:r>
      <w:r w:rsidRPr="00185C88">
        <w:rPr>
          <w:u w:val="single"/>
          <w:lang w:val="lv-LV"/>
        </w:rPr>
        <w:t>un pieprasīt</w:t>
      </w:r>
      <w:r>
        <w:rPr>
          <w:lang w:val="lv-LV"/>
        </w:rPr>
        <w:t>, lai attiecīgais dabasgāzes sistēmas operators noteiktā termiņā iesniedz dabasgāzes sistēmas pieslēguma noteikumu projektu. Gaso ieskatā Regulatoram, kā publis</w:t>
      </w:r>
      <w:r>
        <w:rPr>
          <w:lang w:val="lv-LV"/>
        </w:rPr>
        <w:t>ko tiesību subjektam, paredzētā tiesībā nevar būt absolūta, tāpēc Likumprojekta ietvaros būtu jāatrunā gadījumus (apstākļus), kad šo tiesību Regulators var izmantot.</w:t>
      </w:r>
    </w:p>
    <w:p w14:paraId="0AEFAED5" w14:textId="77777777" w:rsidR="00E46888" w:rsidRDefault="00E46888" w:rsidP="00E46888">
      <w:pPr>
        <w:ind w:firstLine="709"/>
        <w:jc w:val="both"/>
        <w:rPr>
          <w:lang w:val="lv-LV"/>
        </w:rPr>
      </w:pPr>
    </w:p>
    <w:p w14:paraId="2812CEDD" w14:textId="77777777" w:rsidR="00E46888" w:rsidRPr="0006782B" w:rsidRDefault="009E7C21" w:rsidP="00E46888">
      <w:pPr>
        <w:ind w:firstLine="709"/>
        <w:jc w:val="both"/>
        <w:rPr>
          <w:lang w:val="lv-LV"/>
        </w:rPr>
      </w:pPr>
      <w:r>
        <w:rPr>
          <w:lang w:val="lv-LV"/>
        </w:rPr>
        <w:lastRenderedPageBreak/>
        <w:t xml:space="preserve">9. 2021.gada 21.jūnija vēstulē Nr.4-7-1/2327 Gaso informēja Ekonomikas ministriju, ka </w:t>
      </w:r>
      <w:r>
        <w:rPr>
          <w:shd w:val="clear" w:color="auto" w:fill="FFFFFF"/>
          <w:lang w:val="lv-LV"/>
        </w:rPr>
        <w:t>rea</w:t>
      </w:r>
      <w:r>
        <w:rPr>
          <w:shd w:val="clear" w:color="auto" w:fill="FFFFFF"/>
          <w:lang w:val="lv-LV"/>
        </w:rPr>
        <w:t>lizējot dabasgāzes sadales sistēmas operatora funkcijas, dabasgāzes lietotāju pasivitātes vai negodprātīgās rīcības dēļ, bieži saskarās ar nepieciešamību identificēt patieso dabasgāzes lietotāju, gazificētā objekta īpašnieku vai potenciālo gazificētā objek</w:t>
      </w:r>
      <w:r>
        <w:rPr>
          <w:shd w:val="clear" w:color="auto" w:fill="FFFFFF"/>
          <w:lang w:val="lv-LV"/>
        </w:rPr>
        <w:t>ta īpašnieku (lietotāju) īpašnieka nāves gadījumā. Šī informācija ir nozīmīga sadales sistēmas operatora pienākuma izpildei un saistīta ne tikai ar samaksas iekasēšanu par sniegto pakalpojumu, bet galvenokārt ar dabasgāzes drošas lietošanas apsvērumiem. Ga</w:t>
      </w:r>
      <w:r>
        <w:rPr>
          <w:shd w:val="clear" w:color="auto" w:fill="FFFFFF"/>
          <w:lang w:val="lv-LV"/>
        </w:rPr>
        <w:t>so informēja, ka minētās informācijas iegūšanai tiek izmantotas valsts publiskie reģistri un tas ir saistīts ar ievērojamiem finanšu izdevumiem, apmaksājot attiecīgus maksas pakalpojumus vai valsts nodevas. Gaso ir sabiedrisko pakalpojumu sniedzējs un gūst</w:t>
      </w:r>
      <w:r>
        <w:rPr>
          <w:shd w:val="clear" w:color="auto" w:fill="FFFFFF"/>
          <w:lang w:val="lv-LV"/>
        </w:rPr>
        <w:t xml:space="preserve"> ienākumus tikai no sadales sistēmas pakalpojuma tarifa. Tas nozīmē, ka izdevumi, kas radušies Gaso noskaidrojot patieso dabasgāzes lietotāju, faktiski tiek segti no godprātīgo dabasgāzes lietotāju līdzekļiem, kas tiesiskajā valstī nevar būt pieņemami. Ar </w:t>
      </w:r>
      <w:r>
        <w:rPr>
          <w:shd w:val="clear" w:color="auto" w:fill="FFFFFF"/>
          <w:lang w:val="lv-LV"/>
        </w:rPr>
        <w:t>šo problēmu saskarās ne tikai Gaso, bet arī citi energokomersanti, kas sniedz sabiedriskos pakalpojumus. Problēmas risināšanai Gaso ierosināja izvērtēt iespēju papildināt Enerģētikas likumu ar 14.</w:t>
      </w:r>
      <w:r>
        <w:rPr>
          <w:shd w:val="clear" w:color="auto" w:fill="FFFFFF"/>
          <w:vertAlign w:val="superscript"/>
          <w:lang w:val="lv-LV"/>
        </w:rPr>
        <w:t>1</w:t>
      </w:r>
      <w:r>
        <w:rPr>
          <w:shd w:val="clear" w:color="auto" w:fill="FFFFFF"/>
          <w:lang w:val="lv-LV"/>
        </w:rPr>
        <w:t> pantu šādā redakcijā:</w:t>
      </w:r>
    </w:p>
    <w:p w14:paraId="7496B193" w14:textId="77777777" w:rsidR="00E46888" w:rsidRDefault="00E46888" w:rsidP="00E46888">
      <w:pPr>
        <w:ind w:firstLine="720"/>
        <w:jc w:val="both"/>
        <w:rPr>
          <w:shd w:val="clear" w:color="auto" w:fill="FFFFFF"/>
          <w:lang w:val="lv-LV"/>
        </w:rPr>
      </w:pPr>
    </w:p>
    <w:p w14:paraId="54274492" w14:textId="77777777" w:rsidR="00E46888" w:rsidRPr="006A1FBD" w:rsidRDefault="009E7C21" w:rsidP="00E46888">
      <w:pPr>
        <w:ind w:firstLine="720"/>
        <w:jc w:val="both"/>
        <w:rPr>
          <w:shd w:val="clear" w:color="auto" w:fill="FFFFFF"/>
          <w:lang w:val="lv-LV"/>
        </w:rPr>
      </w:pPr>
      <w:r>
        <w:rPr>
          <w:shd w:val="clear" w:color="auto" w:fill="FFFFFF"/>
          <w:lang w:val="lv-LV"/>
        </w:rPr>
        <w:t>“14.</w:t>
      </w:r>
      <w:r>
        <w:rPr>
          <w:shd w:val="clear" w:color="auto" w:fill="FFFFFF"/>
          <w:vertAlign w:val="superscript"/>
          <w:lang w:val="lv-LV"/>
        </w:rPr>
        <w:t>1</w:t>
      </w:r>
      <w:r>
        <w:rPr>
          <w:shd w:val="clear" w:color="auto" w:fill="FFFFFF"/>
          <w:lang w:val="lv-LV"/>
        </w:rPr>
        <w:t> </w:t>
      </w:r>
      <w:r>
        <w:rPr>
          <w:shd w:val="clear" w:color="auto" w:fill="FFFFFF"/>
          <w:lang w:val="lv-LV"/>
        </w:rPr>
        <w:t>Energokomersanti, kas ir sabiedrisko pakalpojumu sniedzēji, normatīvajos aktos atrunāto funkciju īstenošanai ir tiesīgi pieprasīt un saņemt nepieciešamu informāciju no valsts publiskiem reģistriem. Energokomersanti, kas ir sabiedrisko pakalpojumu sniedzēji</w:t>
      </w:r>
      <w:r>
        <w:rPr>
          <w:shd w:val="clear" w:color="auto" w:fill="FFFFFF"/>
          <w:lang w:val="lv-LV"/>
        </w:rPr>
        <w:t>, pieprasot informāciju no valsts publiskiem reģistriem ir atbrīvoti no Valsts nodevas vai maksas pakalpojuma apmaksas.”</w:t>
      </w:r>
    </w:p>
    <w:p w14:paraId="017E6BBC" w14:textId="77777777" w:rsidR="00E46888" w:rsidRPr="00CD67FB" w:rsidRDefault="00E46888" w:rsidP="00E46888">
      <w:pPr>
        <w:pStyle w:val="Default"/>
        <w:ind w:firstLine="709"/>
        <w:jc w:val="both"/>
        <w:rPr>
          <w:rFonts w:ascii="Times New Roman" w:hAnsi="Times New Roman" w:cs="Times New Roman"/>
          <w:sz w:val="24"/>
          <w:szCs w:val="24"/>
          <w:lang w:val="lv-LV"/>
        </w:rPr>
      </w:pPr>
    </w:p>
    <w:p w14:paraId="69F7C4D7" w14:textId="77777777" w:rsidR="00E46888" w:rsidRDefault="009E7C21" w:rsidP="00E46888">
      <w:pPr>
        <w:pStyle w:val="Default"/>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Atbilstoši Likumprojektam pievienotai izziņai par atzinumos izteiktajiem iebildumiem un priekšlikumiem iepriekš minētais Gaso priekšlikums </w:t>
      </w:r>
      <w:r w:rsidRPr="00F57C92">
        <w:rPr>
          <w:rFonts w:ascii="Times New Roman" w:hAnsi="Times New Roman" w:cs="Times New Roman"/>
          <w:sz w:val="24"/>
          <w:szCs w:val="24"/>
          <w:u w:val="single"/>
          <w:shd w:val="clear" w:color="auto" w:fill="FFFFFF"/>
          <w:lang w:val="lv-LV"/>
        </w:rPr>
        <w:t>ir</w:t>
      </w:r>
      <w:r>
        <w:rPr>
          <w:rFonts w:ascii="Times New Roman" w:hAnsi="Times New Roman" w:cs="Times New Roman"/>
          <w:sz w:val="24"/>
          <w:szCs w:val="24"/>
          <w:u w:val="single"/>
          <w:shd w:val="clear" w:color="auto" w:fill="FFFFFF"/>
          <w:lang w:val="lv-LV"/>
        </w:rPr>
        <w:t xml:space="preserve"> atzīmēts kā</w:t>
      </w:r>
      <w:r w:rsidRPr="00F57C92">
        <w:rPr>
          <w:rFonts w:ascii="Times New Roman" w:hAnsi="Times New Roman" w:cs="Times New Roman"/>
          <w:sz w:val="24"/>
          <w:szCs w:val="24"/>
          <w:u w:val="single"/>
          <w:shd w:val="clear" w:color="auto" w:fill="FFFFFF"/>
          <w:lang w:val="lv-LV"/>
        </w:rPr>
        <w:t xml:space="preserve"> </w:t>
      </w:r>
      <w:r>
        <w:rPr>
          <w:rFonts w:ascii="Times New Roman" w:hAnsi="Times New Roman" w:cs="Times New Roman"/>
          <w:sz w:val="24"/>
          <w:szCs w:val="24"/>
          <w:u w:val="single"/>
          <w:shd w:val="clear" w:color="auto" w:fill="FFFFFF"/>
          <w:lang w:val="lv-LV"/>
        </w:rPr>
        <w:t>“</w:t>
      </w:r>
      <w:r w:rsidRPr="00F57C92">
        <w:rPr>
          <w:rFonts w:ascii="Times New Roman" w:hAnsi="Times New Roman" w:cs="Times New Roman"/>
          <w:sz w:val="24"/>
          <w:szCs w:val="24"/>
          <w:u w:val="single"/>
          <w:shd w:val="clear" w:color="auto" w:fill="FFFFFF"/>
          <w:lang w:val="lv-LV"/>
        </w:rPr>
        <w:t>ņemts vērā</w:t>
      </w:r>
      <w:r>
        <w:rPr>
          <w:rFonts w:ascii="Times New Roman" w:hAnsi="Times New Roman" w:cs="Times New Roman"/>
          <w:sz w:val="24"/>
          <w:szCs w:val="24"/>
          <w:u w:val="single"/>
          <w:shd w:val="clear" w:color="auto" w:fill="FFFFFF"/>
          <w:lang w:val="lv-LV"/>
        </w:rPr>
        <w:t>”</w:t>
      </w:r>
      <w:r>
        <w:rPr>
          <w:rFonts w:ascii="Times New Roman" w:hAnsi="Times New Roman" w:cs="Times New Roman"/>
          <w:sz w:val="24"/>
          <w:szCs w:val="24"/>
          <w:shd w:val="clear" w:color="auto" w:fill="FFFFFF"/>
          <w:lang w:val="lv-LV"/>
        </w:rPr>
        <w:t>. Tai pašā laikā precizētajā likumprojektā Gaso ierosinātais regulējums nav atrodams. Ievē</w:t>
      </w:r>
      <w:r>
        <w:rPr>
          <w:rFonts w:ascii="Times New Roman" w:hAnsi="Times New Roman" w:cs="Times New Roman"/>
          <w:sz w:val="24"/>
          <w:szCs w:val="24"/>
          <w:shd w:val="clear" w:color="auto" w:fill="FFFFFF"/>
          <w:lang w:val="lv-LV"/>
        </w:rPr>
        <w:t>rojot minēto, lūdzam papildināt likumprojektu ar iepriekš ierosināto regulējumu.</w:t>
      </w:r>
    </w:p>
    <w:p w14:paraId="61475920" w14:textId="77777777" w:rsidR="00E46888" w:rsidRDefault="00E46888" w:rsidP="00E46888">
      <w:pPr>
        <w:pStyle w:val="Default"/>
        <w:ind w:firstLine="709"/>
        <w:jc w:val="both"/>
        <w:rPr>
          <w:rFonts w:ascii="Times New Roman" w:hAnsi="Times New Roman" w:cs="Times New Roman"/>
          <w:sz w:val="24"/>
          <w:szCs w:val="24"/>
          <w:lang w:val="lv-LV"/>
        </w:rPr>
      </w:pPr>
    </w:p>
    <w:p w14:paraId="093310F2" w14:textId="77777777" w:rsidR="00E46888" w:rsidRDefault="009E7C21" w:rsidP="00E46888">
      <w:pPr>
        <w:pStyle w:val="Default"/>
        <w:ind w:firstLine="709"/>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lang w:val="lv-LV"/>
        </w:rPr>
        <w:t xml:space="preserve">10. Jau 2020.gada 25.augustā Gaso savā vēstulē Nr.4-7-1/2898 aicinājusi </w:t>
      </w:r>
      <w:r w:rsidRPr="00E62468">
        <w:rPr>
          <w:rFonts w:ascii="Times New Roman" w:hAnsi="Times New Roman" w:cs="Times New Roman"/>
          <w:color w:val="auto"/>
          <w:sz w:val="24"/>
          <w:szCs w:val="24"/>
          <w:lang w:val="lv-LV"/>
        </w:rPr>
        <w:t xml:space="preserve">Ekonomikas ministriju papildināt Likumprojektu ar regulējumu, kas paredzētu ka </w:t>
      </w:r>
      <w:r>
        <w:rPr>
          <w:rFonts w:ascii="Times New Roman" w:hAnsi="Times New Roman" w:cs="Times New Roman"/>
          <w:color w:val="auto"/>
          <w:sz w:val="24"/>
          <w:szCs w:val="24"/>
          <w:lang w:val="lv-LV"/>
        </w:rPr>
        <w:t>g</w:t>
      </w:r>
      <w:r w:rsidRPr="00E62468">
        <w:rPr>
          <w:rFonts w:ascii="Times New Roman" w:hAnsi="Times New Roman" w:cs="Times New Roman"/>
          <w:color w:val="auto"/>
          <w:sz w:val="24"/>
          <w:szCs w:val="24"/>
          <w:lang w:val="lv-LV"/>
        </w:rPr>
        <w:t xml:space="preserve">adījumos, kad </w:t>
      </w:r>
      <w:r w:rsidRPr="00E62468">
        <w:rPr>
          <w:rFonts w:ascii="Times New Roman" w:hAnsi="Times New Roman" w:cs="Times New Roman"/>
          <w:color w:val="auto"/>
          <w:sz w:val="24"/>
          <w:szCs w:val="24"/>
          <w:lang w:val="lv-LV"/>
        </w:rPr>
        <w:t>dabasgāzes sadales operators gazificētā objekta īpašnieka vai valdītāja aktīvas vai pasīvas rīcības dēļ ilgstoši (laika periodā, kas ir ilgāks par 5 gadiem) netiek gazificētājā objektā savu likumisku funkciju īstenošanai, sadales sistēmas operatoram ir tie</w:t>
      </w:r>
      <w:r w:rsidRPr="00E62468">
        <w:rPr>
          <w:rFonts w:ascii="Times New Roman" w:hAnsi="Times New Roman" w:cs="Times New Roman"/>
          <w:color w:val="auto"/>
          <w:sz w:val="24"/>
          <w:szCs w:val="24"/>
          <w:lang w:val="lv-LV"/>
        </w:rPr>
        <w:t>sības, piesaistot Valsts policiju, iekļūt gazificētajā objektā pret gazificētā objekta īpašnieka vai valdītāja gribu dabasgāzes piegādes atslēgšanai, ja dabasgāzes piegādes atslēgšana nav iespējama bez iekļūšanas gazificētajā objektā.</w:t>
      </w:r>
      <w:r>
        <w:rPr>
          <w:rFonts w:ascii="Times New Roman" w:hAnsi="Times New Roman" w:cs="Times New Roman"/>
          <w:color w:val="auto"/>
          <w:sz w:val="24"/>
          <w:szCs w:val="24"/>
          <w:lang w:val="lv-LV"/>
        </w:rPr>
        <w:t xml:space="preserve"> Sākotnēji Ekonomikas </w:t>
      </w:r>
      <w:r>
        <w:rPr>
          <w:rFonts w:ascii="Times New Roman" w:hAnsi="Times New Roman" w:cs="Times New Roman"/>
          <w:color w:val="auto"/>
          <w:sz w:val="24"/>
          <w:szCs w:val="24"/>
          <w:lang w:val="lv-LV"/>
        </w:rPr>
        <w:t xml:space="preserve">ministrija šo priekšlikumu atzinusi par pamatotu un attiecīgais regulējums bija iekļauts Likumprojektā. Diemžēl uz izskatīšanu Valsts sekretāru sanāksmē minētais regulējums pilnībā bija izņemts no Likumprojekta. Izziņā </w:t>
      </w:r>
      <w:r>
        <w:rPr>
          <w:rFonts w:ascii="Times New Roman" w:hAnsi="Times New Roman" w:cs="Times New Roman"/>
          <w:sz w:val="24"/>
          <w:szCs w:val="24"/>
          <w:shd w:val="clear" w:color="auto" w:fill="FFFFFF"/>
          <w:lang w:val="lv-LV"/>
        </w:rPr>
        <w:t>par atzinumos izteiktajiem iebildumie</w:t>
      </w:r>
      <w:r>
        <w:rPr>
          <w:rFonts w:ascii="Times New Roman" w:hAnsi="Times New Roman" w:cs="Times New Roman"/>
          <w:sz w:val="24"/>
          <w:szCs w:val="24"/>
          <w:shd w:val="clear" w:color="auto" w:fill="FFFFFF"/>
          <w:lang w:val="lv-LV"/>
        </w:rPr>
        <w:t>m un priekšlikumiem ir norādīts, ka Gaso nav nodrošinājusi ierosinātā regulējuma satversmīguma izvērtējumu, kas neatbilst patiesībai, jo 2021.gada 23.augusta Gaso vēstulē Nr.4-7-1/3164 ir iesniegusi Ekonomikas ministrijai izvērstu argumentāciju (tai skaitā</w:t>
      </w:r>
      <w:r>
        <w:rPr>
          <w:rFonts w:ascii="Times New Roman" w:hAnsi="Times New Roman" w:cs="Times New Roman"/>
          <w:sz w:val="24"/>
          <w:szCs w:val="24"/>
          <w:shd w:val="clear" w:color="auto" w:fill="FFFFFF"/>
          <w:lang w:val="lv-LV"/>
        </w:rPr>
        <w:t xml:space="preserve"> statistikas datus) minētā regulējuma nepieciešamībai. Turpmāk atspoguļojam fragmentu no minētās vēstules:</w:t>
      </w:r>
    </w:p>
    <w:p w14:paraId="071DD21C" w14:textId="77777777" w:rsidR="00E46888" w:rsidRDefault="009E7C21" w:rsidP="00E46888">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“9. Izvērtējot precizēto likumprojektu esam konstatējuši, ka no tā ir izslēgts regulējums par dabasgāzes sadales sistēmas operatora iespēju iekļūt ga</w:t>
      </w:r>
      <w:r>
        <w:rPr>
          <w:rFonts w:ascii="Times New Roman" w:hAnsi="Times New Roman" w:cs="Times New Roman"/>
          <w:sz w:val="24"/>
          <w:szCs w:val="24"/>
          <w:shd w:val="clear" w:color="auto" w:fill="FFFFFF"/>
          <w:lang w:val="lv-LV"/>
        </w:rPr>
        <w:t xml:space="preserve">zificētajā objektā pret gazificētā objekta īpašnieka vai valdītāja gribu, ja iepriekš ilgstoši (piecu gadu laikā) sadales sistēmas operatoram šāda iespēja netika nodrošināta (Likuma 23.panta ceturtā daļa). Gaso apzinās, ka iepriekš likumprojektā paredzētā </w:t>
      </w:r>
      <w:r>
        <w:rPr>
          <w:rFonts w:ascii="Times New Roman" w:hAnsi="Times New Roman" w:cs="Times New Roman"/>
          <w:sz w:val="24"/>
          <w:szCs w:val="24"/>
          <w:shd w:val="clear" w:color="auto" w:fill="FFFFFF"/>
          <w:lang w:val="lv-LV"/>
        </w:rPr>
        <w:t xml:space="preserve">norma skar ar Latvijas Republikas Satversmes 105.pantu aizsargājamās intereses. Tai pašā laikā </w:t>
      </w:r>
      <w:r w:rsidRPr="006B66B8">
        <w:rPr>
          <w:rFonts w:ascii="Times New Roman" w:hAnsi="Times New Roman" w:cs="Times New Roman"/>
          <w:sz w:val="24"/>
          <w:szCs w:val="24"/>
          <w:u w:val="single"/>
          <w:lang w:val="lv-LV"/>
        </w:rPr>
        <w:t>kategoriski nepiekrīt</w:t>
      </w:r>
      <w:r>
        <w:rPr>
          <w:rFonts w:ascii="Times New Roman" w:hAnsi="Times New Roman" w:cs="Times New Roman"/>
          <w:sz w:val="24"/>
          <w:szCs w:val="24"/>
          <w:u w:val="single"/>
          <w:lang w:val="lv-LV"/>
        </w:rPr>
        <w:t>am</w:t>
      </w:r>
      <w:r>
        <w:rPr>
          <w:rFonts w:ascii="Times New Roman" w:hAnsi="Times New Roman" w:cs="Times New Roman"/>
          <w:sz w:val="24"/>
          <w:szCs w:val="24"/>
          <w:lang w:val="lv-LV"/>
        </w:rPr>
        <w:t xml:space="preserve"> minētās normas izslēgšanai no likumprojekta, jo kā tas jau bija aprakstīts iepriekšējās vēstulēs, minētā norma ir nozīmīga sadales sistēm</w:t>
      </w:r>
      <w:r>
        <w:rPr>
          <w:rFonts w:ascii="Times New Roman" w:hAnsi="Times New Roman" w:cs="Times New Roman"/>
          <w:sz w:val="24"/>
          <w:szCs w:val="24"/>
          <w:lang w:val="lv-LV"/>
        </w:rPr>
        <w:t>as operatoram ar likumu noteikto funkciju īstenošanai, kā arī tieši ir saistīta ar iedzīvotāju drošību. Ierosinātās normas samērīguma izvērtēšanai, iesākumā vēlamies sniegt ieskatu realitātē, kas saistītā ar gazificēto objektu atslēgšanu. Zemāk ir norādīta</w:t>
      </w:r>
      <w:r>
        <w:rPr>
          <w:rFonts w:ascii="Times New Roman" w:hAnsi="Times New Roman" w:cs="Times New Roman"/>
          <w:sz w:val="24"/>
          <w:szCs w:val="24"/>
          <w:lang w:val="lv-LV"/>
        </w:rPr>
        <w:t xml:space="preserve"> pēdējo gadu statistika par dabasgāzes tirgotāja atslēgšanas uzdevumu izpildi gazificētajos objektos:</w:t>
      </w:r>
    </w:p>
    <w:p w14:paraId="1E122682" w14:textId="77777777" w:rsidR="00E46888" w:rsidRPr="004D7BAD" w:rsidRDefault="00E46888" w:rsidP="00E46888">
      <w:pPr>
        <w:pStyle w:val="Default"/>
        <w:ind w:firstLine="720"/>
        <w:jc w:val="both"/>
        <w:rPr>
          <w:rFonts w:ascii="Times New Roman" w:hAnsi="Times New Roman" w:cs="Times New Roman"/>
          <w:sz w:val="24"/>
          <w:szCs w:val="24"/>
          <w:shd w:val="clear" w:color="auto" w:fill="FFFFFF"/>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6"/>
        <w:gridCol w:w="3016"/>
      </w:tblGrid>
      <w:tr w:rsidR="003C6AB7" w14:paraId="2D725C35" w14:textId="77777777" w:rsidTr="00B46845">
        <w:tc>
          <w:tcPr>
            <w:tcW w:w="3016" w:type="dxa"/>
            <w:tcBorders>
              <w:top w:val="nil"/>
              <w:left w:val="nil"/>
              <w:bottom w:val="double" w:sz="4" w:space="0" w:color="auto"/>
              <w:right w:val="double" w:sz="4" w:space="0" w:color="auto"/>
            </w:tcBorders>
            <w:shd w:val="clear" w:color="auto" w:fill="auto"/>
          </w:tcPr>
          <w:p w14:paraId="395C14C1"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bottom w:val="double" w:sz="4" w:space="0" w:color="auto"/>
              <w:right w:val="double" w:sz="4" w:space="0" w:color="auto"/>
            </w:tcBorders>
            <w:shd w:val="clear" w:color="auto" w:fill="auto"/>
          </w:tcPr>
          <w:p w14:paraId="1C950D8D"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Tirgotāja izdoto atslēgšanas rīkojumu skaits</w:t>
            </w:r>
          </w:p>
        </w:tc>
        <w:tc>
          <w:tcPr>
            <w:tcW w:w="3016" w:type="dxa"/>
            <w:tcBorders>
              <w:top w:val="double" w:sz="4" w:space="0" w:color="auto"/>
              <w:left w:val="double" w:sz="4" w:space="0" w:color="auto"/>
              <w:bottom w:val="double" w:sz="4" w:space="0" w:color="auto"/>
              <w:right w:val="double" w:sz="4" w:space="0" w:color="auto"/>
            </w:tcBorders>
            <w:shd w:val="clear" w:color="auto" w:fill="auto"/>
          </w:tcPr>
          <w:p w14:paraId="1D35A11B"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 xml:space="preserve">Ar pirmo reizi </w:t>
            </w:r>
            <w:r>
              <w:rPr>
                <w:rFonts w:ascii="Times New Roman" w:hAnsi="Times New Roman" w:cs="Times New Roman"/>
                <w:b/>
                <w:sz w:val="20"/>
                <w:szCs w:val="20"/>
                <w:lang w:val="lv-LV"/>
              </w:rPr>
              <w:t xml:space="preserve">neiekļūšanas dēļ </w:t>
            </w:r>
            <w:r w:rsidRPr="00A7652E">
              <w:rPr>
                <w:rFonts w:ascii="Times New Roman" w:hAnsi="Times New Roman" w:cs="Times New Roman"/>
                <w:b/>
                <w:sz w:val="20"/>
                <w:szCs w:val="20"/>
                <w:lang w:val="lv-LV"/>
              </w:rPr>
              <w:t>atslēgt neizdevās</w:t>
            </w:r>
          </w:p>
        </w:tc>
      </w:tr>
      <w:tr w:rsidR="003C6AB7" w14:paraId="3E1F487D" w14:textId="77777777" w:rsidTr="00B46845">
        <w:tc>
          <w:tcPr>
            <w:tcW w:w="3016" w:type="dxa"/>
            <w:tcBorders>
              <w:top w:val="double" w:sz="4" w:space="0" w:color="auto"/>
              <w:left w:val="double" w:sz="4" w:space="0" w:color="auto"/>
              <w:right w:val="double" w:sz="4" w:space="0" w:color="auto"/>
            </w:tcBorders>
            <w:shd w:val="clear" w:color="auto" w:fill="auto"/>
          </w:tcPr>
          <w:p w14:paraId="1748171A"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2018.gads:</w:t>
            </w:r>
          </w:p>
        </w:tc>
        <w:tc>
          <w:tcPr>
            <w:tcW w:w="3016" w:type="dxa"/>
            <w:tcBorders>
              <w:top w:val="double" w:sz="4" w:space="0" w:color="auto"/>
              <w:left w:val="double" w:sz="4" w:space="0" w:color="auto"/>
              <w:right w:val="double" w:sz="4" w:space="0" w:color="auto"/>
            </w:tcBorders>
            <w:shd w:val="clear" w:color="auto" w:fill="auto"/>
          </w:tcPr>
          <w:p w14:paraId="43AAFC9D"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11A9E768"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3C6AB7" w14:paraId="3CB7AC36" w14:textId="77777777" w:rsidTr="00B46845">
        <w:tc>
          <w:tcPr>
            <w:tcW w:w="3016" w:type="dxa"/>
            <w:tcBorders>
              <w:left w:val="double" w:sz="4" w:space="0" w:color="auto"/>
              <w:right w:val="double" w:sz="4" w:space="0" w:color="auto"/>
            </w:tcBorders>
            <w:shd w:val="clear" w:color="auto" w:fill="auto"/>
          </w:tcPr>
          <w:p w14:paraId="512CB6BB"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Saistītie lietotāji</w:t>
            </w:r>
          </w:p>
        </w:tc>
        <w:tc>
          <w:tcPr>
            <w:tcW w:w="3016" w:type="dxa"/>
            <w:tcBorders>
              <w:left w:val="double" w:sz="4" w:space="0" w:color="auto"/>
              <w:right w:val="double" w:sz="4" w:space="0" w:color="auto"/>
            </w:tcBorders>
            <w:shd w:val="clear" w:color="auto" w:fill="auto"/>
          </w:tcPr>
          <w:p w14:paraId="3B6AFD2C"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1351</w:t>
            </w:r>
          </w:p>
        </w:tc>
        <w:tc>
          <w:tcPr>
            <w:tcW w:w="3016" w:type="dxa"/>
            <w:tcBorders>
              <w:left w:val="double" w:sz="4" w:space="0" w:color="auto"/>
              <w:right w:val="double" w:sz="4" w:space="0" w:color="auto"/>
            </w:tcBorders>
            <w:shd w:val="clear" w:color="auto" w:fill="auto"/>
          </w:tcPr>
          <w:p w14:paraId="127F67A4"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870</w:t>
            </w:r>
          </w:p>
        </w:tc>
      </w:tr>
      <w:tr w:rsidR="003C6AB7" w14:paraId="2EB18F38" w14:textId="77777777" w:rsidTr="00B46845">
        <w:tc>
          <w:tcPr>
            <w:tcW w:w="3016" w:type="dxa"/>
            <w:tcBorders>
              <w:left w:val="double" w:sz="4" w:space="0" w:color="auto"/>
              <w:bottom w:val="double" w:sz="4" w:space="0" w:color="auto"/>
              <w:right w:val="double" w:sz="4" w:space="0" w:color="auto"/>
            </w:tcBorders>
            <w:shd w:val="clear" w:color="auto" w:fill="auto"/>
          </w:tcPr>
          <w:p w14:paraId="6D565ED8"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 xml:space="preserve">Tirgus </w:t>
            </w:r>
            <w:r w:rsidRPr="00A7652E">
              <w:rPr>
                <w:rFonts w:ascii="Times New Roman" w:hAnsi="Times New Roman" w:cs="Times New Roman"/>
                <w:sz w:val="20"/>
                <w:szCs w:val="20"/>
                <w:lang w:val="lv-LV"/>
              </w:rPr>
              <w:t>dalībnieki</w:t>
            </w:r>
          </w:p>
        </w:tc>
        <w:tc>
          <w:tcPr>
            <w:tcW w:w="3016" w:type="dxa"/>
            <w:tcBorders>
              <w:left w:val="double" w:sz="4" w:space="0" w:color="auto"/>
              <w:bottom w:val="double" w:sz="4" w:space="0" w:color="auto"/>
              <w:right w:val="double" w:sz="4" w:space="0" w:color="auto"/>
            </w:tcBorders>
            <w:shd w:val="clear" w:color="auto" w:fill="auto"/>
          </w:tcPr>
          <w:p w14:paraId="25816C65"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291</w:t>
            </w:r>
          </w:p>
        </w:tc>
        <w:tc>
          <w:tcPr>
            <w:tcW w:w="3016" w:type="dxa"/>
            <w:tcBorders>
              <w:left w:val="double" w:sz="4" w:space="0" w:color="auto"/>
              <w:bottom w:val="double" w:sz="4" w:space="0" w:color="auto"/>
              <w:right w:val="double" w:sz="4" w:space="0" w:color="auto"/>
            </w:tcBorders>
            <w:shd w:val="clear" w:color="auto" w:fill="auto"/>
          </w:tcPr>
          <w:p w14:paraId="71283621"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101</w:t>
            </w:r>
          </w:p>
        </w:tc>
      </w:tr>
      <w:tr w:rsidR="003C6AB7" w14:paraId="17622E0E" w14:textId="77777777" w:rsidTr="00B46845">
        <w:tc>
          <w:tcPr>
            <w:tcW w:w="3016" w:type="dxa"/>
            <w:tcBorders>
              <w:top w:val="double" w:sz="4" w:space="0" w:color="auto"/>
              <w:left w:val="double" w:sz="4" w:space="0" w:color="auto"/>
              <w:right w:val="double" w:sz="4" w:space="0" w:color="auto"/>
            </w:tcBorders>
            <w:shd w:val="clear" w:color="auto" w:fill="auto"/>
          </w:tcPr>
          <w:p w14:paraId="6CD01B4D"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06B44F83"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4E5B15DA"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3C6AB7" w14:paraId="179CFF88" w14:textId="77777777" w:rsidTr="00B46845">
        <w:tc>
          <w:tcPr>
            <w:tcW w:w="3016" w:type="dxa"/>
            <w:tcBorders>
              <w:left w:val="double" w:sz="4" w:space="0" w:color="auto"/>
              <w:right w:val="double" w:sz="4" w:space="0" w:color="auto"/>
            </w:tcBorders>
            <w:shd w:val="clear" w:color="auto" w:fill="auto"/>
          </w:tcPr>
          <w:p w14:paraId="2C8D8B1B"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2019.gads:</w:t>
            </w:r>
          </w:p>
        </w:tc>
        <w:tc>
          <w:tcPr>
            <w:tcW w:w="3016" w:type="dxa"/>
            <w:tcBorders>
              <w:left w:val="double" w:sz="4" w:space="0" w:color="auto"/>
              <w:right w:val="double" w:sz="4" w:space="0" w:color="auto"/>
            </w:tcBorders>
            <w:shd w:val="clear" w:color="auto" w:fill="auto"/>
          </w:tcPr>
          <w:p w14:paraId="4D1E513E"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left w:val="double" w:sz="4" w:space="0" w:color="auto"/>
              <w:right w:val="double" w:sz="4" w:space="0" w:color="auto"/>
            </w:tcBorders>
            <w:shd w:val="clear" w:color="auto" w:fill="auto"/>
          </w:tcPr>
          <w:p w14:paraId="1F1F8779"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3C6AB7" w14:paraId="71D15473" w14:textId="77777777" w:rsidTr="00B46845">
        <w:tc>
          <w:tcPr>
            <w:tcW w:w="3016" w:type="dxa"/>
            <w:tcBorders>
              <w:left w:val="double" w:sz="4" w:space="0" w:color="auto"/>
              <w:right w:val="double" w:sz="4" w:space="0" w:color="auto"/>
            </w:tcBorders>
            <w:shd w:val="clear" w:color="auto" w:fill="auto"/>
          </w:tcPr>
          <w:p w14:paraId="7D03BE53" w14:textId="77777777" w:rsidR="00E46888" w:rsidRPr="00A7652E" w:rsidRDefault="009E7C21" w:rsidP="00B46845">
            <w:pPr>
              <w:jc w:val="center"/>
              <w:rPr>
                <w:rFonts w:eastAsia="Calibri"/>
                <w:sz w:val="20"/>
                <w:szCs w:val="20"/>
              </w:rPr>
            </w:pPr>
            <w:r w:rsidRPr="00A7652E">
              <w:rPr>
                <w:rFonts w:eastAsia="Calibri"/>
                <w:sz w:val="20"/>
                <w:szCs w:val="20"/>
              </w:rPr>
              <w:t>Saistītie lietotāji</w:t>
            </w:r>
          </w:p>
        </w:tc>
        <w:tc>
          <w:tcPr>
            <w:tcW w:w="3016" w:type="dxa"/>
            <w:tcBorders>
              <w:left w:val="double" w:sz="4" w:space="0" w:color="auto"/>
              <w:right w:val="double" w:sz="4" w:space="0" w:color="auto"/>
            </w:tcBorders>
            <w:shd w:val="clear" w:color="auto" w:fill="auto"/>
          </w:tcPr>
          <w:p w14:paraId="13A95FA8"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2298</w:t>
            </w:r>
          </w:p>
        </w:tc>
        <w:tc>
          <w:tcPr>
            <w:tcW w:w="3016" w:type="dxa"/>
            <w:tcBorders>
              <w:left w:val="double" w:sz="4" w:space="0" w:color="auto"/>
              <w:right w:val="double" w:sz="4" w:space="0" w:color="auto"/>
            </w:tcBorders>
            <w:shd w:val="clear" w:color="auto" w:fill="auto"/>
          </w:tcPr>
          <w:p w14:paraId="63C759EA"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1318</w:t>
            </w:r>
          </w:p>
        </w:tc>
      </w:tr>
      <w:tr w:rsidR="003C6AB7" w14:paraId="0987823A" w14:textId="77777777" w:rsidTr="00B46845">
        <w:tc>
          <w:tcPr>
            <w:tcW w:w="3016" w:type="dxa"/>
            <w:tcBorders>
              <w:left w:val="double" w:sz="4" w:space="0" w:color="auto"/>
              <w:bottom w:val="double" w:sz="4" w:space="0" w:color="auto"/>
              <w:right w:val="double" w:sz="4" w:space="0" w:color="auto"/>
            </w:tcBorders>
            <w:shd w:val="clear" w:color="auto" w:fill="auto"/>
          </w:tcPr>
          <w:p w14:paraId="06A1B5F1" w14:textId="77777777" w:rsidR="00E46888" w:rsidRPr="00A7652E" w:rsidRDefault="009E7C21" w:rsidP="00B46845">
            <w:pPr>
              <w:jc w:val="center"/>
              <w:rPr>
                <w:rFonts w:eastAsia="Calibri"/>
                <w:sz w:val="20"/>
                <w:szCs w:val="20"/>
              </w:rPr>
            </w:pPr>
            <w:r w:rsidRPr="00A7652E">
              <w:rPr>
                <w:rFonts w:eastAsia="Calibri"/>
                <w:sz w:val="20"/>
                <w:szCs w:val="20"/>
              </w:rPr>
              <w:t>Tirgus dalībnieki</w:t>
            </w:r>
          </w:p>
        </w:tc>
        <w:tc>
          <w:tcPr>
            <w:tcW w:w="3016" w:type="dxa"/>
            <w:tcBorders>
              <w:left w:val="double" w:sz="4" w:space="0" w:color="auto"/>
              <w:bottom w:val="double" w:sz="4" w:space="0" w:color="auto"/>
              <w:right w:val="double" w:sz="4" w:space="0" w:color="auto"/>
            </w:tcBorders>
            <w:shd w:val="clear" w:color="auto" w:fill="auto"/>
          </w:tcPr>
          <w:p w14:paraId="04CDA344"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427</w:t>
            </w:r>
          </w:p>
        </w:tc>
        <w:tc>
          <w:tcPr>
            <w:tcW w:w="3016" w:type="dxa"/>
            <w:tcBorders>
              <w:left w:val="double" w:sz="4" w:space="0" w:color="auto"/>
              <w:bottom w:val="double" w:sz="4" w:space="0" w:color="auto"/>
              <w:right w:val="double" w:sz="4" w:space="0" w:color="auto"/>
            </w:tcBorders>
            <w:shd w:val="clear" w:color="auto" w:fill="auto"/>
          </w:tcPr>
          <w:p w14:paraId="5FFD0A78"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72</w:t>
            </w:r>
          </w:p>
        </w:tc>
      </w:tr>
      <w:tr w:rsidR="003C6AB7" w14:paraId="30D39E75" w14:textId="77777777" w:rsidTr="00B46845">
        <w:tc>
          <w:tcPr>
            <w:tcW w:w="3016" w:type="dxa"/>
            <w:tcBorders>
              <w:top w:val="double" w:sz="4" w:space="0" w:color="auto"/>
              <w:left w:val="double" w:sz="4" w:space="0" w:color="auto"/>
              <w:right w:val="double" w:sz="4" w:space="0" w:color="auto"/>
            </w:tcBorders>
            <w:shd w:val="clear" w:color="auto" w:fill="auto"/>
          </w:tcPr>
          <w:p w14:paraId="2E9B9C60"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22CAD649"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5A8B65F7"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3C6AB7" w14:paraId="63DACC1E" w14:textId="77777777" w:rsidTr="00B46845">
        <w:tc>
          <w:tcPr>
            <w:tcW w:w="3016" w:type="dxa"/>
            <w:tcBorders>
              <w:left w:val="double" w:sz="4" w:space="0" w:color="auto"/>
              <w:right w:val="double" w:sz="4" w:space="0" w:color="auto"/>
            </w:tcBorders>
            <w:shd w:val="clear" w:color="auto" w:fill="auto"/>
          </w:tcPr>
          <w:p w14:paraId="4172AD4B"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b/>
                <w:sz w:val="20"/>
                <w:szCs w:val="20"/>
                <w:lang w:val="lv-LV"/>
              </w:rPr>
              <w:t>2020.gads</w:t>
            </w:r>
            <w:r w:rsidRPr="00A7652E">
              <w:rPr>
                <w:rFonts w:ascii="Times New Roman" w:hAnsi="Times New Roman" w:cs="Times New Roman"/>
                <w:sz w:val="20"/>
                <w:szCs w:val="20"/>
                <w:lang w:val="lv-LV"/>
              </w:rPr>
              <w:t>:</w:t>
            </w:r>
          </w:p>
        </w:tc>
        <w:tc>
          <w:tcPr>
            <w:tcW w:w="3016" w:type="dxa"/>
            <w:tcBorders>
              <w:left w:val="double" w:sz="4" w:space="0" w:color="auto"/>
              <w:right w:val="double" w:sz="4" w:space="0" w:color="auto"/>
            </w:tcBorders>
            <w:shd w:val="clear" w:color="auto" w:fill="auto"/>
          </w:tcPr>
          <w:p w14:paraId="676EF853"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left w:val="double" w:sz="4" w:space="0" w:color="auto"/>
              <w:right w:val="double" w:sz="4" w:space="0" w:color="auto"/>
            </w:tcBorders>
            <w:shd w:val="clear" w:color="auto" w:fill="auto"/>
          </w:tcPr>
          <w:p w14:paraId="27397F71" w14:textId="77777777" w:rsidR="00E46888" w:rsidRPr="00A7652E" w:rsidRDefault="00E46888"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3C6AB7" w14:paraId="0F12EB63" w14:textId="77777777" w:rsidTr="00B46845">
        <w:tc>
          <w:tcPr>
            <w:tcW w:w="3016" w:type="dxa"/>
            <w:tcBorders>
              <w:left w:val="double" w:sz="4" w:space="0" w:color="auto"/>
              <w:right w:val="double" w:sz="4" w:space="0" w:color="auto"/>
            </w:tcBorders>
            <w:shd w:val="clear" w:color="auto" w:fill="auto"/>
          </w:tcPr>
          <w:p w14:paraId="5BD59255" w14:textId="77777777" w:rsidR="00E46888" w:rsidRPr="00A7652E" w:rsidRDefault="009E7C21" w:rsidP="00B46845">
            <w:pPr>
              <w:jc w:val="center"/>
              <w:rPr>
                <w:rFonts w:eastAsia="Calibri"/>
                <w:sz w:val="20"/>
                <w:szCs w:val="20"/>
              </w:rPr>
            </w:pPr>
            <w:r w:rsidRPr="00A7652E">
              <w:rPr>
                <w:rFonts w:eastAsia="Calibri"/>
                <w:sz w:val="20"/>
                <w:szCs w:val="20"/>
              </w:rPr>
              <w:t>Saistītie lietotāji</w:t>
            </w:r>
          </w:p>
        </w:tc>
        <w:tc>
          <w:tcPr>
            <w:tcW w:w="3016" w:type="dxa"/>
            <w:tcBorders>
              <w:left w:val="double" w:sz="4" w:space="0" w:color="auto"/>
              <w:right w:val="double" w:sz="4" w:space="0" w:color="auto"/>
            </w:tcBorders>
            <w:shd w:val="clear" w:color="auto" w:fill="auto"/>
          </w:tcPr>
          <w:p w14:paraId="2B5BB540"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2364</w:t>
            </w:r>
          </w:p>
        </w:tc>
        <w:tc>
          <w:tcPr>
            <w:tcW w:w="3016" w:type="dxa"/>
            <w:tcBorders>
              <w:left w:val="double" w:sz="4" w:space="0" w:color="auto"/>
              <w:right w:val="double" w:sz="4" w:space="0" w:color="auto"/>
            </w:tcBorders>
            <w:shd w:val="clear" w:color="auto" w:fill="auto"/>
          </w:tcPr>
          <w:p w14:paraId="78452114"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1051</w:t>
            </w:r>
          </w:p>
        </w:tc>
      </w:tr>
      <w:tr w:rsidR="003C6AB7" w14:paraId="397534BD" w14:textId="77777777" w:rsidTr="00B46845">
        <w:tc>
          <w:tcPr>
            <w:tcW w:w="3016" w:type="dxa"/>
            <w:tcBorders>
              <w:left w:val="double" w:sz="4" w:space="0" w:color="auto"/>
              <w:bottom w:val="double" w:sz="4" w:space="0" w:color="auto"/>
              <w:right w:val="double" w:sz="4" w:space="0" w:color="auto"/>
            </w:tcBorders>
            <w:shd w:val="clear" w:color="auto" w:fill="auto"/>
          </w:tcPr>
          <w:p w14:paraId="63DCF6D3" w14:textId="77777777" w:rsidR="00E46888" w:rsidRPr="00A7652E" w:rsidRDefault="009E7C21" w:rsidP="00B46845">
            <w:pPr>
              <w:jc w:val="center"/>
              <w:rPr>
                <w:rFonts w:eastAsia="Calibri"/>
                <w:sz w:val="20"/>
                <w:szCs w:val="20"/>
              </w:rPr>
            </w:pPr>
            <w:r w:rsidRPr="00A7652E">
              <w:rPr>
                <w:rFonts w:eastAsia="Calibri"/>
                <w:sz w:val="20"/>
                <w:szCs w:val="20"/>
              </w:rPr>
              <w:t>Tirgus dalībnieki</w:t>
            </w:r>
          </w:p>
        </w:tc>
        <w:tc>
          <w:tcPr>
            <w:tcW w:w="3016" w:type="dxa"/>
            <w:tcBorders>
              <w:left w:val="double" w:sz="4" w:space="0" w:color="auto"/>
              <w:bottom w:val="double" w:sz="4" w:space="0" w:color="auto"/>
              <w:right w:val="double" w:sz="4" w:space="0" w:color="auto"/>
            </w:tcBorders>
            <w:shd w:val="clear" w:color="auto" w:fill="auto"/>
          </w:tcPr>
          <w:p w14:paraId="2EF5EFE5"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512</w:t>
            </w:r>
          </w:p>
        </w:tc>
        <w:tc>
          <w:tcPr>
            <w:tcW w:w="3016" w:type="dxa"/>
            <w:tcBorders>
              <w:left w:val="double" w:sz="4" w:space="0" w:color="auto"/>
              <w:bottom w:val="double" w:sz="4" w:space="0" w:color="auto"/>
              <w:right w:val="double" w:sz="4" w:space="0" w:color="auto"/>
            </w:tcBorders>
            <w:shd w:val="clear" w:color="auto" w:fill="auto"/>
          </w:tcPr>
          <w:p w14:paraId="2C00E59B" w14:textId="77777777" w:rsidR="00E46888" w:rsidRPr="00A7652E" w:rsidRDefault="009E7C21" w:rsidP="00B46845">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120</w:t>
            </w:r>
          </w:p>
        </w:tc>
      </w:tr>
    </w:tbl>
    <w:p w14:paraId="607510CC" w14:textId="77777777" w:rsidR="00E46888" w:rsidRDefault="00E46888" w:rsidP="00E46888">
      <w:pPr>
        <w:pStyle w:val="Default"/>
        <w:ind w:firstLine="720"/>
        <w:jc w:val="both"/>
        <w:rPr>
          <w:rFonts w:ascii="Times New Roman" w:hAnsi="Times New Roman" w:cs="Times New Roman"/>
          <w:sz w:val="24"/>
          <w:szCs w:val="24"/>
          <w:lang w:val="lv-LV"/>
        </w:rPr>
      </w:pPr>
    </w:p>
    <w:p w14:paraId="06124FA9" w14:textId="77777777" w:rsidR="00E46888" w:rsidRDefault="009E7C21" w:rsidP="00E46888">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Vairākos objektos dabasgāzes piegādes pārtraukšanu nav izdevies realizēt līdz pat </w:t>
      </w:r>
      <w:r>
        <w:rPr>
          <w:rFonts w:ascii="Times New Roman" w:hAnsi="Times New Roman" w:cs="Times New Roman"/>
          <w:sz w:val="24"/>
          <w:szCs w:val="24"/>
          <w:lang w:val="lv-LV"/>
        </w:rPr>
        <w:t>šim laikam.</w:t>
      </w:r>
    </w:p>
    <w:p w14:paraId="0786A8F1" w14:textId="77777777" w:rsidR="00E46888" w:rsidRDefault="009E7C21" w:rsidP="00E46888">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Papildus vēršam uzmanību uz to, ka dabasgāzes tirgotājs uzdot uzdevumu par klienta atslēgšanu gadījumos, kad tiek izbeigts dabasgāzes tirdzniecības līgums vai dabasgāzes lietotājam ir izveidojies ievērojams parāds par izlietotu dabasgāzi un lie</w:t>
      </w:r>
      <w:r>
        <w:rPr>
          <w:rFonts w:ascii="Times New Roman" w:hAnsi="Times New Roman" w:cs="Times New Roman"/>
          <w:sz w:val="24"/>
          <w:szCs w:val="24"/>
          <w:lang w:val="lv-LV"/>
        </w:rPr>
        <w:t xml:space="preserve">totājs ignorē tirgotāja brīdinājumus par nepieciešamību sakārtot parādsaistības. Bieži vien statistikā atspoguļotie klienti ir ne tikai ļaunprātīgie parādu nemaksātāji, bet arī tehniski neapkoptās, neatbilstošas vai pat paštaisīto gāzes iekārtu lietotāji, </w:t>
      </w:r>
      <w:r>
        <w:rPr>
          <w:rFonts w:ascii="Times New Roman" w:hAnsi="Times New Roman" w:cs="Times New Roman"/>
          <w:sz w:val="24"/>
          <w:szCs w:val="24"/>
          <w:lang w:val="lv-LV"/>
        </w:rPr>
        <w:t>kā arī paštaisīto pieslēgumu ierīkotāji. Šādu iekārtu lietošana vai pieslēgumu izmantošana ir bīstama ne tikai pašam gāzes lietotājam, bet arī blakus esošo dzīvokļu iedzīvotāju dzīvībai, veselībai un īpašumam, jo kā ir zināms dabasgāze ir sprādzienbīstama.</w:t>
      </w:r>
      <w:r>
        <w:rPr>
          <w:rFonts w:ascii="Times New Roman" w:hAnsi="Times New Roman" w:cs="Times New Roman"/>
          <w:sz w:val="24"/>
          <w:szCs w:val="24"/>
          <w:lang w:val="lv-LV"/>
        </w:rPr>
        <w:t xml:space="preserve"> Eksplozijai ir pietiekami ar 3-15% dabasgāzes koncentrācijas gaisā. Uzskatāma informācija par dabasgāzes sprādziena sekām ir pieejama interneta tīmekļa vietnēs un ir lieki atgādināt, ka tās lielākoties ir ievērojamas un atsevišķos gadījumos arī traģiskas.</w:t>
      </w:r>
      <w:r>
        <w:rPr>
          <w:rFonts w:ascii="Times New Roman" w:hAnsi="Times New Roman" w:cs="Times New Roman"/>
          <w:sz w:val="24"/>
          <w:szCs w:val="24"/>
          <w:lang w:val="lv-LV"/>
        </w:rPr>
        <w:t xml:space="preserve"> Piemēram, 2018.gadā patvaļīgas dabasgāzes pieslēguma ierīkošanas dēļ notika dabasgāzes sprādziens daudzdzīvokļu mājas dzīvoklī (Pērnavas iela 37. “a” – 53, Rīgā), diemžēl ar letālu iznākumu. Nepieciešams atzīmēt, ka Gaso jau pirms iepriekš minētā sprādzie</w:t>
      </w:r>
      <w:r>
        <w:rPr>
          <w:rFonts w:ascii="Times New Roman" w:hAnsi="Times New Roman" w:cs="Times New Roman"/>
          <w:sz w:val="24"/>
          <w:szCs w:val="24"/>
          <w:lang w:val="lv-LV"/>
        </w:rPr>
        <w:t>na konstatēja prettiesisku gāzes lietošanu objektā, bet nespēja atslēgt dabasgāzes piegādi, jo Gaso darbinieki netika ielaisti attiecīgajā dzīvoklī. Problēmas risināšanai Gaso pat oficiāli ir vērsusies pie daudzīvokļu mājas īpašnieka - Rīgas domes, bet arī</w:t>
      </w:r>
      <w:r>
        <w:rPr>
          <w:rFonts w:ascii="Times New Roman" w:hAnsi="Times New Roman" w:cs="Times New Roman"/>
          <w:sz w:val="24"/>
          <w:szCs w:val="24"/>
          <w:lang w:val="lv-LV"/>
        </w:rPr>
        <w:t xml:space="preserve"> tas nebija efektīvs un pietiekams traģēdijas novēršanai.</w:t>
      </w:r>
    </w:p>
    <w:p w14:paraId="540BCEE9" w14:textId="77777777" w:rsidR="00E46888" w:rsidRDefault="009E7C21" w:rsidP="00E46888">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Ievērojot iepriekš aprakstītos apstākļus, Gaso uzskata, ka negodprātīgo dabasgāzes lietotāju mājokļa neaizskaramības tiesības ierobežošanu par samērīgu un atbilstošu Latvijas Republikas Satversmei u</w:t>
      </w:r>
      <w:r>
        <w:rPr>
          <w:rFonts w:ascii="Times New Roman" w:hAnsi="Times New Roman" w:cs="Times New Roman"/>
          <w:sz w:val="24"/>
          <w:szCs w:val="24"/>
          <w:lang w:val="lv-LV"/>
        </w:rPr>
        <w:t>n sabiedrības interesēm. Turklāt, Gaso piedāvātā regulējuma piemērošanai nenoliedzami būtu kritiskās nepieciešamības raksturs un tas netiktu izmantots ikdienā. Līdz ar to aicinām atgriezt atpakaļ likumprojektā, regulējumu par sadales sistēmas operatora tie</w:t>
      </w:r>
      <w:r>
        <w:rPr>
          <w:rFonts w:ascii="Times New Roman" w:hAnsi="Times New Roman" w:cs="Times New Roman"/>
          <w:sz w:val="24"/>
          <w:szCs w:val="24"/>
          <w:lang w:val="lv-LV"/>
        </w:rPr>
        <w:t>sību pie attiecīgiem apstākļiem iekļūt gazificētajā objektā pret objekta īpašnieka vai valdītāja gribu.”.</w:t>
      </w:r>
    </w:p>
    <w:p w14:paraId="640DA4AC" w14:textId="77777777" w:rsidR="00064AA3" w:rsidRPr="00E46888" w:rsidRDefault="00064AA3" w:rsidP="00064AA3">
      <w:pPr>
        <w:pStyle w:val="Default"/>
        <w:jc w:val="both"/>
        <w:rPr>
          <w:rFonts w:ascii="Times New Roman" w:hAnsi="Times New Roman" w:cs="Times New Roman"/>
          <w:sz w:val="24"/>
          <w:szCs w:val="24"/>
          <w:lang w:val="lv-LV"/>
        </w:rPr>
      </w:pPr>
    </w:p>
    <w:p w14:paraId="7A734721" w14:textId="77777777" w:rsidR="00064AA3" w:rsidRDefault="00064AA3" w:rsidP="00064AA3">
      <w:pPr>
        <w:pStyle w:val="BodyB"/>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65"/>
      </w:tblGrid>
      <w:tr w:rsidR="003C6AB7" w14:paraId="776A43A3" w14:textId="77777777" w:rsidTr="00CF1CEA">
        <w:tc>
          <w:tcPr>
            <w:tcW w:w="4957" w:type="dxa"/>
            <w:hideMark/>
          </w:tcPr>
          <w:p w14:paraId="337CA55D" w14:textId="77777777" w:rsidR="00064AA3" w:rsidRDefault="009E7C21" w:rsidP="00CF1CEA">
            <w:pPr>
              <w:pStyle w:val="BodyB"/>
              <w:ind w:left="-100"/>
              <w:rPr>
                <w:rFonts w:cs="Times New Roman"/>
              </w:rPr>
            </w:pPr>
            <w:r>
              <w:rPr>
                <w:rFonts w:cs="Times New Roman"/>
              </w:rPr>
              <w:t>Komercpilnvarniece</w:t>
            </w:r>
          </w:p>
          <w:p w14:paraId="4FE0BBAC" w14:textId="77777777" w:rsidR="00064AA3" w:rsidRDefault="009E7C21" w:rsidP="00CF1CEA">
            <w:pPr>
              <w:pStyle w:val="BodyB"/>
              <w:ind w:left="-100"/>
              <w:rPr>
                <w:rFonts w:cs="Times New Roman"/>
              </w:rPr>
            </w:pPr>
            <w:r>
              <w:rPr>
                <w:rFonts w:cs="Times New Roman"/>
                <w:noProof/>
              </w:rPr>
              <w:t>Valdes priekšsēdētāja</w:t>
            </w:r>
          </w:p>
        </w:tc>
        <w:tc>
          <w:tcPr>
            <w:tcW w:w="4665" w:type="dxa"/>
          </w:tcPr>
          <w:p w14:paraId="7B8C9BFC" w14:textId="77777777" w:rsidR="00064AA3" w:rsidRDefault="00064AA3" w:rsidP="00CF1CEA">
            <w:pPr>
              <w:pStyle w:val="BodyB"/>
              <w:jc w:val="right"/>
              <w:rPr>
                <w:rFonts w:cs="Times New Roman"/>
              </w:rPr>
            </w:pPr>
          </w:p>
          <w:p w14:paraId="5C48FEF7" w14:textId="77777777" w:rsidR="00064AA3" w:rsidRDefault="009E7C21" w:rsidP="00CF1CEA">
            <w:pPr>
              <w:pStyle w:val="BodyB"/>
              <w:jc w:val="right"/>
              <w:rPr>
                <w:rFonts w:cs="Times New Roman"/>
              </w:rPr>
            </w:pPr>
            <w:r>
              <w:rPr>
                <w:rFonts w:cs="Times New Roman"/>
                <w:noProof/>
              </w:rPr>
              <w:t>Ilze Pētersone-Godmane</w:t>
            </w:r>
          </w:p>
        </w:tc>
      </w:tr>
      <w:tr w:rsidR="003C6AB7" w14:paraId="2EFFFC9B" w14:textId="77777777" w:rsidTr="00CF1CEA">
        <w:tc>
          <w:tcPr>
            <w:tcW w:w="4957" w:type="dxa"/>
          </w:tcPr>
          <w:p w14:paraId="42B1B25C" w14:textId="77777777" w:rsidR="00064AA3" w:rsidRDefault="00064AA3" w:rsidP="00CF1CEA">
            <w:pPr>
              <w:pStyle w:val="BodyB"/>
              <w:rPr>
                <w:rFonts w:ascii="Calibri" w:hAnsi="Calibri" w:cs="Times New Roman"/>
              </w:rPr>
            </w:pPr>
          </w:p>
        </w:tc>
        <w:tc>
          <w:tcPr>
            <w:tcW w:w="4665" w:type="dxa"/>
          </w:tcPr>
          <w:p w14:paraId="36144DDC" w14:textId="77777777" w:rsidR="00064AA3" w:rsidRDefault="00064AA3" w:rsidP="00CF1CEA">
            <w:pPr>
              <w:pStyle w:val="BodyB"/>
              <w:jc w:val="right"/>
              <w:rPr>
                <w:rFonts w:cs="Times New Roman"/>
              </w:rPr>
            </w:pPr>
          </w:p>
          <w:p w14:paraId="43FBD3FA" w14:textId="77777777" w:rsidR="00064AA3" w:rsidRDefault="00064AA3" w:rsidP="00CF1CEA">
            <w:pPr>
              <w:pStyle w:val="BodyB"/>
              <w:jc w:val="right"/>
              <w:rPr>
                <w:rFonts w:cs="Times New Roman"/>
              </w:rPr>
            </w:pPr>
          </w:p>
        </w:tc>
      </w:tr>
      <w:tr w:rsidR="003C6AB7" w14:paraId="530A0506" w14:textId="77777777" w:rsidTr="00CF1CEA">
        <w:tc>
          <w:tcPr>
            <w:tcW w:w="9622" w:type="dxa"/>
            <w:gridSpan w:val="2"/>
          </w:tcPr>
          <w:p w14:paraId="2D8A9788" w14:textId="77777777" w:rsidR="00064AA3" w:rsidRDefault="009E7C21" w:rsidP="00CF1CEA">
            <w:pPr>
              <w:pStyle w:val="BodyB"/>
              <w:jc w:val="center"/>
              <w:rPr>
                <w:rFonts w:cs="Times New Roman"/>
                <w:sz w:val="20"/>
                <w:szCs w:val="20"/>
              </w:rPr>
            </w:pPr>
            <w:r>
              <w:rPr>
                <w:rFonts w:cs="Times New Roman"/>
                <w:sz w:val="20"/>
                <w:szCs w:val="20"/>
              </w:rPr>
              <w:t xml:space="preserve">DOKUMENTS PARAKSTĪTS AR DROŠU ELEKTRONISKO PARAKSTU UN SATUR LAIKA </w:t>
            </w:r>
            <w:r>
              <w:rPr>
                <w:rFonts w:cs="Times New Roman"/>
                <w:sz w:val="20"/>
                <w:szCs w:val="20"/>
              </w:rPr>
              <w:t>ZĪMOGU</w:t>
            </w:r>
          </w:p>
          <w:p w14:paraId="38E4125A" w14:textId="77777777" w:rsidR="00064AA3" w:rsidRDefault="00064AA3" w:rsidP="00CF1CEA">
            <w:pPr>
              <w:pStyle w:val="BodyB"/>
              <w:jc w:val="center"/>
              <w:rPr>
                <w:rFonts w:ascii="Calibri" w:hAnsi="Calibri" w:cs="Times New Roman"/>
              </w:rPr>
            </w:pPr>
          </w:p>
          <w:p w14:paraId="20A0C749" w14:textId="77777777" w:rsidR="00064AA3" w:rsidRDefault="00064AA3" w:rsidP="00CF1CEA">
            <w:pPr>
              <w:pStyle w:val="BodyB"/>
              <w:rPr>
                <w:rFonts w:ascii="Calibri" w:hAnsi="Calibri" w:cs="Times New Roman"/>
              </w:rPr>
            </w:pPr>
          </w:p>
        </w:tc>
      </w:tr>
      <w:tr w:rsidR="003C6AB7" w14:paraId="4EB05C5E" w14:textId="77777777" w:rsidTr="00CF1CEA">
        <w:tc>
          <w:tcPr>
            <w:tcW w:w="9622" w:type="dxa"/>
            <w:gridSpan w:val="2"/>
          </w:tcPr>
          <w:p w14:paraId="426F9849" w14:textId="77777777" w:rsidR="00064AA3" w:rsidRDefault="009E7C21" w:rsidP="00CF1CEA">
            <w:pPr>
              <w:pStyle w:val="BodyB"/>
              <w:ind w:left="-100"/>
              <w:jc w:val="both"/>
              <w:rPr>
                <w:rFonts w:cs="Times New Roman"/>
                <w:sz w:val="20"/>
                <w:szCs w:val="20"/>
              </w:rPr>
            </w:pPr>
            <w:r>
              <w:rPr>
                <w:rFonts w:cs="Times New Roman"/>
                <w:noProof/>
                <w:sz w:val="20"/>
                <w:szCs w:val="20"/>
              </w:rPr>
              <w:t>Andris Lācis</w:t>
            </w:r>
            <w:r>
              <w:rPr>
                <w:rFonts w:cs="Times New Roman"/>
                <w:sz w:val="20"/>
                <w:szCs w:val="20"/>
              </w:rPr>
              <w:t xml:space="preserve"> </w:t>
            </w:r>
            <w:r>
              <w:rPr>
                <w:rFonts w:cs="Times New Roman"/>
                <w:noProof/>
                <w:sz w:val="20"/>
                <w:szCs w:val="20"/>
              </w:rPr>
              <w:t>67041653</w:t>
            </w:r>
          </w:p>
          <w:p w14:paraId="4E3211F1" w14:textId="77777777" w:rsidR="00064AA3" w:rsidRDefault="009E7C21" w:rsidP="00CF1CEA">
            <w:pPr>
              <w:pStyle w:val="BodyB"/>
              <w:ind w:left="-100"/>
              <w:jc w:val="both"/>
              <w:rPr>
                <w:rFonts w:cs="Times New Roman"/>
                <w:sz w:val="20"/>
                <w:szCs w:val="20"/>
              </w:rPr>
            </w:pPr>
            <w:r>
              <w:rPr>
                <w:rFonts w:cs="Times New Roman"/>
                <w:noProof/>
                <w:sz w:val="20"/>
                <w:szCs w:val="20"/>
              </w:rPr>
              <w:t>Andris.Lacis@gaso.lv</w:t>
            </w:r>
          </w:p>
          <w:p w14:paraId="71E73A31" w14:textId="77777777" w:rsidR="00064AA3" w:rsidRDefault="00064AA3" w:rsidP="00CF1CEA">
            <w:pPr>
              <w:pStyle w:val="BodyB"/>
              <w:rPr>
                <w:rFonts w:ascii="Calibri" w:hAnsi="Calibri" w:cs="Times New Roman"/>
                <w:sz w:val="16"/>
                <w:szCs w:val="16"/>
              </w:rPr>
            </w:pPr>
          </w:p>
        </w:tc>
      </w:tr>
    </w:tbl>
    <w:p w14:paraId="5ED451A5" w14:textId="77777777" w:rsidR="00B93D45" w:rsidRPr="00B93D45" w:rsidRDefault="00B93D45" w:rsidP="00B93D45">
      <w:pPr>
        <w:rPr>
          <w:lang w:val="lv-LV"/>
        </w:rPr>
      </w:pPr>
    </w:p>
    <w:sectPr w:rsidR="00B93D45" w:rsidRPr="00B93D45" w:rsidSect="00B93D45">
      <w:headerReference w:type="first" r:id="rId7"/>
      <w:pgSz w:w="11900" w:h="16840" w:code="9"/>
      <w:pgMar w:top="1134" w:right="1134" w:bottom="1134"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8D936" w14:textId="77777777" w:rsidR="00000000" w:rsidRDefault="009E7C21">
      <w:r>
        <w:separator/>
      </w:r>
    </w:p>
  </w:endnote>
  <w:endnote w:type="continuationSeparator" w:id="0">
    <w:p w14:paraId="2511FEAA" w14:textId="77777777" w:rsidR="00000000" w:rsidRDefault="009E7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BA"/>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D1C6F" w14:textId="77777777" w:rsidR="00000000" w:rsidRDefault="009E7C21">
      <w:r>
        <w:separator/>
      </w:r>
    </w:p>
  </w:footnote>
  <w:footnote w:type="continuationSeparator" w:id="0">
    <w:p w14:paraId="7E94738E" w14:textId="77777777" w:rsidR="00000000" w:rsidRDefault="009E7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114FA" w14:textId="77777777" w:rsidR="000064DB" w:rsidRDefault="009E7C21">
    <w:pPr>
      <w:pStyle w:val="Header"/>
    </w:pPr>
    <w:r>
      <w:rPr>
        <w:noProof/>
      </w:rPr>
      <w:drawing>
        <wp:anchor distT="0" distB="0" distL="114300" distR="114300" simplePos="0" relativeHeight="251658240" behindDoc="1" locked="1" layoutInCell="1" allowOverlap="1" wp14:anchorId="6D1C6B53" wp14:editId="764E4430">
          <wp:simplePos x="0" y="0"/>
          <wp:positionH relativeFrom="page">
            <wp:align>center</wp:align>
          </wp:positionH>
          <wp:positionV relativeFrom="page">
            <wp:align>top</wp:align>
          </wp:positionV>
          <wp:extent cx="7553325" cy="1543050"/>
          <wp:effectExtent l="0" t="0" r="0" b="0"/>
          <wp:wrapNone/>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2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59"/>
    <w:rsid w:val="000064DB"/>
    <w:rsid w:val="000607D7"/>
    <w:rsid w:val="00064AA3"/>
    <w:rsid w:val="0006782B"/>
    <w:rsid w:val="000D5744"/>
    <w:rsid w:val="000F3A83"/>
    <w:rsid w:val="001245A9"/>
    <w:rsid w:val="001359CE"/>
    <w:rsid w:val="00185C88"/>
    <w:rsid w:val="00255B51"/>
    <w:rsid w:val="002F7DA5"/>
    <w:rsid w:val="003C6AB7"/>
    <w:rsid w:val="00434A90"/>
    <w:rsid w:val="00443681"/>
    <w:rsid w:val="004D7BAD"/>
    <w:rsid w:val="005B237C"/>
    <w:rsid w:val="006A1FBD"/>
    <w:rsid w:val="006B66B8"/>
    <w:rsid w:val="006D612C"/>
    <w:rsid w:val="0075154F"/>
    <w:rsid w:val="007838F3"/>
    <w:rsid w:val="008454CF"/>
    <w:rsid w:val="00847D9F"/>
    <w:rsid w:val="00861259"/>
    <w:rsid w:val="008D64EC"/>
    <w:rsid w:val="009204D2"/>
    <w:rsid w:val="009B2F7D"/>
    <w:rsid w:val="009E7C21"/>
    <w:rsid w:val="00A37887"/>
    <w:rsid w:val="00A7652E"/>
    <w:rsid w:val="00B46845"/>
    <w:rsid w:val="00B75E00"/>
    <w:rsid w:val="00B93D45"/>
    <w:rsid w:val="00BA3CFF"/>
    <w:rsid w:val="00C121FB"/>
    <w:rsid w:val="00C713D3"/>
    <w:rsid w:val="00CD67FB"/>
    <w:rsid w:val="00CF1CEA"/>
    <w:rsid w:val="00E11AAE"/>
    <w:rsid w:val="00E33839"/>
    <w:rsid w:val="00E46888"/>
    <w:rsid w:val="00E62468"/>
    <w:rsid w:val="00F57C92"/>
    <w:rsid w:val="00FC5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6286E"/>
  <w15:chartTrackingRefBased/>
  <w15:docId w15:val="{4E9BCFAB-10C6-4C27-ABE2-3616A384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61259"/>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245A9"/>
    <w:rPr>
      <w:rFonts w:ascii="Lucida Grande" w:hAnsi="Lucida Grande" w:cs="Lucida Grande"/>
      <w:sz w:val="18"/>
      <w:szCs w:val="18"/>
    </w:rPr>
  </w:style>
  <w:style w:type="character" w:customStyle="1" w:styleId="BalloonTextChar">
    <w:name w:val="Balloon Text Char"/>
    <w:basedOn w:val="DefaultParagraphFont"/>
    <w:link w:val="BalloonText"/>
    <w:semiHidden/>
    <w:rsid w:val="001245A9"/>
    <w:rPr>
      <w:rFonts w:ascii="Lucida Grande" w:hAnsi="Lucida Grande" w:cs="Lucida Grande"/>
      <w:sz w:val="18"/>
      <w:szCs w:val="18"/>
    </w:rPr>
  </w:style>
  <w:style w:type="paragraph" w:styleId="Header">
    <w:name w:val="header"/>
    <w:basedOn w:val="Normal"/>
    <w:link w:val="HeaderChar"/>
    <w:rsid w:val="00C713D3"/>
    <w:pPr>
      <w:tabs>
        <w:tab w:val="center" w:pos="4320"/>
        <w:tab w:val="right" w:pos="8640"/>
      </w:tabs>
    </w:pPr>
  </w:style>
  <w:style w:type="character" w:customStyle="1" w:styleId="HeaderChar">
    <w:name w:val="Header Char"/>
    <w:basedOn w:val="DefaultParagraphFont"/>
    <w:link w:val="Header"/>
    <w:rsid w:val="00C713D3"/>
    <w:rPr>
      <w:rFonts w:cs="Times New Roman"/>
    </w:rPr>
  </w:style>
  <w:style w:type="paragraph" w:styleId="Footer">
    <w:name w:val="footer"/>
    <w:basedOn w:val="Normal"/>
    <w:link w:val="FooterChar"/>
    <w:rsid w:val="00C713D3"/>
    <w:pPr>
      <w:tabs>
        <w:tab w:val="center" w:pos="4320"/>
        <w:tab w:val="right" w:pos="8640"/>
      </w:tabs>
    </w:pPr>
  </w:style>
  <w:style w:type="character" w:customStyle="1" w:styleId="FooterChar">
    <w:name w:val="Footer Char"/>
    <w:basedOn w:val="DefaultParagraphFont"/>
    <w:link w:val="Footer"/>
    <w:rsid w:val="00C713D3"/>
    <w:rPr>
      <w:rFonts w:cs="Times New Roman"/>
    </w:rPr>
  </w:style>
  <w:style w:type="paragraph" w:customStyle="1" w:styleId="BodyB">
    <w:name w:val="Body B"/>
    <w:rsid w:val="0086125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lv-LV" w:eastAsia="lv-LV"/>
    </w:rPr>
  </w:style>
  <w:style w:type="paragraph" w:customStyle="1" w:styleId="Default">
    <w:name w:val="Default"/>
    <w:rsid w:val="00861259"/>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eastAsia="lv-LV"/>
    </w:rPr>
  </w:style>
  <w:style w:type="table" w:styleId="TableGrid">
    <w:name w:val="Table Grid"/>
    <w:basedOn w:val="TableNormal"/>
    <w:uiPriority w:val="39"/>
    <w:rsid w:val="00064AA3"/>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6888"/>
    <w:rPr>
      <w:color w:val="0563C1" w:themeColor="hyperlink"/>
      <w:u w:val="single"/>
    </w:rPr>
  </w:style>
  <w:style w:type="character" w:customStyle="1" w:styleId="UnresolvedMention1">
    <w:name w:val="Unresolved Mention1"/>
    <w:basedOn w:val="DefaultParagraphFont"/>
    <w:uiPriority w:val="99"/>
    <w:rsid w:val="00E46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e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1729</Words>
  <Characters>12553</Characters>
  <Application>Microsoft Office Word</Application>
  <DocSecurity>0</DocSecurity>
  <Lines>104</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Inese Karpoviča</cp:lastModifiedBy>
  <cp:revision>2</cp:revision>
  <cp:lastPrinted>1899-12-31T22:00:00Z</cp:lastPrinted>
  <dcterms:created xsi:type="dcterms:W3CDTF">2022-03-04T09:07:00Z</dcterms:created>
  <dcterms:modified xsi:type="dcterms:W3CDTF">2022-03-04T09:07:00Z</dcterms:modified>
</cp:coreProperties>
</file>