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21-TA-1780: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policiju"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policiju"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likumprojekta noslēgumā norādīto informāciju par likumprojekta stāšanos spēkā kā likumā "Par policiju" iekļaujamu pārejas noteikumu, piemēram, paredzot papildināt likuma "Par policiju" Pārejas noteikumus ar 15.punktu, kas paredz, ka likuma 12. panta pirmās daļas 30.</w:t>
            </w:r>
            <w:r w:rsidR="00000000" w:rsidRPr="00000000" w:rsidDel="00000000">
              <w:rPr>
                <w:vertAlign w:val="superscript"/>
                <w:rtl w:val="0"/>
              </w:rPr>
              <w:t xml:space="preserve">1</w:t>
            </w:r>
            <w:r w:rsidR="00000000" w:rsidRPr="00000000" w:rsidDel="00000000">
              <w:rPr>
                <w:rtl w:val="0"/>
              </w:rPr>
              <w:t xml:space="preserve"> punkts un 12.</w:t>
            </w:r>
            <w:r w:rsidR="00000000" w:rsidRPr="00000000" w:rsidDel="00000000">
              <w:rPr>
                <w:vertAlign w:val="superscript"/>
                <w:rtl w:val="0"/>
              </w:rPr>
              <w:t xml:space="preserve">2</w:t>
            </w:r>
            <w:r w:rsidR="00000000" w:rsidRPr="00000000" w:rsidDel="00000000">
              <w:rPr>
                <w:rtl w:val="0"/>
              </w:rPr>
              <w:t xml:space="preserve"> pants stājas spēkā dienā, ar kuru piemērojama</w:t>
            </w:r>
            <w:r w:rsidR="00000000" w:rsidRPr="00000000" w:rsidDel="00000000">
              <w:rPr>
                <w:i w:val="1"/>
                <w:rtl w:val="0"/>
              </w:rPr>
              <w:t xml:space="preserve"> Eiropas Parlamenta un Padomes 2018. gada 28.novembra Regula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paziņošanu "Latvijas Vēstnesim" par regulas piemērošanas sākumu, aicinām atsaukties uz konkrētām regulas normām, kas nosaka tās piemērošanas sākuma brīdi - regulas 79. panta 2. un 5.punktu, kas paredz attiecīga Eiropas Komisijas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arī likumprojekta anotācijā sīkāk skaidrot likumprojekta spēkā stāšanās kārtību, ņemot vērā, ka saskaņā ar regulas 79.pantu tās normas stājas spēkā dažādos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policiju"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policiju"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šobrīd paredz, ka "Likums stājas spēkā datumā, ar kuru Eiropas Komisija noteiks regulu 2018/1862 par piemērojamu".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minēto nosacījumu un precizēt likumprojekta spēkā stāšanās datumu, ja nepieciešams, papildinot likumu "Par policiju" ar attiecīgu Pārejas noteikumu". Piemēram, ierosinām noteikt, ka attiecīgie likuma "Par policiju" grozījumi stājas spēkā datumā, ar kuru ir piemērojama regula Nr. 2018/1862 saskaņā ar tās 79. panta 5. punktu (t.i.,  izvairīties no  regulas spēkā stāšanās kārtības aprakstīšanas likumprojektā). Tāpat nepieciešamības gadījumā tiesiskās noteiktības nolūkā lūdzam paredzēt tiesisko regulējumu, ka brīdī, kad Eiropas Komisija pieņēmusi regulas 79. panta 2. punktā paredzēto lēmumu, attiecīgs paziņojums tiek nosūtīts publicēšanai oficiālajā izdevumā "Latvijas Vēstnesis", līdzīgi kā tas darīts, piemēram, 2022. gada 7. aprīļa likumā "Grozījumi Latvijas Republikas valsts robežas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policiju"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1.pantā (ar kuru likuma "Par valsts policiju" 12. panta pirmā daļa tiek papildināta ar jaunu 30.</w:t>
            </w:r>
            <w:r w:rsidR="00000000" w:rsidRPr="00000000" w:rsidDel="00000000">
              <w:rPr>
                <w:vertAlign w:val="superscript"/>
                <w:rtl w:val="0"/>
              </w:rPr>
              <w:t xml:space="preserve">1</w:t>
            </w:r>
            <w:r w:rsidR="00000000" w:rsidRPr="00000000" w:rsidDel="00000000">
              <w:rPr>
                <w:rtl w:val="0"/>
              </w:rPr>
              <w:t xml:space="preserve"> punktu) pēc vārdiem "izceļot no Latvijas Republikas, lai" papildināt ar vārdiem "cilvēku tirdzniecības vai ar dzimumu saistītas vardarbības". Labklājības ministrija atkārtoti pauž bažas, ka esošā normas redakcija var tikt interpretēta pārāk plaši, nosakot izceļošanas aizliegumu plašākam personu lokam, nekā to paredz Regula 2018/1862. Vēršam uzmanību, ka saskaņā ar minēto regulu pilngadīgas neaizsargātas personas izceļošanas aizliegums nosakāms tikai vienā no diviem regulas 2018/1862 32. panta 1. punktā minētajiem gadījumiem, proti, ja pastāv konkrēts un acīmredzams risks personai kļūt par upuri saistībā ar 1) cilvēku tirdzniecību vai 2) ar dzimumu saistītu vardarbību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likumā noteiktajā kārtībā liegt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d) un e) apakšpunktā minētajai personai (turpmāk – neaizsargāta persona), izceļot no Latvijas Republikas, lai cilvēku tirdzniecības vai ar dzimumu saistītas vardarbības draudu novēršanas nolūkā uz laiku to aizsargātu;".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likumprojekta redakcijā ieviesusies tehniska kļūda - izslēgts paredzētā 12. panta pirmās daļas 30.</w:t>
            </w:r>
            <w:r w:rsidR="00000000" w:rsidRPr="00000000" w:rsidDel="00000000">
              <w:rPr>
                <w:vertAlign w:val="superscript"/>
                <w:rtl w:val="0"/>
              </w:rPr>
              <w:t xml:space="preserve">1</w:t>
            </w:r>
            <w:r w:rsidR="00000000" w:rsidRPr="00000000" w:rsidDel="00000000">
              <w:rPr>
                <w:rtl w:val="0"/>
              </w:rPr>
              <w:t xml:space="preserve"> punkta teksts. Lūdzam šo kļūdu novērst. Informējam, ka atkārtotā atzinuma sniegšanā Tieslietu ministrija vadījusies pēc sākotnējai saskaņošanai nosūtītās 12. panta pirmās daļas 30.</w:t>
            </w:r>
            <w:r w:rsidR="00000000" w:rsidRPr="00000000" w:rsidDel="00000000">
              <w:rPr>
                <w:vertAlign w:val="superscript"/>
                <w:rtl w:val="0"/>
              </w:rPr>
              <w:t xml:space="preserve">1</w:t>
            </w:r>
            <w:r w:rsidR="00000000" w:rsidRPr="00000000" w:rsidDel="00000000">
              <w:rPr>
                <w:rtl w:val="0"/>
              </w:rPr>
              <w:t xml:space="preserve"> punkta redakcijas,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30</w:t>
            </w:r>
            <w:r w:rsidR="00000000" w:rsidRPr="00000000" w:rsidDel="00000000">
              <w:rPr>
                <w:i w:val="1"/>
                <w:vertAlign w:val="superscript"/>
                <w:rtl w:val="0"/>
              </w:rPr>
              <w:t xml:space="preserve">1</w:t>
            </w:r>
            <w:r w:rsidR="00000000" w:rsidRPr="00000000" w:rsidDel="00000000">
              <w:rPr>
                <w:i w:val="1"/>
                <w:rtl w:val="0"/>
              </w:rPr>
              <w:t xml:space="preserve">) likumā noteiktajā kārtībā liegt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d) un e) apakšpunktā minētajai personai (turpmāk – neaizsargāta persona), izceļot no Latvijas Republikas, lai draudu novēršanas nolūkā uz laiku to aizsargātu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Latvijas tiesību sistēmā tiks uzskatīta par “neaizsargātu personu”. Norādām, ka Latvijas tiesību akti šādu personu kategoriju skaidri nedefinē. Regulas preambulas 33.apsvērumā savukārt minēts, ka “personas, kurām vecuma, invaliditātes vai ģimenes apstākļu dēļ ir vajadzīga aizsardzība, būtu jāuzskata par neaizsargātām personām”. No likumprojektā izteiktā 12.</w:t>
            </w:r>
            <w:r w:rsidR="00000000" w:rsidRPr="00000000" w:rsidDel="00000000">
              <w:rPr>
                <w:vertAlign w:val="superscript"/>
                <w:rtl w:val="0"/>
              </w:rPr>
              <w:t xml:space="preserve">2</w:t>
            </w:r>
            <w:r w:rsidR="00000000" w:rsidRPr="00000000" w:rsidDel="00000000">
              <w:rPr>
                <w:rtl w:val="0"/>
              </w:rPr>
              <w:t xml:space="preserve"> panta otrās daļas 2.punkta izriet divas šādu personu kategorijas, par kurām Valsts policijas amatpersona paziņo bāriņtiesai (nepilngadīgas personas, kā arī pilngadīgas personas, kam Latvijas Republikā nodibināta aizgādnība), tomēr no likumprojekta normām nav secināms, vai šāds uzskaitījums ir izsmeļošs.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neaizsargāto personu loks netiek aprobežots ar likumprojektā izteiktā  likumprojektā izteiktā 12.</w:t>
            </w:r>
            <w:r w:rsidR="00000000" w:rsidRPr="00000000" w:rsidDel="00000000">
              <w:rPr>
                <w:vertAlign w:val="superscript"/>
                <w:rtl w:val="0"/>
              </w:rPr>
              <w:t xml:space="preserve">2</w:t>
            </w:r>
            <w:r w:rsidR="00000000" w:rsidRPr="00000000" w:rsidDel="00000000">
              <w:rPr>
                <w:rtl w:val="0"/>
              </w:rPr>
              <w:t xml:space="preserve"> panta otrās daļas 2.punktā minētajām aizbildnībā un aizgādnībā esošajām personām,  Valsts policijas amatpersonai, nosakot 12. panta pirmās daļas ar 30.</w:t>
            </w:r>
            <w:r w:rsidR="00000000" w:rsidRPr="00000000" w:rsidDel="00000000">
              <w:rPr>
                <w:vertAlign w:val="superscript"/>
                <w:rtl w:val="0"/>
              </w:rPr>
              <w:t xml:space="preserve">1</w:t>
            </w:r>
            <w:r w:rsidR="00000000" w:rsidRPr="00000000" w:rsidDel="00000000">
              <w:rPr>
                <w:rtl w:val="0"/>
              </w:rPr>
              <w:t xml:space="preserve"> punktā noteikto izceļošanas ierobežojumu, pēc būtības jālemj ne tikai par apdraudējumu personas izceļošanas gadījumā, bet arī par personas atzīšanu par “neaizsargātu” vecuma, invaliditātes vai ģimenes apstākļu dēļ. Savukārt šāds pēdējais lēmums personas pamattiesību ierobežojošā rakstura dēļ ir pielīdzināms lēmumam par personas rīcībspējas ierobežošanu, ko saskaņā ar Civillikumu pieņem </w:t>
            </w:r>
            <w:r w:rsidR="00000000" w:rsidRPr="00000000" w:rsidDel="00000000">
              <w:rPr>
                <w:u w:val="single"/>
                <w:rtl w:val="0"/>
              </w:rPr>
              <w:t xml:space="preserve">tiesa</w:t>
            </w:r>
            <w:r w:rsidR="00000000" w:rsidRPr="00000000" w:rsidDel="00000000">
              <w:rPr>
                <w:rtl w:val="0"/>
              </w:rPr>
              <w:t xml:space="preserve">. Līdz ar to Latvijas tiesību aktu kontekstā par “neaizsargātām” personām būtu atzīstamas tikai likumprojekta 2.pantā izteiktā 12.</w:t>
            </w:r>
            <w:r w:rsidR="00000000" w:rsidRPr="00000000" w:rsidDel="00000000">
              <w:rPr>
                <w:vertAlign w:val="superscript"/>
                <w:rtl w:val="0"/>
              </w:rPr>
              <w:t xml:space="preserve">2</w:t>
            </w:r>
            <w:r w:rsidR="00000000" w:rsidRPr="00000000" w:rsidDel="00000000">
              <w:rPr>
                <w:rtl w:val="0"/>
              </w:rPr>
              <w:t xml:space="preserve"> panta otrās daļas 2.punktā minētās personu kategorijas, vai arī jānosaka skaidri un nepārprotami papildus kritēriji, kā definēt personu loku, par kurām var pieņemt 12. panta pirmās daļas ar 30.1 punktā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punktā noteikts, ka pēc izdevējas dalībvalsts kompetentās iestādes lūguma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pazudušas personas, kas jāaizsargā viņu pašu aizsardzībai vai, lai novērstu sabiedriskās kārtības vai sabiedriskās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pazudušas personas, kas nav jāaizsargā;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viena no vecākiem, ģimenes locekļa vai aizbildņa veiktas nolaupīšanas riskam pakļauti bērni, kuriem jāliedz 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33. un 35. apsvērumā citastarp norādīts, ka ar regulu tiek ieviesta jauna dažu neaizsargātu personu kategorija, kam jāliedz ceļot, proti, personas, kurām vecuma, invaliditātes vai ģimenes apstākļu dēļ ir vajadzīga aizsardzība, un kuras būtu jāuzskata par neaizsargātām personām. Šādi ziņojumi sistēmā būtu jāiekļauj, ja ceļojums tiem radītu risku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pastāv kopīgi principi un minimuma standarti, kas izriet no Eiropas Savienības Pamattiesību hartas, Eiropas Cilvēktiesību konvencijas un citiem starptautisko tiesību instrumentiem, neaizsargātu personu, tas ir, bērnu jeb personu, kas nav sasniegusi 18 gadu vecumu, un pilngadīgu neaizsargātu personu, piemēram, personu ar garīgiem traucējumiem, fiziskiem vai psiholoģiskiem trūkumiem, pašlaik nav pietiekami nodrošinātas, un tādēļ var netikt novērsti Eiropas Cilvēktiesību konvencijā minētie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paredzēts, ka visas regulas 2018/1862 32. panta 1. d) un e) apakšpunktā minētās personu kategorijas, tiek definētas kā "neaizsargātas personas", ja tiks konstatēta attiecīgo apstākļu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lēmuma par bērna izceļošanas aizlieguma pieņemšana 7 darba dienu laikā neatbilst bērna interesēm, ja bērna dzīvība un veselība ir apdraudēta. Ja kavēšanās var radīt neatgriezenisku kaitējumu un apdraud bērna dzīvību, veselību un drošību, lēmumi ir jāpieņem nekavējoties (skat., piemēram, Civilprocesa likuma 140.panta pirmo daļu, 140.</w:t>
            </w:r>
            <w:r w:rsidR="00000000" w:rsidRPr="00000000" w:rsidDel="00000000">
              <w:rPr>
                <w:vertAlign w:val="superscript"/>
                <w:rtl w:val="0"/>
              </w:rPr>
              <w:t xml:space="preserve">1</w:t>
            </w:r>
            <w:r w:rsidR="00000000" w:rsidRPr="00000000" w:rsidDel="00000000">
              <w:rPr>
                <w:rtl w:val="0"/>
              </w:rPr>
              <w:t xml:space="preserve"> panta trešo daļu, 250.</w:t>
            </w:r>
            <w:r w:rsidR="00000000" w:rsidRPr="00000000" w:rsidDel="00000000">
              <w:rPr>
                <w:vertAlign w:val="superscript"/>
                <w:rtl w:val="0"/>
              </w:rPr>
              <w:t xml:space="preserve">58</w:t>
            </w:r>
            <w:r w:rsidR="00000000" w:rsidRPr="00000000" w:rsidDel="00000000">
              <w:rPr>
                <w:rtl w:val="0"/>
              </w:rPr>
              <w:t xml:space="preserve"> panta pirmo daļu, 644.</w:t>
            </w:r>
            <w:r w:rsidR="00000000" w:rsidRPr="00000000" w:rsidDel="00000000">
              <w:rPr>
                <w:vertAlign w:val="superscript"/>
                <w:rtl w:val="0"/>
              </w:rPr>
              <w:t xml:space="preserve">21A</w:t>
            </w:r>
            <w:r w:rsidR="00000000" w:rsidRPr="00000000" w:rsidDel="00000000">
              <w:rPr>
                <w:rtl w:val="0"/>
              </w:rPr>
              <w:t xml:space="preserve">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paredzēto likuma “Par policiju” 12.</w:t>
            </w:r>
            <w:r w:rsidR="00000000" w:rsidRPr="00000000" w:rsidDel="00000000">
              <w:rPr>
                <w:vertAlign w:val="superscript"/>
                <w:rtl w:val="0"/>
              </w:rPr>
              <w:t xml:space="preserve">2</w:t>
            </w:r>
            <w:r w:rsidR="00000000" w:rsidRPr="00000000" w:rsidDel="00000000">
              <w:rPr>
                <w:rtl w:val="0"/>
              </w:rPr>
              <w:t xml:space="preserve"> pantu,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w:t>
            </w:r>
            <w:r w:rsidR="00000000" w:rsidRPr="00000000" w:rsidDel="00000000">
              <w:rPr>
                <w:vertAlign w:val="superscript"/>
                <w:rtl w:val="0"/>
              </w:rPr>
              <w:t xml:space="preserve">2</w:t>
            </w:r>
            <w:r w:rsidR="00000000" w:rsidRPr="00000000" w:rsidDel="00000000">
              <w:rPr>
                <w:rtl w:val="0"/>
              </w:rPr>
              <w:t xml:space="preserve"> panta atsevišķo regulējumu par “Valsts policijas amatpersonas” un “Valsts policijas priekšnieka pilnvarotas amatpersonas” rīcību un tās termiņiem nepieciešams izvērtēt un precizēt. Vēršam uzmanību, ka no valsts pārvaldes un administratīvo tiesību viedokļa nav pietiekami saprotama lēmumu pieņemšanas procedūra, ka viena amatpersona konstatē “personas dzīvība, veselība vai drošība var tikt apdraudēta”, bet cita amatpersona to atkārtoti izvērtē un pieņem lēmumu. Papildus vēršam uzmanību, ka administratīvajā procesā iestādē ir vienots process no iesnieguma vai informācijas saņemšanas brīža iestādē līdz lēmuma pieņemšanai un likumā nepieciešams noteikt tikai būtiskāko, tai skaitā no Administratīvā procesa likuma atšķirīgu regulējumu, kas skar privātpersonas tiesības. Vienlaikus likumā nav jāveido regulējums, ko iespējams noregulēt ar iekšējo normatīvo aktu, proti, ja lēmuma pieņemšanai nepieciešamā informācija vai iesniegums ir saņemts Valsts policijas struktūrvienībā, kur lēmuma pieņemšana nav šīs struktūrvienības kompetencē, informācijas un dokumentu apritei (apmaiņai) jānotiek saskaņā ar iekšējiem normatīviem aktiem, nevis likumu. Tāpat arī projektā (likuma “Par policiju” 12.</w:t>
            </w:r>
            <w:r w:rsidR="00000000" w:rsidRPr="00000000" w:rsidDel="00000000">
              <w:rPr>
                <w:vertAlign w:val="superscript"/>
                <w:rtl w:val="0"/>
              </w:rPr>
              <w:t xml:space="preserve">2</w:t>
            </w:r>
            <w:r w:rsidR="00000000" w:rsidRPr="00000000" w:rsidDel="00000000">
              <w:rPr>
                <w:rtl w:val="0"/>
              </w:rPr>
              <w:t xml:space="preserve"> panta piektā daļa) nav jāveido formāls regulējums par iestāžu sadarbību, proti, Pilsonības un migrācijas lietu pārvaldes informēšanu, jo šādi izteiktai normai faktiski nav juridiskās slodzes, un arī to var noregulēt ar iekšējo normatīvo aktu. Savukārt izvērstu procedūru aprakstu par šādu paziņošanu un paziņojuma saņēmēja turpmāku rīcību var veidot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paredzēto likuma “Par policiju” 12.</w:t>
            </w:r>
            <w:r w:rsidR="00000000" w:rsidRPr="00000000" w:rsidDel="00000000">
              <w:rPr>
                <w:vertAlign w:val="superscript"/>
                <w:rtl w:val="0"/>
              </w:rPr>
              <w:t xml:space="preserve">2 </w:t>
            </w:r>
            <w:r w:rsidR="00000000" w:rsidRPr="00000000" w:rsidDel="00000000">
              <w:rPr>
                <w:rtl w:val="0"/>
              </w:rPr>
              <w:t xml:space="preserve">panta astoto daļu par Valsts policiju kā pieņemtā lēmuma izpildītāju nepieciešams papildus izvērtēt. Vēršam uzmanību, ka šādi izteikta norma norāda, ka lēmuma par aizliegumu bērnu izvest no Latvijas Republikas izpilde nav saistoša Valsts robežsardzei, kuras kompetencē ietilps  robežkontroles nodrošināšana. Piedāvājam projektā šādu normu neveidot, jo lēmuma (administratīvā akta) izpildē jāiesaistās visām valsts pārvaldes iestādēm, kuru kompetenci tas skar.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amatpersonas pienākums paziņot Pilsonības un migrācijas lietu pārvaldei, ir nosakāms likumā, lai nodrošinātu tiesisko skaidrību, noteiktību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policijas priekšnieka pilnvarotā amatpersona būs pieņēmusi lēmumu par liegumu personai izceļot no Latvijas Republikas, personai izsniegtais personu apliecinošais dokuments savlaicīgi ir jāatzīst par nederīgu, lai personas aizsardzības nolūkos tā nevarētu ceļot. Atbilstoši minētajam ir izstrādāts arī likumprojekts "Grozījumi personu apliecinošu dokumentu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policijas amatpersonai ar likumu "Par policiju" ir noteikts pienākums aizsargāt peronu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robežsardzes amatpersonu uzdevumi un pienākumi ir noteikti Valsts robežsardzes likumā, kur to kompetence ir nodrošināt un kontrolēt valsts robežas  un robežšķērsošanas vietu režīma ievērošanu. Tādējādi robežsardze kontrolēs, lai regulas 2018/1862) 32. panta 1. c), d) e) apakšpunktā minētās personas neizbrauktu no valsts, ja Valsts policijas priekšnieka kompetentā amatpersona būs pieņēmusi lēmumu tai izceļot no valsts un minētā informācija par personu un personas apliecinošo dokumentu būs iekļauta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skatīt Nacionālās drošības likuma 18.</w:t>
            </w:r>
            <w:r w:rsidR="00000000" w:rsidRPr="00000000" w:rsidDel="00000000">
              <w:rPr>
                <w:vertAlign w:val="superscript"/>
                <w:rtl w:val="0"/>
              </w:rPr>
              <w:t xml:space="preserve">1</w:t>
            </w:r>
            <w:r w:rsidR="00000000" w:rsidRPr="00000000" w:rsidDel="00000000">
              <w:rPr>
                <w:rtl w:val="0"/>
              </w:rPr>
              <w:t xml:space="preserve"> 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Latvijā tiek ieviests pirmo reizi jauns konceptuāla rakstura pieaugušas (18 gadus sasniegušas un rīcībspējīgas) personas tiesiskās aizsardzības līdzeklis – liegums izbraukt no valsts. Tātad tāds tiesiskās aizsardzības līdzeklis, kas būtiski ierobežo personas cilvēktiesības (gan Satversmē, gan Eiropas Cilvēktiesību konvencijā, gan Konvencija par personu ar invaliditāti tiesībām un citos starptautiskos aktos garantētās).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ietverts izvērstāks skaidrojums un samērīguma izvērtējums, Tieslietu ministrijas ieskatā, jebkura konceptuāla un jauna tiesiskās aizsardzības līdzekļa ieviešanai Latvijas tiesību sistēmā ir jābūt detalizēti izvērtētam un izdiskutētam ar visiem procesā iesaistītajām personām (tajā skaitā, Tiesībsargu un nevalstiskajām organizācijām, kas aizstāv neaizsargāto pieaugušo tiesības un intereses). Ņemot vērā, ka nav bijis detalizēta izvērtējuma, vai šāds tiesiskās aizsardzības līdzeklis Latvijā ir nepieciešams, kā arī nav bijusi diskusija ne starp politikas veidotājiem, ne cilvēktiesību speciālistiem, ne nevalstiskajām organizācijām, šāda līdzekļa ieviešana ir ļoti kritiski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regulējums neparedz arī pietiekamas procesuālās garantijas personai savu interešu aizsardzībai, kā arī anotācijā nav izvērtējuma kopsakarā ar speciālajiem starptautiskajiem aktiem, kas nodrošina neaizsargāto pieaugušo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ministrijas ieskatā, projekta saskaņošana TAP portālā ar Ārlietu ministriju un Labklājības ministriju neapliecina, ka tiesiskā aizsardzības līdzekļa ieviešana Latvijas tiesību sistēmā ir detalizēti izvērtēta un izdiskutēta ar jomas speciālistiem, ka šāds līdzeklis ir nepieciešams šobrīd, ir būtisks, ir samērīgs, nodrošina procesuālās garantijas, kā arī atbilst Latvijas Republikas Satversmei vai  starptautiskajiem cilvēktiesību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Tieslietu ministrija uztur tās iepriekš izteiktos iebildumus, kas atspoguļoti izziņas 14., 19. un 20.punktā.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paredzēto likuma “Par policiju” (turpmāk – likums) 12.</w:t>
            </w:r>
            <w:r w:rsidR="00000000" w:rsidRPr="00000000" w:rsidDel="00000000">
              <w:rPr>
                <w:vertAlign w:val="superscript"/>
                <w:rtl w:val="0"/>
              </w:rPr>
              <w:t xml:space="preserve">2</w:t>
            </w:r>
            <w:r w:rsidR="00000000" w:rsidRPr="00000000" w:rsidDel="00000000">
              <w:rPr>
                <w:rtl w:val="0"/>
              </w:rPr>
              <w:t xml:space="preserve"> panta regulējumu par “Valsts policijas priekšnieka pilnvarotu amatpersonu” (amatpersonas apzīmējumu) nepieciešams izvērtēt un precizēt atbilstoši likumā noteiktajam regulējumam, proti, ievērot vienotu likuma normu stilistiku. Vēršam uzmanību, ka likuma 2. pants nosaka apzīmējumu “policijas darbinieks” un tas ir attiecināms uz visām policijas amatpersonām ar speciālo dienesta pakāpi. Turklāt valsts pārvaldē pilnvarojumu personai ieņemt noteiktu amatu un veikt konkrētus amatpersonas pienākumus nosaka iestādes vadītāja rīkojums par personas iecelšanu amatā. Savukārt regulējumu par īpaši pilnvarotām amatpersonām veido īpašos gadījumos. Tādējādi projektā šādu apzīmējumu var interpretēt, ka amatpersonām var būt īpašs statuss, piemēram, tās var nebūt policijas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paredzēto likuma 12.</w:t>
            </w:r>
            <w:r w:rsidR="00000000" w:rsidRPr="00000000" w:rsidDel="00000000">
              <w:rPr>
                <w:vertAlign w:val="superscript"/>
                <w:rtl w:val="0"/>
              </w:rPr>
              <w:t xml:space="preserve">2</w:t>
            </w:r>
            <w:r w:rsidR="00000000" w:rsidRPr="00000000" w:rsidDel="00000000">
              <w:rPr>
                <w:rtl w:val="0"/>
              </w:rPr>
              <w:t xml:space="preserve"> panta ceturto daļu nepieciešams papildus izvērtēt un precizēt. Tieslietu ministrija piedāvā šī panta ceturto daļu no projekta izslēgt, proti, svītrot pirmo teikumu, bet otro teikumu iekļaut šī panta otrajā daļā, kas nosaka lēmuma spēkā stāšanos. Vēršam uzmanību, ka šīs daļas pirmais teikums par lēmuma apstrīdēšanas tiesībām un termiņu veido pretrunu ar Administratīvā procesa likumā (turpmāk – APL) noteikto regulējumu par administratīvā akta spēkā stāšanos un apstrīdēšanu. APL 70. panta pirmā daļa kopsakarā ar projektā paredzēto likuma 12.</w:t>
            </w:r>
            <w:r w:rsidR="00000000" w:rsidRPr="00000000" w:rsidDel="00000000">
              <w:rPr>
                <w:vertAlign w:val="superscript"/>
                <w:rtl w:val="0"/>
              </w:rPr>
              <w:t xml:space="preserve">2 </w:t>
            </w:r>
            <w:r w:rsidR="00000000" w:rsidRPr="00000000" w:rsidDel="00000000">
              <w:rPr>
                <w:rtl w:val="0"/>
              </w:rPr>
              <w:t xml:space="preserve">panta otro daļu, kurā ir noteikta lēmuma spēkā stāšanās, norāda par administratīvā akta spēkā stāšanos ar tā pieņemšanas brīdī. Savukārt APL 79. panta pirmā daļa paredz, ka administratīvo aktu var apstrīdēt viena mēneša laikā no tā spēkā stāšanās dienas, bet, ja rakstveidā izdotajā administratīvajā aktā nav norādes, kur un kādā termiņā to var apstrīdēt, — viena gada laikā no tā spēkā stāšanās dienas. Tādējādi projektā paredzētais likuma 12.</w:t>
            </w:r>
            <w:r w:rsidR="00000000" w:rsidRPr="00000000" w:rsidDel="00000000">
              <w:rPr>
                <w:vertAlign w:val="superscript"/>
                <w:rtl w:val="0"/>
              </w:rPr>
              <w:t xml:space="preserve">2</w:t>
            </w:r>
            <w:r w:rsidR="00000000" w:rsidRPr="00000000" w:rsidDel="00000000">
              <w:rPr>
                <w:rtl w:val="0"/>
              </w:rPr>
              <w:t xml:space="preserve"> panta ceturtās daļas pirmais teikums par lēmuma apstrīdēšanas tiesībām “no paziņošanas brīža” ir pretrunā ar APL un projektā paredzēto regulējumu. Papildus norādām, ka APL 67. panta otrās daļas 9. punkts paredz administratīvajā aktā norādīt, kur un kādā termiņā šo administratīvo aktu var apstrīdēt vai pārsūdzēt. Tādējādi projektā nebūtu jāveido īpašs, no APL atšķirīgs regulējums par lēmuma apstrīdēšanas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par personu uzskaitījumu, kurām ir tiesības apstrīdēt lēmumu, vēlamies norādīt, ka APL un attiecīgi arī administratīvajā procesā fiziskām personām, kurām nav pilna apjoma administratīvi procesuālā rīcībspēja ir likumiskie pārstāvji un šāds apzīmējums būtu jāizmanto visos ar administratīvo procesu saistītos normatīvajos aktos. Vēršam uzmanību, ka APL ar pietiekamu vispārinājuma pakāpi paredz personas, kurām ir tiesības apstrīdēt un pārsūdzēt administratīvos aktus. Ņemot vērā projektā paredzētā regulējuma vienu no mērķiem – bērnu tiesību aizsardzība, vēlamies norādīt, ka īpašs regulējums šādiem gadījumiem varētu būt APL 21. panta otrā daļa, arī APL 29. pants. Tādējādi arī projektā nebūtu lietderīgi veidot personu uzskaitījumu, kurām būs tiesības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16., 17.punkts) un atkārtoti lūdzam apsvērt likumprojekta un tajā paredzētā jaunā tiesību instrumenta – policijas lēmuma par aizliegumu noteiktām personu kategorijām izbraukt no valsts –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vērsām uzmanību iepriekš, likumprojektā ietvertais regulējums būtiski pārsniedz regulas (ES) 2018/1862 ieviešanai nepieciešamo tiesisko regulējumu. Ar likumprojektu Latvijā tiek ieviests jauns, līdz šim neesošs, personas pamattiesības (pārvietošanās brīvība) ierobežojošs līdzeklis pilngadīgu un rīcībspējīgu personas tiesību un interešu aizsardzībai. Proti, ikvienai pilngadīgai personai var aizliegt izceļošanu no Latvijas, lai to pasargātu no citām personām  – lai novērstu draudus pašas personas dzīvībai, veselībai vai drošībai. Šāds aizliegums var tikt noteikts arī tad, ja nav nekāds aktīvs process (krimināllieta, administratīvā lieta vai civillieta), tas tiek noteikts bez tiesas iesaistes (ar Valsts policijas priekšnieka pilnvarotas personas lēmumu), turklāt uz termiņu līdz vienam gadam, bez iespējām šo termiņu pārskatīt pat ja apdraudējums ir zudis.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likumprojekta anotācijā ir norādīti satversmības izvērtējuma kritēriji (t.sk. Latvijas Republikas Satversmes 116. pantā minētie mērķi, proti, pamattiesības var ierobežot, lai aizsargātu citu cilvēku tiesības, demokrātisko valsts iekārtu, sabiedrības drošību, labklājību un tikumību). Tomēr vēršam uzmanību, ka izvērsts likumprojektā paredzētā jaunā tiesiskās aizsardzības līdzekļa pamatojums un satversmības izvērtējums atbilstoši minētajiem kritērijiem nav veikts. Līdz ar to nevar gūt pārliecību par izvēlētā līdzekļa samērīgumu un piemērotību leģitīmā mērķa sasniegšanai. Tai skaitā likumprojekta anotācijā nav informācijas par likumprojektā minētā regulējuma praktisko nepieciešamību (konstatētajām problēmām vai situācijām, kuras likumprojektā paredzētais regulējums būtu varējis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likumprojekts paredz jaunu tiesiskās aizsardzības līdzekli, kas būtiski ierobežo personas cilvēktiesības, atkārtoti aicinām likumprojektā paredzēto regulējumu saskaņot ar Tiesībsargu, kā arī lūgt atzinumu no organizācijām, kuru mērķis ir personu ar invaliditāti un mazāk aizsargātu personu tiesību aizsardzība (piemēram, Resursu centrs cilvēkiem ar garīgiem traucējumiem “ZELDA”).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pēdējā attkāpē norādītais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60.1. apakšpunkts noteic, ka  atzinumā ministrija vai cita institūcija atbilstoši normatīvajos aktos noteiktajai kompetencei izsaka iebildumus, tos attiecīgi pamatojot, un, ja nepieciešams, piedāvā ieteicamo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atzinumā ir norādījusi, ka likumprojektā paredzēto regulējumu būtu nepieciešams saskaņot ar Tiesībsargu, kā arī lūgt atzinumu no organizācijām, kuru mērķis ir personu ar invaliditāti un mazāk aizsargātu personu tiesību aizsardzība (piemēram, Resursu centrs cilvēkiem ar garīgiem traucējumiem "ZELDA"), bet iztrūkst minētās nostājas pamatojums, ievērojot projekta saturu un paredzētos tiesiskās aizsardzības līdzekļus, kas ietver tiesas kontroli, kā arī, ņemot vērā, ka projekts ir skaņots gan ar Ārlietu ministriju, gan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likumprojekts 2022. gada 30. martā tika ievietots TAP portāla sadaļā "Sabiedrības līdzdalība", aicinot sabiedrību izteikt priekšlikumus par likumprojektu līdz 2022. gada 14. aprīlim, bet noteiktajā termiņā par likumprojektu no sabiedrības pārstāvjiem netika saņemtas atsauksmes, iebildumi vai priekšlikumi.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w:t>
            </w:r>
            <w:r w:rsidR="00000000" w:rsidRPr="00000000" w:rsidDel="00000000">
              <w:rPr>
                <w:vertAlign w:val="superscript"/>
                <w:rtl w:val="0"/>
              </w:rPr>
              <w:t xml:space="preserve">2</w:t>
            </w:r>
            <w:r w:rsidR="00000000" w:rsidRPr="00000000" w:rsidDel="00000000">
              <w:rPr>
                <w:rtl w:val="0"/>
              </w:rPr>
              <w:t xml:space="preserve"> panta otrās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kurai bāriņtiesai attiecīgā informācija tiks sniegta – pēc bērna dzīvesvietas (faktiskās vai deklarētās? ), vecāka dzīvesvietas (faktiskās vai deklarētās?), bāriņtiesai, kura ir nodibinājusi bērnam ārpusģimenes aprūpi, pēc aizgādnībā esošās personas deklarētās/faktiskās dzīvesvietas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12.</w:t>
            </w:r>
            <w:r w:rsidR="00000000" w:rsidRPr="00000000" w:rsidDel="00000000">
              <w:rPr>
                <w:vertAlign w:val="superscript"/>
                <w:rtl w:val="0"/>
              </w:rPr>
              <w:t xml:space="preserve">2.</w:t>
            </w:r>
            <w:r w:rsidR="00000000" w:rsidRPr="00000000" w:rsidDel="00000000">
              <w:rPr>
                <w:rtl w:val="0"/>
              </w:rPr>
              <w:t xml:space="preserve">panta otrās daļas otrajā punktā norādītā izriet, ja Valsts policijas amatpersona konstatē, ka neaizsargātās personas dzīvība, veselība vai drošība var tikt apdraudēta, tā nekavējoties, bet ne vēlāk kā nākamajā darbdienā, paziņo par to bāriņtiesai, ja neaizsargātā persona ir nepilngadīga vai, ja neaizsargātā persona ir pilngadīga un tai Latvijas Republikā nodibināta aizgādnība. Tātad Bāriņtiesa tiek informēta par iespējamo neaizsargātās personas apdraudējumu, nevis par Valsts policijas priekšnieka pilnvarotās amatpersonas konstatēto un attiecīgi pieņemto lēmumu par aizliegumu neaizsargātajai personai izceļot no Latvijas. Izvirzās jautājums, kāpēc bāriņtiesa netiek informēta arī par lēmumu vai tikai par lēmumu? Jo iespējams, ka pilnvarotā amatpersona apdraudējumu un lēmuma pieņemšanas nepieciešamību nekonstatēs. Bāriņtiesai būtu svarīgi zināt, vai attiecīgais lēmums ir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norādes, kādā termiņā par pieņemto lēmumu paziņo personai, attiecībā uz kuru tas tika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 ka paziņošana notiek atbilstoši Paziņošanas likuma prasībām, bet, iespējams, būtu paredzams arī konkrēts termiņš –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ceturtā, piektā un sestā daļa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priekšnieka pilnvarotās amatpersonas lēmums stājas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 nekavējoties, bet ne vēlāk kā triju darbdienu laikā pēc tam, kad pieņemts lēmums par aizliegumu neaizsargātai personai izceļot no Latvijas Republikas, informē par to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par kuru pieņemts lēmums par aizliegumu izceļot no Latvijas Republikas, viena mēneša laikā pēc lēmuma paziņošanas ir tiesības to apstrīdēt Valsts policijas priekšniekam.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Administratīvā procesa likuma 70. panta pirmo daļu, ja ārējā normatīvajā aktā vai pašā administratīvajā aktā nav noteikts citādi, administratīvais akts stājas spēkā ar brīdi, kad tas paziņots adresātam. Savukārt 70. panta otrā daļa noteic, ka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kurai bāriņtiesai attiecīgā informācija tiks sniegta – pēc bērna dzīvesvietas (faktiskās vai deklarētās? ), vecāka dzīvesvietas (faktiskās vai deklarētās?), bāriņtiesai, kura ir nodibinājusi bērnam ārpusģimenes aprūpi, pēc aizgādnībā esošās personas deklarētās/faktiskās dzīvesvietas u.t.t. Piekritīgās bāriņtiesas izvēle ir atkarīgā no tā, ar kādu mērķi un kādu darbību veikšanai šāda informācija bāriņtiesai tiek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51.panta trešā daļa noteic, ka  katrai personai ir pienākums ziņot policijai vai citai kompetentai iestādei par vardarbību vai citu pret bērnu vērstu noziedzīgu nodarījumu. Par neziņošanu vainīgās personas saucamas pie likumā noteiktās atbildības. Savukārt atbilstoši šā likuma 52. panta ceturtajai daļai, 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Bāriņtiesu likuma VI nodaļā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piekritība, proti, atbilstoši kādai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Valsts policija ziņo bāriņtiesai atkarībā no teritoriālās piekritības, proti, konkrētā novada (administratīvās teritorijas) pašvaldības bāriņtiesai.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policijai ir aizdomas par bērna vai aizgādnībā esošās personas tiesību un interešu apdraudējumu un jautājuma risināšana ir bāriņtiesas kompetencē, policijas pienākums ir informēt bāriņtiesu (šāds pienākums izriet no Bērnu tiesību aizsardzības likuma, Bāriņtiesu likumā bāriņtiesām noteiktās kompetences, vispārējiem sadarbības principiem un piekritīgas iestādes noteikšanas kārtības). Nav saprotams, kāpēc šis gadījumus ir atsevišķi izcelts un atsevišķā normā tiek norādīts, ka par šādām aizdomām ir jāinformē bāriņtiesa, jo tas policijai būtu  jādara arī bez attiecīgās norādes.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Kaut gan tas nav attiecīgā likumprojekta jautājumus, tomēr svarīgi arī definēt, kas pēc šādas informācijas saņemšanas tiek sagaidīts no bāriņtiesām.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51.panta trešā daļa noteic, ka  katrai personai ir pienākums ziņot policijai vai citai kompetentai iestādei par vardarbību vai citu pret bērnu vērstu noziedzīgu nodarījumu. Par neziņošanu vainīgās personas saucamas pie likumā noteiktās atbildības. Savukārt atbilstoši šā likuma 52. panta ceturtajai daļai, 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22. pants noteic, ka bērna aizgādības tiesību pārtraukšana, atņemšana un atjaunošana ir bāriņtiesas kompetencē, proti, tā lemj par bērna aizgādības tiesību pārtraukšanu aizbildnim ja tiek noskaidrots, ka bērna dzīvība un veselība ir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policija būs konstatējusi aizbildņa pienākumu nepienācīgu pildīšanu, tā paziņos bāriņtiesai.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bāriņtiesai ar likumu ir noteikts pienākums rūpēties arī par aizgādņiem jeb par to, cik godprātīgi aizgādnis pilda savus pienākumus. Proti, var būt situācija, kad aizgādnis nepilda uzdevumus un tāpēc personai rodas apdraudējums. Šādā gadījumā pirmais solis pirms lēmuma par izceļošanu būtu iespējams bāriņtiesai iecelt jaunu aizgādni atbilstoši Bāriņtiesu likuma 40. panta piektajai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12.</w:t>
            </w:r>
            <w:r w:rsidR="00000000" w:rsidRPr="00000000" w:rsidDel="00000000">
              <w:rPr>
                <w:vertAlign w:val="superscript"/>
                <w:rtl w:val="0"/>
              </w:rPr>
              <w:t xml:space="preserve">2 </w:t>
            </w:r>
            <w:r w:rsidR="00000000" w:rsidRPr="00000000" w:rsidDel="00000000">
              <w:rPr>
                <w:rtl w:val="0"/>
              </w:rPr>
              <w:t xml:space="preserve">panta otrās daļas otrajā punktā norādītā izriet, ja Valsts policijas amatpersona konstatē, ka neaizsargātās personas dzīvība, veselība vai drošība var tikt apdraudēta, tā nekavējoties, bet ne vēlāk kā nākamajā darbdienā, paziņo par to bāriņtiesai, ja  neaizsargātā persona ir nepilngadīga vai, ja neaizsargātā persona ir pilngadīga un tai Latvijas Republikā nodibināta aizgādnība. Tātad bāriņtiesa tiek informēta par iespējamo neaizsargātās personas apdraudējumu, nevis par Valsts policijas priekšnieka pilnvarotās amatpersonas konstatēto un attiecīgi pieņemto lēmumu par aizliegumu neaizsargātajai personai izceļot no Latvijas. Rodas jautājums, kāpēc bāriņtiesa netiek informēta arī par lēmumu vai tikai par lēmumu? Jo var būt, ka  pilnvarotā amatpersona apdraudējumu un lēmuma pieņemšanas nepieciešamību nekonstatēs.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Bāriņtiesu likuma 4.panta otrajai daļai, bāriņtiesa prioritāri nodrošina bērna vai aizgādnībā esošās personas tiesību un tiesisko interešu aizsardzību. Tādējādi bāriņtiesa lemj ne tikai par bērna tiesību un tiesisko interešu aizsardzību, bet arī par aizgādnībā esošas personas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likumprojektā ir noteikts amatpersonai pienākums paziņot par šādu personu bāriņtiesai gan, lai iegūtu informāciju par ģimenes izvērtējumu, gan, lai bāriņtiesa izvērtētu, vai tiek aizsargātas personas intereses un tā atrodas drošā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tiesību aizsardzības likuma 51.panta trešā daļa noteic, ka  katrai personai ir pienākums ziņot policijai vai citai kompetentai iestādei par vardarbību vai citu pret bērnu vērstu noziedzīgu nodarījumu. Par neziņošanu vainīgās personas saucamas pie likumā noteiktās atbildības. Savukārt atbilstoši šā likuma 52. panta ceturtajai daļai, 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 informēs arī bāriņtiesu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policija jau būs konstatējusi apdraudējumu personai, tā paziņos bāriņtiesai atbilstoši Bērnu tiesību aizsardzības likumā noteiktajam. Likumprojekts tostarp nosaka, ka policija arī par lēmumu bāriņtiesa tiks informēta.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w:t>
            </w:r>
            <w:r w:rsidR="00000000" w:rsidRPr="00000000" w:rsidDel="00000000">
              <w:rPr>
                <w:vertAlign w:val="superscript"/>
                <w:rtl w:val="0"/>
              </w:rPr>
              <w:t xml:space="preserve">2</w:t>
            </w:r>
            <w:r w:rsidR="00000000" w:rsidRPr="00000000" w:rsidDel="00000000">
              <w:rPr>
                <w:rtl w:val="0"/>
              </w:rPr>
              <w:t xml:space="preserve"> panta sestās daļas pirmo teikumu, norādot tikai apstrīdēšanas iestādi. Šobrīd minētā norma paredz, ka lēmumu par aizliegumu neaizsargātai personai, par kuru pieņemts lēmums par aizliegumu izceļot no Latvijas Republikas var apstrīdēt "neaizsargātā persona". Tomēr norādām, ka gadījumos, ja persona ir nepilngadīga vai tai ir ierobežota rīcībspēja, noteiktā apjomā personas tiesību aizsardzību īsteno tās aizbildnis vai aizgādnis. Līdz ar to lūdzam neierobežot to personu loku, kas var apstrīdēt lēmumu par aizliegumu personai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2.pantā (ar kuru likums "Par valsts policiju"  tiek papildināts ar jaunu 12.</w:t>
            </w:r>
            <w:r w:rsidR="00000000" w:rsidRPr="00000000" w:rsidDel="00000000">
              <w:rPr>
                <w:vertAlign w:val="superscript"/>
                <w:rtl w:val="0"/>
              </w:rPr>
              <w:t xml:space="preserve">2</w:t>
            </w:r>
            <w:r w:rsidR="00000000" w:rsidRPr="00000000" w:rsidDel="00000000">
              <w:rPr>
                <w:rtl w:val="0"/>
              </w:rPr>
              <w:t xml:space="preserve"> pantu) pēc vārdiem "var tikt apdraudēta" papildināt ar vārdiem "saistībā ar cilvēku tirdzniecību vai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 saistībā ar cilvēku tirdzniecību vai ar dzimumu saistītu vardarbību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paredz, ka Valsts policija par pieņemto lēmumu par aizliegumu neaizsargātai personai izceļot no Latvijas Republikas informē Pilsonības un migrācijas lietu pārvaldi. Lūdzam izvērtēt, vai likumprojektā nav nepieciešams paplašināt paziņošanas pienākumu, nosakot, ka par pieņemto lēmumu jāinformē arī bāriņtiesa gadījumā, ja lēmums pieņemts par </w:t>
            </w:r>
            <w:r w:rsidR="00000000" w:rsidRPr="00000000" w:rsidDel="00000000">
              <w:rPr>
                <w:u w:val="single"/>
                <w:rtl w:val="0"/>
              </w:rPr>
              <w:t xml:space="preserve">nepilngadīgu personu</w:t>
            </w:r>
            <w:r w:rsidR="00000000" w:rsidRPr="00000000" w:rsidDel="00000000">
              <w:rPr>
                <w:rtl w:val="0"/>
              </w:rPr>
              <w:t xml:space="preserve"> (kā arī gadījumā, ja personai iecelts aizgādnis).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 </w:t>
            </w:r>
            <w:r w:rsidR="00000000" w:rsidRPr="00000000" w:rsidDel="00000000">
              <w:rPr>
                <w:i w:val="1"/>
                <w:rtl w:val="0"/>
              </w:rPr>
              <w:t xml:space="preserve">kompetento iestāžu, tostarp tiesu iestāžu, darbības un lēmumi pēc lēmuma pieņemšanas par ziņojuma iekļaušanu sistēmā par bērnu, jāveic un jāpieņem sadarbībā ar bērnu tiesību aizsardzības iestādēm</w:t>
            </w:r>
            <w:r w:rsidR="00000000" w:rsidRPr="00000000" w:rsidDel="00000000">
              <w:rPr>
                <w:rtl w:val="0"/>
              </w:rPr>
              <w:t xml:space="preserve">", tomēr šobrīd anotācijā nav skaidrots, kā tas tiks nodrošināts, tāpat nav minēts policijas pienākums informēt bāriņtiesu par lēmumu, ar kuru tiek ierobežota nepilngadīgas personas pārvietošanās brīvība. Jāatzīmē, ka nepieciešamība pieņemt likumprojektā paredzēto lēmumu par izbraukšanas aizliegumu var liecināt, piemēram, par to, ka bērna likumiskie pārstāvji nevar pilnībā nodrošināt bērna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(ja nepieciešams, sadarbībā ar Labklājības ministriju), vai citos normatīvajos aktos, tai skaitā, Bērnu tiesību aizsardzības likumā un Bāriņtiesu likumā iekļautais tiesiskais regulējums pietiekami skaidri paredz policijas amatpersonas pienākumu informēt bāriņtiesu par attiecībā uz nepilngadīgām personām pieņemtiem lēmumiem. Minēto izvērtējumu (informāciju par attiecīgajām tiesību normām) lūdzam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likumprojektā izteiktajā 12.</w:t>
            </w:r>
            <w:r w:rsidR="00000000" w:rsidRPr="00000000" w:rsidDel="00000000">
              <w:rPr>
                <w:vertAlign w:val="superscript"/>
                <w:rtl w:val="0"/>
              </w:rPr>
              <w:t xml:space="preserve">2 </w:t>
            </w:r>
            <w:r w:rsidR="00000000" w:rsidRPr="00000000" w:rsidDel="00000000">
              <w:rPr>
                <w:rtl w:val="0"/>
              </w:rPr>
              <w:t xml:space="preserve">panta trešajā daļā paredzēt pienākumu informēt arī bāriņtiesu un/vai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tai skaitā 2023. gada 21. februāra saskaņošanas sanāksmē pārrunāto, aicinām likumprojekta anotācijas 1.1. apakšpunktā svītrot atsauci uz regulas 2018/1862) 32. panta 1. </w:t>
            </w:r>
            <w:r w:rsidR="00000000" w:rsidRPr="00000000" w:rsidDel="00000000">
              <w:rPr>
                <w:b w:val="1"/>
                <w:rtl w:val="0"/>
              </w:rPr>
              <w:t xml:space="preserve">c) apakšpunktu</w:t>
            </w:r>
            <w:r w:rsidR="00000000" w:rsidRPr="00000000" w:rsidDel="00000000">
              <w:rPr>
                <w:rtl w:val="0"/>
              </w:rPr>
              <w:t xml:space="preserve">, jo likumprojekts uz šo personu grupu neattiecas.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pārskatīt arī pārējo anotācijas tekstu, jo informācija, kas saistīta ar  regulas 2018/1862) 32. panta 1. c) apakšpunktā minētajiem lēmumiem (proti, tiesas nolēmumiem par bērniem, kuri pakļauti civiltiesiskās nolaupīšanas riskam) šobrīd atrodama arī anotācijas 1.3. apakšpunktā - problēmas aprakstā un sadaļā par risinājumu alternatīvām, kā arī 1.6., 2.1., 8.1.12. un 8.1.13.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21. februāra saskaņošanas sanāksmē pārrunātajam aicinām precizēt anotācijā norādīto likumprojekta mērķa formulējumu. Proti, likumprojekts nosaka mehānismu, kā neaizsargātu personu pašu interesēs ierobežot šo personu tiesības izbraukt no valsts. Regulas 2018/1862) 32. panta 1. punkta </w:t>
            </w:r>
            <w:r w:rsidR="00000000" w:rsidRPr="00000000" w:rsidDel="00000000">
              <w:rPr>
                <w:u w:val="single"/>
                <w:rtl w:val="0"/>
              </w:rPr>
              <w:t xml:space="preserve">ieviešanai</w:t>
            </w:r>
            <w:r w:rsidR="00000000" w:rsidRPr="00000000" w:rsidDel="00000000">
              <w:rPr>
                <w:rtl w:val="0"/>
              </w:rPr>
              <w:t xml:space="preserve"> pietiktu ar grozījumiem Šengenas informācijas sistēmas likumā, savukārt šis likumprojekts ("Grozījumi likumā "Par policiju"") paredz tiesisko risinājumu personu pamattiesību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precizēt arī anotācijas 1.3. apakšpunktu (t.sk. sadaļu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izstrādāts, lai īstenotu </w:t>
            </w:r>
            <w:r w:rsidR="00000000" w:rsidRPr="00000000" w:rsidDel="00000000">
              <w:rPr>
                <w:i w:val="1"/>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w:t>
            </w:r>
            <w:r w:rsidR="00000000" w:rsidRPr="00000000" w:rsidDel="00000000">
              <w:rPr>
                <w:rtl w:val="0"/>
              </w:rPr>
              <w:t xml:space="preserve">(turpmāk – regula) 32. panta 1. d) un e) apakšpunktā, 4.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ietvertais regulējums būtiski pārsniedz minēto regulas normu ieviešanai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attiecīgās regulas normas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Pēc izdevējas dalībvalsts kompetentās iestādes lūguma SIS ievada brīdinājumus par šādu kategoriju personām:</w:t>
            </w:r>
            <w:r w:rsidR="00000000" w:rsidRPr="00000000" w:rsidDel="00000000">
              <w:rPr>
                <w:i w:val="1"/>
                <w:rtl w:val="0"/>
              </w:rPr>
              <w:t xml:space="preserve">d) bērni, kuriem jāliedz ceļot un attiecībā uz kuriem pastāv konkrēts un acīmredzams risks, ka tos var aizvest no dalībvalsts teritorijas vai viņi var to atstāt un</w:t>
            </w:r>
            <w:r w:rsidR="00000000" w:rsidRPr="00000000" w:rsidDel="00000000">
              <w:rPr>
                <w:i w:val="1"/>
                <w:rtl w:val="0"/>
              </w:rPr>
              <w:t xml:space="preserve">i) kļūt par cietušajiem cilvēku tirdzniecībā vai saistībā ar piespiedu laulību, sieviešu dzimumorgānu kropļošanu vai citiem ar dzimumu saistītas vardarbības veidiem;</w:t>
            </w:r>
            <w:r w:rsidR="00000000" w:rsidRPr="00000000" w:rsidDel="00000000">
              <w:rPr>
                <w:i w:val="1"/>
                <w:rtl w:val="0"/>
              </w:rPr>
              <w:t xml:space="preserve">ii) kļūt par cietušajiem vai tikt iesaistīti teroristu nodarījumos; vai</w:t>
            </w:r>
            <w:r w:rsidR="00000000" w:rsidRPr="00000000" w:rsidDel="00000000">
              <w:rPr>
                <w:i w:val="1"/>
                <w:rtl w:val="0"/>
              </w:rPr>
              <w:t xml:space="preserve">iii) tikt iesaukti vai iesaistīti bruņotās grupās vai kuriem var likt aktīvi piedalīties karadarbībā;</w:t>
            </w:r>
            <w:r w:rsidR="00000000" w:rsidRPr="00000000" w:rsidDel="00000000">
              <w:rPr>
                <w:i w:val="1"/>
                <w:rtl w:val="0"/>
              </w:rPr>
              <w:t xml:space="preserve">e) pilngadīgas neaizsargātas personas, kurām jāliedz ceļot viņu pašu aizsardzības dēļ un attiecībā uz kuriem pastāv konkrēts un acīmredzams risks, ka tās var aizvest no dalībvalsts teritorijas vai viņas var to atstāt un kļūt par cietušajiem cilvēku tirdzniecībā vai ar dzimumu saistītā vardarbībā.</w:t>
            </w:r>
            <w:r w:rsidR="00000000" w:rsidRPr="00000000" w:rsidDel="00000000">
              <w:rPr>
                <w:i w:val="1"/>
                <w:rtl w:val="0"/>
              </w:rPr>
              <w:t xml:space="preserve">(..)</w:t>
            </w:r>
            <w:r w:rsidR="00000000" w:rsidRPr="00000000" w:rsidDel="00000000">
              <w:rPr>
                <w:i w:val="1"/>
                <w:rtl w:val="0"/>
              </w:rPr>
              <w:t xml:space="preserve">4.   Brīdinājumu par personām, kas minētas 1. punkta d) un e) apakšpunktā, ievada pēc kompetento iestāžu, tostarp tiesu iestāžu, lēmuma.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preambulas 36.apsvērumā skaidrots, ka “</w:t>
            </w:r>
            <w:r w:rsidR="00000000" w:rsidRPr="00000000" w:rsidDel="00000000">
              <w:rPr>
                <w:i w:val="1"/>
                <w:rtl w:val="0"/>
              </w:rPr>
              <w:t xml:space="preserve">lai nodrošinātu stingrus un piemērotus aizsardzības pasākumus, brīdinājumi par bērniem vai citām neaizsargātām personām, kam jāliedz ceļot, būtu – </w:t>
            </w:r>
            <w:r w:rsidR="00000000" w:rsidRPr="00000000" w:rsidDel="00000000">
              <w:rPr>
                <w:i w:val="1"/>
                <w:u w:val="single"/>
                <w:rtl w:val="0"/>
              </w:rPr>
              <w:t xml:space="preserve">ja tas prasīts valsts tiesību aktos </w:t>
            </w:r>
            <w:r w:rsidR="00000000" w:rsidRPr="00000000" w:rsidDel="00000000">
              <w:rPr>
                <w:i w:val="1"/>
                <w:rtl w:val="0"/>
              </w:rPr>
              <w:t xml:space="preserve">– jāievada SIS </w:t>
            </w:r>
            <w:r w:rsidR="00000000" w:rsidRPr="00000000" w:rsidDel="00000000">
              <w:rPr>
                <w:i w:val="1"/>
                <w:u w:val="single"/>
                <w:rtl w:val="0"/>
              </w:rPr>
              <w:t xml:space="preserve">pēc tiesu iestādes lēmuma vai kompetentas iestādes lēmuma, ko apstiprinājusi tiesu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regula paredz gadījumus un kārtību, kādā ziņojumus par noteiktām personām ievada SIS. Tomēr regula neparedz un neuzdot dalībvalstīm izstrādāt pašu šādu lēmumu pieņemšanas kārtību – tā atsaucas uz dalībvalsts tiesību aktiem, tai skaitā uzsverot tiesu iestāžu lomu šādu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savukārt paredz jaunu personas pamattiesību ierobežojumu, proti, rīcībspējas ierobežošanai pielīdzināmu lēmumu, kā arī lēmumu, kas ierobežo Latvijas Republikas Satversmes 98.pantā paredzētās tiesības. Tā kā regula reglamentē tikai šādu lēmumu ievadīšanu SIS, atstājot ierobežojuma noteikšanu pēc būtības pašu dalībvalstu ziņā, nav pamatoti likumprojekta anotācijā norādīt, ka likumprojekts nepieciešams regulas tieši piemērojamo tiesību normu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vai nu paredzēt tikai tādas tiesību normas, kas tieši nepieciešamas regulas 32. panta 1. d) un e) apakšpunktā minēto lēmumu (ja tādi ir pieņemti) ievadīšanas SIS kārtību (piemēram, par likumprojektā 22-TA-136 "Grozījumi Šengenas informācijas sistēmas darbības likumā" minēto </w:t>
            </w:r>
            <w:r w:rsidR="00000000" w:rsidRPr="00000000" w:rsidDel="00000000">
              <w:rPr>
                <w:u w:val="single"/>
                <w:rtl w:val="0"/>
              </w:rPr>
              <w:t xml:space="preserve">lēmumu par ziņojuma iekļaušanu sistēmā</w:t>
            </w:r>
            <w:r w:rsidR="00000000" w:rsidRPr="00000000" w:rsidDel="00000000">
              <w:rPr>
                <w:rtl w:val="0"/>
              </w:rPr>
              <w:t xml:space="preserve">), vai arī atbilstoši Latvijas Republikas Satversmes 116.pantam likumprojekta anotācijā pamatot Latvijas Republikas Satversmē noteikto pamattiesību ierobežojuma nepieciešamību un samērīgumu (lai aizsargātu citu cilvēku tiesības, demokrātisko valsts iekārtu, sabiedrības drošību, labklājību un tikumību). Tāpat likumprojekta anotācijā nepieciešams skaidri norādīt, ka regulējums pārsniedz regulas ieviešanai nepieciešamos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vēršam uzmanību uz jau iepriekš minēto, ka likumprojekts paredz ne tikai iespēju ierobežot personas tiesības izbraukt no valsts, bet arī lemt par personas atzīšanu par “neaizsargātu personu”, kas pēc būtības pielīdzināms lēmumam par personas rīcībspējas ierobežošanu (t.i., tiek konstatēts, ka persona sava vecuma, invaliditātes vai ģimenes apstākļu dēļ nav spējīga apzināties savas rīcības sekas vai riskus savai drošībai, un kādam ir jāpieņem lēmums šīs personas vietā). Jāatzīmē, ka šādu lēmumu atbilstoši Civillikumam ir tiesīga pieņemt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lēmumus par izceļošanas aizliegumu (neskarot personas rīcībspējas jautājumus) atbilstoši Nacionālās drošības likuma 18.</w:t>
            </w:r>
            <w:r w:rsidR="00000000" w:rsidRPr="00000000" w:rsidDel="00000000">
              <w:rPr>
                <w:vertAlign w:val="superscript"/>
                <w:rtl w:val="0"/>
              </w:rPr>
              <w:t xml:space="preserve">1</w:t>
            </w:r>
            <w:r w:rsidR="00000000" w:rsidRPr="00000000" w:rsidDel="00000000">
              <w:rPr>
                <w:rtl w:val="0"/>
              </w:rPr>
              <w:t xml:space="preserve"> panta pirmajai daļai pieņem iekšlietu ministrs un tos var pārsūdzēt Augstākās tiesas Administratīvo lietu departamentā.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likumprojekts paredz, ka personas pamattiesību ierobežojuma un juridisko seku smaguma ziņā pielīdzināmus lēmumus pieņem Valsts policijas amatpersona, tos var apstrīdēt Valsts policijas priekšniekam un pēc tam pārsūdzēt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arī pamatot, ka attiecīgā lēmuma pieņemšanas līmenis, ņemot vērā ierobežojuma būtiskumu un ilglaicīgumu, ir pamatots un samērīgs, it īpaši salīdzinot ar citu līdzīgu lēmumu pieņemšanas kārtību, un vai persona šī lēmuma pieņemšanas procesā varēs savas tiesības aizsargāt tādā pat līmenī, kā citos līdzīgos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(ex-ante)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Šengenas darbības informācijas sistēmas darbības likuma 7. pantam lēmumu par ziņojuma iekļaušanu Sistēmā var pieņemt kompetentā amatpersona konkrētā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Šengenas sistēmā iekļautu par regulas 2018/1862 1. pantā minēto personu par liegumu tai izceļot no valsts, konkrētai amatpersonai ir jāpieņem lēmums par liegumu tai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un otrā daļa paredz, ka, saņemot informāciju vai iesniegumu, kas var liecināt par šā likuma 12. panta pirmās daļas 30.1 punktā minēto nosacījumu esību, Valsts policijas amatpersona triju darbdienu laikā izvērtē, vai ir pietiekams pamats uzskatīt, ka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 konstatē, ka neaizsargātās personas dzīvība, veselība vai drošība var tikt apdraudēta,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darbdienas laikā nosūta atzinumu Valsts policijas priekšnieka pilnvarotai amatpersonai lēmuma pieņemšanai par aizliegumu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nekavējoties, bet ne vēlāk kā nākamajā darbdienā, paziņo par to bāriņtiesai, ja neaizsargātā persona ir nepilngadīga vai, ja neaizsargātā persona ir pilngadīga un tai Latvijas Republikā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policija vispirms izvērtēs vai informācijā minētās ziņas satur riskus neaizsargātajai personai, vai konkrētā gadījumā ir nepieciešams noteikt liegumu personai izceļot no valsts. Tāpat policijai ir jāvērtē arī neaizsargātās personas vecāku, aizbildņu vai aizgādņu attieksme pret notiekošo, proti, vai vecāki, aizbildņi vai aizgādņi paši var novērst neaizsargātās personas izceļošanu, piemēram, neizsniedzot tās personu apliecinošo dokumentu, nodrošinot personas pavadību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minētais liegums ir būtisks personas pārvietošanās brīvībai, tad likumprojekts paredz, ka šādu lēmumu varēs pieņemt Valsts policijas priekšnieka pilnvarotā amatpersona pēc visu apstākļu izvērtējuma, lai novērstu draudus personas veselībai, drošībai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policija vispirms izvērtēs konstatētos faktus un apdraudējumu "neaizsargātajai personai" katrā konstatētajā notikumā, kas nenozīmē, ka uzreiz tiks pieņemt lēmums par liegumu personai izceļot no valsts. Proti, policija vispirms izvērtēs personas aizbildņu attieksmi pret notikušo.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22. pants noteic, ka bērna aizgādības tiesību pārtraukšana, atņemšana un atjaunošana ir bāriņtiesas kompetencē, proti, tā lemj par bērna aizgādības tiesību pārtraukšanu, ja tiek noskaidrots, ka bērna dzīvība un veselība ir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Bāriņtiesai ar likumu ir noteikts pienākums rūpēties arī par aizgādņiem jeb par to, cik godprātīgi aizgādnis pilda savus pienākumus. Proti, var būt situācija, kad aizgādnis nepilda uzdevumus un tāpēc personai rodas apdraudējums. Šādā gadījumā pirmais solis pirms lēmuma par izceļošanu būtu iespējams bāriņtiesai iecelt jaunu aizgādni.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pants noteic, ka  ikvienam ir tiesības brīvi izbraukt no Latvijas. Ikviens, kam ir Latvijas pase, ārpus Latvijas atrodas valsts aizsardzībā, un viņam ir tiesības brīvi atgriezties Latvijā. Latvijas pilsoni nevar izdot ārvalstīm, izņemot Saeimas apstiprinātajos starptautiskajos līgumos paredzētos gadījumus, ja ar izdošanu netiek pārkāptas Satversmē noteiktās cilvēka pamattiesības. Tomēr minētās personas tiesības var ierobežot. Proti, Latvijas Republikas Satversmes 116. pants noteic, ka personas tiesības, kas noteiktas Satversmes 98.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judikatūru iespējama arī tādu pamattiesību ierobežošana, kas nav uzskaitītas Satversmes 116. pantā: "Tas, ka Satversmes norma neparedz attiecīgās pamattiesības ierobežošanas iespējamību, nenozīmē, ka šīs pamattiesības ir absolūtas un arī tām nevar noteikt ierobežojumus" (lieta Nr. 2002-04-03, secinājumu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juridiskajā literatūrā, "pamattiesību ierobežojumu mērķis ir atrast taisnīgu un saprātīgu līdzsvaru starp atsevišķas personas pamattiesībām, no vienas puses, un citām konstitucionālajām vērtībām, no otras puses". Tieši minētā līdzsvara nodrošināšanai ir pieļaujama personas pamattiesību samērīga ierobežošana. Turklāt Satversmes tiesa ir secinājusi: "tas, ka Satversmes norma neparedz attiecīgās pamattiesības ierobežošanas iespējamību, nenozīmē, ka šīs pamattiesības ir absolūtas un arī tām nevar noteikt ierobežojumus".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pamattiesību ierobežojumi pieļaujami tikai tiktāl, ciktāl tie nepieciešami konkrētā mērķa sasniegšanai, proti, tiem jābūt samērīgiem ar attiecīgo mērķi. (Latvijas Republikas Satversmes komentāri: VIII nodaļa. Cilvēka pamattiesības. Aut. kol. J. Rudevskis, E. Levits, J. Briede u. c. Rīga: Latvijas Vēstnesis, 2011, 762. -764.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policijas priekšnieka pilnvarotā amatpersona, pirms lēmuma pieņemšanas par aizliegumu personai izceļot no Latvijas Republikas, izvērtēs tā pamatotību un samērīgumu, ievērojot neaizsargātās personas dzīvības, veselības un drošības riskus. Savukārt neaizsargātā persona, par kuru tiks pieņemts lēmums par aizliegumu tai izceļot no Latvijas Republikas, tās pārstāvim vai aizbildnim viena mēneša laikā pēc lēmuma paziņošanas, būs tiesības to apstrīdēt Valsts policijas priekšniekam un pēc tam pārsūdzēt Administratīvajā rajona tiesā. Attiecīgi personas pārvietošanās brīvība uz noteiktu laiku tiks ierobežota (Satversmes 98. pants), lai aizsargātu pašu personu, bet attiecīgi tā varēs aizstāvēt savas tiesības – lēmumu pārsūdzot vai apstrīdot.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aizgādības aspektus piemēro arī uz aizgādnības īstenošu. Vēršam uzmanību, ka minētais ir nepareizs apgalvojums. Ir jānošķir bērnu tiesisko regulējumu no aizgādnībā esošās personas regulējuma. Un proti, aizbildnības tiesisko regulējumu piemēro tikai tiktāl, ciktāl aizgādnības noteikumi nerunā pretēji. Turklāt aizgādība nav aizbildnība, tādēļ aizgādnības noteikumi nav piemērojami aizgādnībai un 177.pants neattiecas uz aizgādnību. Turklāt, atbilstoši Invaliditātes konvencijai, mazaizsargāto pieaugušo nevar uztvert kā bērnu un piemērot bērnu tiesisko regulējumu pilngadīgai un rīcībspējīgai personai. Attiecībā uz aizgādni un aizgādnībā esošo personu nav attiecināms Bērnu tiesību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aizgādnis rīkojas tikai tiesas noteiktā apjomā. Tā kā aizgādnim ir tiesības rīkoties tikai mantiskos jautājumos, tad aizgādnis nav atbildīgs par personas pārvietošanās brīvību, tikšanos ar citām personām. Aizgādnim nav tiesības ietekmēt un kontrolēt aizgādnība esošās personas personiskās nemantiskās tiesības. Aizgādnim nav tiesības turēt pie sevis un nedot personu apliecinošos dokumentu aizgādnībā esošai personai. Turklāt skaidrojam, ka aizgādnis nav aizgādnībā esošās personas likumiskais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skaidri nodalīt bērnu aizsardzību no pieaugušā aizsardzības (aizbildnību no aizgādnības), kur tas nepieciešams. Tas nav identisks gadījums un katram ir piemērojami savi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pārvietošanā brīvības ierobežojumu, mazaizsargātai personai, kur nav neko nodarījusi pret valsti, sabiedrību vai indivīdu, anotācijā ir iekļauta Eiropas Cilvēktiesību Tiesas prakses piemēri un izvērtējums. Vēršam uzmanību, ka norādītie piemēri, kas pamato pārvietošanās brīvības ierobežojumu pamatotību, ir saistīti ar pašas personas rīcību, turklāt negatīvu pret valsti (kriminālprocesa ietvaros, nodokļu parādi, nepilda saistības pret kreditoriem, un citi), sabiedrību vai indivīdu. Nav neviens piemērs dots, kur tieši pārvietošanās brīvība ir ierobežota pilngadīgais personai, kura nav pārkāpusi nevienu tiesību vai sociālu normu. Vienlaikus ir skaidri norādīts, ka būtiska ir citu valstu un kopējā Eiropas pieļautās normas. Attiecībā uz šo ierobežojumu anotācijā nav minēts neviens piemērs, ka šāds ierobežojums pastāv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tādu tiesu praksi, kas ataino ierobežojuma pamatbūtību, kā arī sniegt citu valstu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vai un kā tiks nodrošināta pilngadīgas 'neaizsargātās personas' uzklausīšana pirms administratīvā akta pieņemšanas par izceļošanas aizliegumu. Lai gan anotācijā tiek aprakstīts, ka tiks noskaidrots personas likumiskā pārstāvja viedoklis, tomēr norādām, ka attiecībā uz pilngadīgām personām aizgādnim nav tiesību iejaukties aizgādnībā esošās personas personiskajās nemantiskajās tiesībās (tai skaitā tiesībās brīvi pārvietoties, ceļot utt.). Attiecīgi lūdzam anotācijā precizēt vai svītrot tekstu: "Vienlaikus policijas darbiniekam ir jāvērtē arī neaizsargātās personas likumiskā pārstāvja attieksme pret notiekošo, proti, vai likumiskais pārstāvis pats var novērst neaizsargātās personas izceļošanu, piemēram, neizsniedzot tās personu apliecinošo dokumentu, tādējādi faktiski liedzot izceļot, nodrošinot personas pavadību u.c." Personu apliecinoša dokumenta neizsniegšana nevar tikt attiecināta uz pilngadīgu personu, jo šādas darbības būtu vērtējamas kā prettiesiskas. Nevienai pilngadīgai personai nevar atņemt vai aizturēt tās dokumentus. Tāpat norādām, ka rīcībspējas ierobežojums saskaņā ar Civilprocesa likuma 268.pantu var tikt noteikts tikai četrās finanšu tiesību jomās (maksājumu izdarīšana un saņemšana, darījumu slēgšana, rīcība ar mantu, saimnieciskās darbības veikšana). Savukārt atbilstoši Civillikuma 356.</w:t>
            </w:r>
            <w:r w:rsidR="00000000" w:rsidRPr="00000000" w:rsidDel="00000000">
              <w:rPr>
                <w:vertAlign w:val="superscript"/>
                <w:rtl w:val="0"/>
              </w:rPr>
              <w:t xml:space="preserve">1</w:t>
            </w:r>
            <w:r w:rsidR="00000000" w:rsidRPr="00000000" w:rsidDel="00000000">
              <w:rPr>
                <w:rtl w:val="0"/>
              </w:rPr>
              <w:t xml:space="preserve"> pantā noteiktajam personas rīcībspēja nav ierobežojama personiskajās nemantiskajās tiesībās. Līdz ar to likumiskais pārstāvis nav tiesīgs personas vietā pieņemt lēmumu ceļot vai nē,  un likumiskā pārstāvja uzklausīšana var būt tikai fakultatīva darbība, galveno lēmumu ir jāpieņem pašai personai. Tāpat Labklājības ministrijas ieskatā likumiskā pārstāvja iesniegums policijā nevar būt vienīgais pamats noteikt izceļošanas aizliegumu pilngadīgai personai, neuzklausot pašu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 attiecībā uz </w:t>
            </w:r>
            <w:r w:rsidR="00000000" w:rsidRPr="00000000" w:rsidDel="00000000">
              <w:rPr>
                <w:u w:val="single"/>
                <w:rtl w:val="0"/>
              </w:rPr>
              <w:t xml:space="preserve">pilngadīgu neaizsargātu personu </w:t>
            </w:r>
            <w:r w:rsidR="00000000" w:rsidRPr="00000000" w:rsidDel="00000000">
              <w:rPr>
                <w:rtl w:val="0"/>
              </w:rPr>
              <w:t xml:space="preserve">izceļošanas aizliegums nosakāms tikai vienā no diviem regulas 32.panta pirmās daļas e)apakšpunktā minētajiem gadījumiem. Proti, pastāv konkrēts un acīmredzams risks personai kļūt par upuri saistībā ar 1) cilvēku tirdzniecību vai 2) ar dzimumu saistītu vardarbību. Labklājības ministrijas ieskatā nevienā citā gadījumā Regula nepieļauj noteikt izceļošanas aizliegumu pilngadīgai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iespējami mazāk ierobežojošus līdzekļus neaizsargātajai personai saistībā ar personu apliecinoša dokumenta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paredz, ka pēc lēmuma par izceļošanas vai izvešanas aizlieguma no Latvijas Republikas pieņemšanas, Valsts policija nekavējoties, bet ne vēlāk kā nākamajā dienā, par to informē Pilsonības un migrācijas lietu pārvaldi, kura atzīst par nederīgu attiecīgās personas personu apliecinošu dokumentu un izsniedz jaunu personu apliecinošu dokumentu, kas nav derīgs ceļošanai. Tāpat anotācija paredz izstrādāt saistītos grozījumus Personu apliecinošu dokumentu likumā (22-TA-139) un Ministru kabineta 2012. gada 16. oktobra noteikumos Nr. 708 "Noteikumi par nederīgo dokumentu reģistru" (turpmāk – noteikumi Nr.708.). Papildus anotācijā aprakstīts, ka personai varēs tikt piemērota administratīvā atbildība par dzīvošanu bez personu apliecinoša dokumenta, kā arī kriminālatbildība,  ja tiks pārkāpts noteiktais aizliegums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visi minētie ierobežojumi nesamērīgi ierobežo personu. Jo vairāk tādēļ, ka šādus ierobežojumus neparedz un nepieprasa arī Regula. Tāpat norādām, ka likumprojektā skaidri dotas norādes, ka izceļošanas aizliegums tiek noteikts personai, ja tā reāli pakļauta apdraudējumam "kļūt par upuri", tādējādi cenšoties to pasargāt. Tomēr ar minētajiem pasākumiem persona vēl vairāk tiks pakļauta nesamērīgiem apgrūtinājumiem saistībā ar dokumentu maiņu (vispirms nodot personas apliecību, un pēc tam to atjaunot (t,sk. valsts nodeva, kā arī garās rindas saistībā ar dokumentu saņemšanu Pilsonības un migrācijas lietu pārvaldē) vai soda uzlikšanu. Tādējādi lūdzam izvērtēt, vai nebūtu pietiekoši, ka, atbilstoši Regulai, sistēmā tiek veikts ieraksts, taču personai neuzliek pienākumu personu apliecinošu dokumentu atgriezt PMLP un pēc 4 mēnešiem atkal izgatavot jaunu. Ja gadījumā tomēr personai tiek noteikti šādi pienākumi, tai jau administratīvā akta pieņemšanas gaitā, personu uzklausot, tā ir jāinformē par visām turpmākajām administratīvā akta sekām un darbībām, kas personai turpmāk būs jāveic.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pamatojumu par likumprojektā noteikto, ka pieteikuma iesniegšana tiesā neaptur lēmuma par liegumu neaizsargātai personai izceļot no Latvijas Republikas darbību. Vēršam uzmanību, ka tas, ka likumā nepieciešms atrunāt šādu izņēmumu no Administratīvā procesa likuma, pats par sevi nav iemesls šādu ierobežojuma noteikšanai. Ir nepieciešams likumprojekta anotācijā pamatot, piemēram, ka pretējā gadījumā konstatēto personas tiesību apdraudējumu nevarēs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ieviests jauns konceptuāla rakstura pieaugušas (18 gadus sasniegušas un rīcībspējīgas) personas tiesiskās aizsardzības līdzeklis – liegums izbraukt no valsts, lai aizsargātu konkrētās personas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personas dažādu apstākļu dēļ var būt neaizsargātas un kļūt par upuri, tādēļ valsts veic savu pozitīvo pienākumu, lai šādas personas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neskatoties uz to, ka persona ir neaizsargāta un var neapzināties savu rīcību un sekas, liegumu izbraukt no valsts – valsts realizēs caur piespiedu mehānismu – neaizsargāto personu sodot. Valsts piemēros represīvos līdzekļus pret pašu neaizsargāto personu, lai nodrošinātu šīs personas veselības un dzīvības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“Attiecīgi personai, kas neievēros pieņemto lēmumu vai attiecīgi ar to saistītos pienākumus, iespējama šāda atbildība: 1) administratīvais pārkāpums par dzīvošanu bez derīga personu apliecinoša dokumenta (ja pēc lēmuma termiņa personu apliecinošs dokuments netiks saņemts); 2) par atrašanos ārvalstī bez derīga personu apliecinoša (ceļošanas) dokumenta (sodu piemēro attiecīgā ārvalsts atbilstoši tās nacionālajam regulējumam) un attiecīgi persona būs pakļauta izraidīšanai atpakaļnodošanas procedūrai uz izceļošanas valsti; 3) kriminālatbildība, ja tiek pārkāpts noteiktais aizliegums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šādas neaizargātas personas sodīšana, jo īpaši krimināltiesiski, nav samērīga un neaizsargā jau tā neaizsargāto personu. Vēršam uzmanību, ka šāda persona neapdraud sabiedrības drošību un būtībā pati var kļut par cilvēktirdznieības upuri. Tieslietu ministrijas ieskatā neaizsargātās personas, kā anotācijā jau ir norādīts, neizprot situācijas nozīmīgumu, nekontaktējas ar valsts vai pašvaldības iestādēm un personām, iespējams pat baidās, tāpat var nebūt zināšanas. Tieslietu ministrijas ieskatā valstij no savas puses būtu šādas personas jāatbalsta un jāpalīdz tām saprast savu darbību sekas, nevis jāsoda ar par darbībām vai bezdarbību situācijās, kur, iespējams, šīs personas nesaprot savu darbību nozīmi vai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anotāciju, lai no tās būtu skaidri saprotams, ka ar likumprojektu Latvijā tiek ieviests jauns, līdz šim neesošs, tiesību aizsardzības līdzeklis, ar kuru var ierobežot personas pamattiesības. Kā jau vērsām uzmanību iepriekš, no Eiropas Parlamenta un Padomes 2018. gada 28. novembra regulas (ES) 2018/1862 neizriet dalībvalstu pienākums radīt šādu tiesību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joprojām vairākos gadījumos norādīts, ka likumprojektā ietvertais regulējums izriet no regulas. Piemēram, anotācijā minēts, ka “</w:t>
            </w:r>
            <w:r w:rsidR="00000000" w:rsidRPr="00000000" w:rsidDel="00000000">
              <w:rPr>
                <w:i w:val="1"/>
                <w:rtl w:val="0"/>
              </w:rPr>
              <w:t xml:space="preserve">Maksimālais aizlieguma termiņš izceļot no Latvijas Republikas, kā paredz regulas 2018/1862 53. panta 4. punkts, var būt noteikts līdz vienam gadam</w:t>
            </w:r>
            <w:r w:rsidR="00000000" w:rsidRPr="00000000" w:rsidDel="00000000">
              <w:rPr>
                <w:rtl w:val="0"/>
              </w:rPr>
              <w:t xml:space="preserve">”. Tomēr minētā regulas norma attiecas uz brīdinājumu ievadīšanas Šengenas informācijas sistēmā termiņu, nevis uz dalībvalstu lēmumiem par personas pārvietošanās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vērsām uzmanību sākotnējā atzinuma sniegšanas laikā, likumprojektā ietvertais regulējums būtiski pārsniedz </w:t>
            </w:r>
            <w:r w:rsidR="00000000" w:rsidRPr="00000000" w:rsidDel="00000000">
              <w:rPr>
                <w:i w:val="1"/>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r w:rsidR="00000000" w:rsidRPr="00000000" w:rsidDel="00000000">
              <w:rPr>
                <w:rtl w:val="0"/>
              </w:rPr>
              <w:t xml:space="preserve"> (turpmāk – regula) ieviešanai nepieciešamo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reglamentē datu un informācijas apmaiņu, bet neparedz radīt nacionālajās tiesībās konkrētu tiesiskās aizsardzības līdzekli. Tas ir valsts ziņā izvērtēt, kad, kādā procesā un kādos gadījumos ir jāaizsargā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varētu būt gadījumi, kad valstij, iespējams, būtu jāiejaucas personu privātajā dzīvē un jāveic pasākumi, lai aizsargātu personas dzīvību, veselību un drošību, ja pati persona to nedara vai neapzinās savas rīcības sekas, tomēr šāda ierobežojuma nepieciešamība, samērīgums un process vērtējams Latvijas Republikas Satversmē (turpmāk – Satversme) garantēto personisko nemantisko tiesību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iekļautais tiesiskais regulējums paredz personu pamattiesību ierobežojumu, atkārtoti lūdzam vērtēt likumprojektā iekļautā tiesiskā regulējuma nepieciešamību un samērīgumu, un attiecīgi papildināt likumprojekta anotāciju, ņemot vērā it īpaši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iekļautais regulējums tomēr nav skaidrs un var radīt cilvēktiesību pārkāpumus. Piemēram, nav skaidrs, vai personas neaizsargātība ir kritērijs, lai tai aizliegtu izceļošanu, vai arī apzīmējums tam, ka pastāv šīs personas dzīvības, veselības vai drošības apdraudējums (salīdzinājumam sk. Prokuratūras likuma 16. panta pirmo daļu). Tāpat, ja ar neaizsargātu personu ir domāta arī persona, kurai ir garīga rakstura vai veselības traucējumi, tad nepieciešams izvērtēt regulējuma atbilstību ANO Konvencijai par personu ar invaliditāti tiesībām (šāda izvērtējuma rezultātu norādot likumprojekta anotācijas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likumprojektā ietvertais regulējums ierobežo personas Satversmē garantētās pamattiesības, turklāt šāds ierobežojums var tikt noteikts uz laiku līdz vienam gadam, nepieciešams papildus vērtēt, vai šāds ierobežojums nav tāds, ko var noteikt tikai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pamatot izceļošanas aizlieguma termiņa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vērtēt, vai, gadījumā, ja regulējums kopumā ir samērīgs, tas ir arī pietiekams. Piemēram, likumprojektā nav paredzēta tiesība skartajai personai vai tā pārstāvim prasīt pārskatīt izceļošanas aizlieguma ilgumu, piemēram, ja mainās apstākļi un ir zudis apdraudējuma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 būtu papildināma arī ar izvērstāku šāda jauna tiesiskā aizsardzības līdzekļa satversmīguma izvērtējumu. Vēršam uzmanību, ka ikviena pilngadīga persona ir pilnībā rīcībspējīga un atbildīga par savas rīcības sekām. Līdz ar to ikviena pilngadīga persona var brīvi izmantot savas tiesības brīvi pārvietoties, pat ja tās dzīvība, veselība vai drošība ir apdraudēta. Aizliegums personai izceļot skar ne vien Satversmes 98. pantā garantētās tiesības, bet arī Satversmes 96.pantā un, iespējams, 97. pantā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vēršam uzmanību, ka Tieslietu ministrijas ieskatā likumprojektā paredzētais regulējums būtu skaņojams arī ar Tiesībsargu un, ja regulējums skar personu ar invaliditāti tiesības, būtu noskaidrojams Resursu centra cilvēkiem ar garīgiem traucējumiem “ZELDA”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Projekts tiek skaņots ar Labklājības ministriju, kas atbilstoši Ministru kabineta 2004. gada 27. februāra noteikumu "Labklājības ministrijas nolikums" 4.1. apakšpunktam ir vadošā valsts pārvaldes iestāde, tostarp "izstrādāt darba, sociālās aizsardzības, bērnu un ģimenes tiesību, kā arī personu ar invaliditāti vienlīdzīgu iespēju un dzimumu līdztiesības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skaņots arī ar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paildināt anotācijas 1.4. apakšpunktā ietverto informāciju, proti, skaidrot, kāds sakars šiem datiem ir ar likumprojektā paredzēto tiesisko risinājumu. Vēršam uzmanību, ka likumprojekta mērķis nav neizlaist no Latvijas personas ar garīga rakstura traucējumiem, turklāt, kā arī anotācijā iepriekš minēts, garīga saslimšana nav (un nevar būt) indikācija likumprojektā paredzētā aizlieguma noteikšanai (tas nonāktu pretrunā ar Invaliditātes konvencijas 12. pantu). Tāpat likumprojekta mērķis nav ierobežot personu pārvietošanos tāpēc, ka eventuāli tām ārvalstīs varētu būt vajadzīga konsulārā palīdzība. Likumprojekta mērķis ir novērst ļoti konkrētus, regulas 2018/1862 32. panta 1. punkta  d) un e) apakšpunktā minētus apdraudējumus personām: pirmkārt, attiecībā uz bērniem – cilvēku tirdzniecība, ar dzimumu saistītas vardarbība, iesaistīšana terorismā, iesaistīšana bruņotās grupās; otrkārt, attiecībā uz pieaugušajiem - konkrēts un acīmredzams risks, ka personas var aizvest no dalībvalsts teritorijas vai viņas var to atstāt un kļūt par cietušajiem cilvēku tirdzniecībā vai ar dzimumu saistītā vardarbībā, un personas pašas šo risku neapzinās vai nespēj apzināties.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anotācijas 1.4. apakšpunktā minēto informāciju nav iespējams vismaz indikatīvi saistīt ar likumprojekta mērķiem, aicinām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minēto informāciju, ņemot vērā, ka konceptuāli ir iespējami citi risinājumi – piemēram, nenoteikt ierobežojumu vispār (jo regula 2018/1862 neparedz, ka tāds obligāti jānosaka), vai paredzēt smagnējākus, bet tai pat laikā augstāku personas tiesību garantiju līmeni nodrošinošus mehānismus, piemēram, speciālu tiesas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projekta izpildē iesaistītās institūcijas projekta īstenošanu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6. punktā norādīto, ka saskaņā ar grozījumiem Informācijas centra 2020. gada 12. augusta vienošanās Nr. IC/IDF/2020/2 projekta "Šengenas informācijas sistēmas pilnveidošana" izmaksas 2022.gadā plānotas 831 137 euro apmērā, savukārt saskaņā ar likumu "Par valsts budžetu 2022. gadam" izmaksas 2022.gadā plānotas 718 034 euro apmērā, lūdzam precizēt anotācijas 3. sadaļas 3. aili "izmaiņas kārtējā gadā, salīdzinot ar valsts budžetu kārtējam gadam"  norādot summu 113 103 euro pie budžeta izdevumiem 2. un 2.1. punktos, kā arī pie finansiālās ietekmes 3., 3.1., 5. un 5.1. punktos. Attiecīgi precizējama 3. sadaļas 6. punkta pēdējā rindkopā norādītā informācija, ka 2022. gadam papildu nepieciešamo finansējumu Iekšlietu ministrija nodrošinās iesniedzot priekšlikumu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 atbilstoši normatīvajos aktos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atkārtotas saskaņošanas likumprojekta 1.pantā izteiktais 12. panta pirmās daļas 30.</w:t>
            </w:r>
            <w:r w:rsidR="00000000" w:rsidRPr="00000000" w:rsidDel="00000000">
              <w:rPr>
                <w:vertAlign w:val="superscript"/>
                <w:rtl w:val="0"/>
              </w:rPr>
              <w:t xml:space="preserve">1</w:t>
            </w:r>
            <w:r w:rsidR="00000000" w:rsidRPr="00000000" w:rsidDel="00000000">
              <w:rPr>
                <w:rtl w:val="0"/>
              </w:rPr>
              <w:t xml:space="preserve"> punkts paredz "</w:t>
            </w:r>
            <w:r w:rsidR="00000000" w:rsidRPr="00000000" w:rsidDel="00000000">
              <w:rPr>
                <w:i w:val="1"/>
                <w:rtl w:val="0"/>
              </w:rPr>
              <w:t xml:space="preserve">likumā noteiktajā kārtībā liegt [regulas] 32. panta 1. d) un e) apakšpunktā m</w:t>
            </w:r>
            <w:r w:rsidR="00000000" w:rsidRPr="00000000" w:rsidDel="00000000">
              <w:rPr>
                <w:i w:val="1"/>
                <w:u w:val="single"/>
                <w:rtl w:val="0"/>
              </w:rPr>
              <w:t xml:space="preserve">inētajai personai un, iestājoties kādam no attiecīgajās normās norādītajiem gadījumiem (turpmāk – neaizsargāta persona)</w:t>
            </w:r>
            <w:r w:rsidR="00000000" w:rsidRPr="00000000" w:rsidDel="00000000">
              <w:rPr>
                <w:i w:val="1"/>
                <w:rtl w:val="0"/>
              </w:rPr>
              <w:t xml:space="preserve">, izceļot no Latvijas Republikas, lai draudu novēršanas nolūkā uz laiku to aizsargātu</w:t>
            </w:r>
            <w:r w:rsidR="00000000" w:rsidRPr="00000000" w:rsidDel="00000000">
              <w:rPr>
                <w:rtl w:val="0"/>
              </w:rPr>
              <w:t xml:space="preserve">". Norādām, ka minētā redakcija vairs nav skaidra, tai skaitā vairs nav saprotams, kas uzskatāmas par neaizsargātām personām un kādos gadījumos var liegt personām izceļot no Latvijas. Aicinām normu precizēt, atstājot to sākotnējā redakcijā.  Gadījumā, ja normā nepieciešams likt uzsvaru uz apdraudējumu, kura gadījumā var noteikt izceļošanas aizliegumu, lūdzam normu tiesiskās sakidrības nolūkā precizēt (sk. </w:t>
            </w:r>
            <w:r w:rsidR="00000000" w:rsidRPr="00000000" w:rsidDel="00000000">
              <w:rPr>
                <w:u w:val="single"/>
                <w:rtl w:val="0"/>
              </w:rPr>
              <w:t xml:space="preserve">piemēru </w:t>
            </w:r>
            <w:r w:rsidR="00000000" w:rsidRPr="00000000" w:rsidDel="00000000">
              <w:rPr>
                <w:rtl w:val="0"/>
              </w:rPr>
              <w:t xml:space="preserve">piedāvātajai redakcija). Tomēr vēršam uzmanību, ka nav atbalstāma regulas normu pārrakstīšana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noteiktajā kārtībā liegt </w:t>
            </w:r>
            <w:r w:rsidR="00000000" w:rsidRPr="00000000" w:rsidDel="00000000">
              <w:rPr>
                <w:i w:val="1"/>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r w:rsidR="00000000" w:rsidRPr="00000000" w:rsidDel="00000000">
              <w:rPr>
                <w:rtl w:val="0"/>
              </w:rPr>
              <w:t xml:space="preserve"> (turpmāk – regula 2018/1862) </w:t>
            </w:r>
            <w:r w:rsidR="00000000" w:rsidRPr="00000000" w:rsidDel="00000000">
              <w:rPr>
                <w:b w:val="1"/>
                <w:rtl w:val="0"/>
              </w:rPr>
              <w:t xml:space="preserve">3</w:t>
            </w:r>
            <w:r w:rsidR="00000000" w:rsidRPr="00000000" w:rsidDel="00000000">
              <w:rPr>
                <w:rtl w:val="0"/>
              </w:rPr>
              <w:t xml:space="preserve">2. panta 1. </w:t>
            </w:r>
            <w:r w:rsidR="00000000" w:rsidRPr="00000000" w:rsidDel="00000000">
              <w:rPr>
                <w:b w:val="1"/>
                <w:rtl w:val="0"/>
              </w:rPr>
              <w:t xml:space="preserve">punkta </w:t>
            </w:r>
            <w:r w:rsidR="00000000" w:rsidRPr="00000000" w:rsidDel="00000000">
              <w:rPr>
                <w:rtl w:val="0"/>
              </w:rPr>
              <w:t xml:space="preserve">d) un e) apakšpunktā minētajai personai  (turpmāk – neaizsargāta persona)</w:t>
            </w:r>
            <w:r w:rsidR="00000000" w:rsidRPr="00000000" w:rsidDel="00000000">
              <w:rPr>
                <w:b w:val="1"/>
                <w:rtl w:val="0"/>
              </w:rPr>
              <w:t xml:space="preserve"> </w:t>
            </w:r>
            <w:r w:rsidR="00000000" w:rsidRPr="00000000" w:rsidDel="00000000">
              <w:rPr>
                <w:rtl w:val="0"/>
              </w:rPr>
              <w:t xml:space="preserve">izceļot no Latvijas Republikas, lai </w:t>
            </w:r>
            <w:r w:rsidR="00000000" w:rsidRPr="00000000" w:rsidDel="00000000">
              <w:rPr>
                <w:b w:val="1"/>
                <w:rtl w:val="0"/>
              </w:rPr>
              <w:t xml:space="preserve">regulas 2018/1862) 32. panta 1. punkta d) un e) apakšpunktā minēto draudu novēršanas nolūkā</w:t>
            </w:r>
            <w:r w:rsidR="00000000" w:rsidRPr="00000000" w:rsidDel="00000000">
              <w:rPr>
                <w:rtl w:val="0"/>
              </w:rPr>
              <w:t xml:space="preserve"> personu uz laiku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likuma 12.</w:t>
            </w:r>
            <w:r w:rsidR="00000000" w:rsidRPr="00000000" w:rsidDel="00000000">
              <w:rPr>
                <w:vertAlign w:val="superscript"/>
                <w:rtl w:val="0"/>
              </w:rPr>
              <w:t xml:space="preserve">2</w:t>
            </w:r>
            <w:r w:rsidR="00000000" w:rsidRPr="00000000" w:rsidDel="00000000">
              <w:rPr>
                <w:rtl w:val="0"/>
              </w:rPr>
              <w:t xml:space="preserve"> panta ceturto daļu nepieciešams papildus izvērtēt un precizēt. Vēršam uzmanību, ka otrajā teikumā nav jānorāda, ka lēmumu var pārsūdzēt Administratīvā rajona tiesā, jo tā ir vispārējā kārtība administratīvo aktu pārsūdzēšanai. Likumos norāda īpašos gadījumus, kad apstrīdēšana notiek apgabaltiesā vai Augstākajā tiesā.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norādes kādā termiņā par pieņemto lēmumu paziņo personai, attiecībā uz kuru tas tika pieņemts. Pieļaujam, ka paziņošana notiek atbilstoši Paziņošanas likuma prasībām, bet, iespējams, būtu paredzams arī konkrēts termiņš –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policijai ir aizdomas par bērna vai aizgādnībā esošās personas tiesību un interešu apdraudējumu un jautājuma risināšana ir bāriņtiesas kompetencē, policijas pienākums ir informēt bāriņtiesu (šāds pienākums izriet no Bērnu tiesību aizsardzības likuma, Bāriņtiesu likumā bāriņtiesām noteiktās kompetences, vispārējiem sadarbības principiem un piekritīgas iestādes noteikšanas kārtības). Līdz ar to nav saprotams, kāpēc šīs gadījumus ir atsevišķi izcelts un atsevišķā normā tiek norādīts, ka par šādām aizdomām ir jāinformē bāriņtiesa, jo  policijai  tas būtu jādara arī bez attiecīgās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12.2 pantu otro daļu ar Valsts policijas amatpersonas pienākumu informēt indivīdu par nepieciešamību vērsties PMLP un izņemt jaunu personu apliecinošu dokumentu, kā arī Likumprojekta anotācijā minēto atbildību, kas iestājas par dzīvošanu bez derīga personu apliecinoša dokumenta un pieņemtā lēmuma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Paziņojot lēmumu, persona tiek informēta par pienākumu vērsties Pilsonības un migrācijas lietu pārvaldē un likumā paredzēto atbildību minētā lēmuma vai pienākuma neievērošanas gadījumā.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Regulas 2018/1862 Preambulas 35. apsvērumu Šengenas Informācijas sistēmā brīdinājumu par neaizsargātu personu ievada pēc "</w:t>
            </w:r>
            <w:r w:rsidR="00000000" w:rsidRPr="00000000" w:rsidDel="00000000">
              <w:rPr>
                <w:u w:val="single"/>
                <w:rtl w:val="0"/>
              </w:rPr>
              <w:t xml:space="preserve">tiesu iestādes lēmuma </w:t>
            </w:r>
            <w:r w:rsidR="00000000" w:rsidRPr="00000000" w:rsidDel="00000000">
              <w:rPr>
                <w:rtl w:val="0"/>
              </w:rPr>
              <w:t xml:space="preserve">vai </w:t>
            </w:r>
            <w:r w:rsidR="00000000" w:rsidRPr="00000000" w:rsidDel="00000000">
              <w:rPr>
                <w:u w:val="single"/>
                <w:rtl w:val="0"/>
              </w:rPr>
              <w:t xml:space="preserve">kompetentas iestādes lēmuma, ko apstiprinājusi tiesu iestāde</w:t>
            </w:r>
            <w:r w:rsidR="00000000" w:rsidRPr="00000000" w:rsidDel="00000000">
              <w:rPr>
                <w:rtl w:val="0"/>
              </w:rPr>
              <w:t xml:space="preserve">", kā arī ņemot vērā, ka aizliegums ceļot pilngadīgai neaizsargātajai personai ir būtisks cilvēktiesību ierobežojums, lūdzam likumprojektā vai anotācijā precizēt, kādiem profesionālajiem kritērijiem atbildīs 12.</w:t>
            </w:r>
            <w:r w:rsidR="00000000" w:rsidRPr="00000000" w:rsidDel="00000000">
              <w:rPr>
                <w:vertAlign w:val="superscript"/>
                <w:rtl w:val="0"/>
              </w:rPr>
              <w:t xml:space="preserve">2</w:t>
            </w:r>
            <w:r w:rsidR="00000000" w:rsidRPr="00000000" w:rsidDel="00000000">
              <w:rPr>
                <w:rtl w:val="0"/>
              </w:rPr>
              <w:t xml:space="preserve"> pantā minētais "Valsts policijas priekšnieka pilnvarotais darbinieks". Tāpat līdzam anotācijā norādīt, kā tiks veikts pilnvarojuma process. Ņemot vērā, ka Regula 2018/1862 dod </w:t>
            </w:r>
            <w:r w:rsidR="00000000" w:rsidRPr="00000000" w:rsidDel="00000000">
              <w:rPr>
                <w:u w:val="single"/>
                <w:rtl w:val="0"/>
              </w:rPr>
              <w:t xml:space="preserve">norādes par šādu lēmumu nodošanu tiesu varas kompetencē,</w:t>
            </w:r>
            <w:r w:rsidR="00000000" w:rsidRPr="00000000" w:rsidDel="00000000">
              <w:rPr>
                <w:rtl w:val="0"/>
              </w:rPr>
              <w:t xml:space="preserve"> kā arī ņemot vērā, ka citos gadījumos lēmumu par izceļošanas aizliegumu pieņem tiesa vai iekšlietu ministrs, lūdzam norādīt, kādēļ 'Valsts policijas priekšnieka pilnvarotais darbinieks" būtu vispiemērotākais speciālists izceļošanas aizliegumu noteikšanā regulas 32. panta 1. d) un e) apakšpunktā minētajos gadījumos (aptverot gan bērnus, gan 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izceļot no Latvijas Republikas, uz laiku līdz četriem mēnešiem, ja gadījuma individuāla izvērtējuma rezultātā, konstatēti visi turpmāk minēti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lakonisku un skaidru tiesību normu, ierosinām panta pirmās daļas ievaddaļu izteikt šādi: "Valsts policijas priekšnieka pilnvarotais darbinieks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Izceļošanas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pilnvarotais darbinieks nekavējoties var pieņemt lēmumu par aizliegumu neaizsargātai personai uz laiku līdz četriem mēnešiem izceļot no Latvijas Republikas, ja konstatēti visi turpmāk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saņemta informācija vai iesniegums, kas liecina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 neaizsargātās personas dzīvība, veselība vai drošība var tikt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nepastāv citu alternatīvu personas tiesības un likumiskās intereses mazāk ierobežojošu līdzekļu, ar kuriem būtu iespējams novērst attiecīgo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stājas spēkā tā pieņemšanas brīdī. Lēmuma apstrīdēšana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par pieņemto lēmumu par aizliegumu neaizsargātai personai izceļot no Latvijas Republikas nekavējoties, bet ne vēlāk kā nākamajā dienā, informē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priekšnieks apstrīdēšanas iesniegumu izskata un lēmumu pieņem 10 dienu laikā.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un institūcijas, kurām piešķirama piekļuve reģistrā iekļautajām ziņām,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aizgādība un aizgādnība ir dažādi tiesību institūti un aizgādības noteikumus nepiemēro aizgādnībai. Līdz ar to lūdzam anotācijā </w:t>
            </w:r>
            <w:r w:rsidR="00000000" w:rsidRPr="00000000" w:rsidDel="00000000">
              <w:rPr>
                <w:b w:val="1"/>
                <w:rtl w:val="0"/>
              </w:rPr>
              <w:t xml:space="preserve">svītrot šo teikumu</w:t>
            </w:r>
            <w:r w:rsidR="00000000" w:rsidRPr="00000000" w:rsidDel="00000000">
              <w:rPr>
                <w:rtl w:val="0"/>
              </w:rPr>
              <w:t xml:space="preserve">: “Minētais mutatis  mutandis ir attiecināms arī uz aizgādnības īstenošanu, izņemot persona nav ierobežojama personiskajās nemantiskajās tiesībās (CL 356.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vēl joprojām anotācijā nav atspoguļota citu valstu prakse un regulējums minētajā jautājumā. Tāpat arī norādītie Eiropas Cilvēktiesību tiesas nolēmumi īsti nav piemēroti, lai pamatotu tiesisko regulējumu (piemēram, tiesas nolēmums par nodokļu nenomaksas dēl ir īpaši analizēt). Vēršam uzmanību arī tam, ka pieeja mazaizsargātajām personām ir konceptuāli mainījusies kopš ir pieņemta ANO Konvencija par personu ar invaliditāti tiesībām 2006.gadā, tādēļ kritiski būtu vērtējams, vai Eiropas Cilvēktiesības tiesas 1993.gada nolēmums ir atbilstošs, lai pamatotu izvēlēto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citu valstu praksi un regulējumu minētajā jautājumā, kā arī norādīt tādu ECT praksi, kas ir jaunāka par 2006.gadu un kur personai tiesības tiek ierobežotas bez pašas personas izdarīto darbību vai bezdarbību pret sabiedrību, valsti vai citu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ietvertas regulas 2018/1862 32. pantā 1. d) un e) apakšpunktā minētajām neaizsargātajām personu kategorijām. Ņemot vērā, ka noteiktais regulējums ir jauns un attiecas uz jaunām ziņojumu kategorijām, kas dalībvalstīm ir jāievieš valsts informācijas sistēmās, lai tās salāgotu ar Šengenas informācijas sistēmu, vēl nav pabeigta. Tādējādi pašlaik apkopot dalībvalstu praksi vēl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"Alternatīvie risinājumi", ņemot vērā, piemēram, ka Nacionālās drošības likumā paredzētais regulējums nav alternatīvs, bet papildinošs, tāpat šobrīd sadaļā minētā informācija vairāk vērsta uz kompetentās iestādes izvēles pamatojumu u.tml. Šajā sadaļā lietderīgāk aplūkot likumprojekta izstrādes gaitā apspriestos alternatīvos risinājumus, piemēram, aizlieguma noteikšana uz ilgāku termiņu, aizlieguma noteikšana ar tiesas nolēmumu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apakšpunktā minēto informāciju "</w:t>
            </w:r>
            <w:r w:rsidR="00000000" w:rsidRPr="00000000" w:rsidDel="00000000">
              <w:rPr>
                <w:i w:val="1"/>
                <w:rtl w:val="0"/>
              </w:rPr>
              <w:t xml:space="preserve">Tādējādi Valsts policija, saņemot informāciju, vispirms nekavējoties to izvērtēs, proti, vai pēc tās rīcībā jau esošās informācijas un ziņām, ir pamats uzskatīt, ka persona varētu būt neaizsargāta (ievainojama) un ir nepieciešams tai noteikt liegumu izceļot no valsts. Te Vienlaikus policijas darbiniekam ir jāvērtē arī neaizsargātās personas likumiskā pārstāvja attieksme pret notiekošo, proti, vai likumiskais pārstāvis pats var novērst neaizsargātās personas izceļošanu, piemēram, neizsniedzot tās personu apliecinošo dokumentu, tādējādi faktiski liedzot izceļot, nodrošinot personas pavadību u.c</w:t>
            </w:r>
            <w:r w:rsidR="00000000" w:rsidRPr="00000000" w:rsidDel="00000000">
              <w:rPr>
                <w:rtl w:val="0"/>
              </w:rPr>
              <w:t xml:space="preserve">." papildināt ar norādi, ka policijas darbiniekam jāvērtē arī personas pašas attieksme un tas, vai apdraudējumu nevar novērst bez tiesību ierobežošanas, piemēram, ja personai tiek izskaidroti riski un ir pietiekams pamats uzskatīt, ka persona pati nonākusi pie secinājuma neveikt darbības, kas varētu to apdraudēt.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vecāka vai cita ģimenes locekļa īstenotas bērnu nolaupīšanas kontekstā cita starpā norādīts: "Minētajā kategorijā ietilpst arī bez vēsts pazuduši (aizbēguši) bērni, un ar migrāciju saistītos apstākļos nepavadīti bērni." Šāds apgalvojums ir pretrunā tam, kas Regulas 2018/1862 32.panta 9.punktā, no kuras izriet, ka pazudušu personu, kas ir bērni, kategorijā cita starpā ietilpst vecāku veiktas nolaupīšanas riskam pakļauti bērni, nevis otrādi. Līdz ar to aicinām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vecāka vai cita ģimenes locekļa īstenotas bērnu nolaupīšanas kontekstā cita starpā norādīts: "Minētais bieži notiek ļoti plānotos apstākļos ar mērķi ātri atstāt dalībvalsti, kurā panākta vienošanās par bērna aizgādību." Lūdzam papildināt minēto apgalvojumu ar datiem vai cita veida argumentiem, kas ir pamatā šādam apgalvojumam. Tieslietu ministrijā biežāk ir nācies saskarties ar gadījumiem, kad bērns tiek aizvests tieši pirms ir panākta vienošanās vai citādi atrisināts jautājums par aizgādību vai citu ar bērnu saistītu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pagaidu lēmuma par aizliegumu bērna izvešanai no valsts kontekstā ir ietverta atsauce uz Civilprocesa likuma 644.18A pantu, aicinām papildināt anotāciju ar informāciju, ka Civilprocesa likums paredz iespēju tiesai pieņemt pagaidu lēmumu par aizliegumu bērna izvešanai no valsts arī, izskatot lietu par laulības šķiršanu vai laulības neesamību (Civilprocesa likuma 238.</w:t>
            </w:r>
            <w:r w:rsidR="00000000" w:rsidRPr="00000000" w:rsidDel="00000000">
              <w:rPr>
                <w:vertAlign w:val="superscript"/>
                <w:rtl w:val="0"/>
              </w:rPr>
              <w:t xml:space="preserve">1</w:t>
            </w:r>
            <w:r w:rsidR="00000000" w:rsidRPr="00000000" w:rsidDel="00000000">
              <w:rPr>
                <w:rtl w:val="0"/>
              </w:rPr>
              <w:t xml:space="preserve"> pants), izskatot lietu, kas izriet no aizgādības un saskarsmes tiesībām (Civilprocesa likuma 244.</w:t>
            </w:r>
            <w:r w:rsidR="00000000" w:rsidRPr="00000000" w:rsidDel="00000000">
              <w:rPr>
                <w:vertAlign w:val="superscript"/>
                <w:rtl w:val="0"/>
              </w:rPr>
              <w:t xml:space="preserve">10</w:t>
            </w:r>
            <w:r w:rsidR="00000000" w:rsidRPr="00000000" w:rsidDel="00000000">
              <w:rPr>
                <w:rtl w:val="0"/>
              </w:rPr>
              <w:t xml:space="preserve"> pants) un izskatot lietu par bērna izcelšanās noteikšanu (Civilprocesa likuma 249.</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 punktā sniegto informāciju norādot, ka  2023. gadā papildus nepieciešamais finansējums ir 1 525 892 euro no, kuriem 1 425 892 euro jau ir iekļauts budžeta likumprojektā Iekšējā drošības fonda projektam "Šengenas informācijas sistēmas pilnveidošana", savukārt 100 000 euro ir 2022. gada finansējuma neapguve, kuru Iekšlietu ministrija nepieciešamības gadījumā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Līdz ar to lūdzam attiecīgi precizēt arī anotācijas 3.sadaļā ietekmes uz budžetu tabulu (3., 3.1., 5. un 5.1. rinda), norādot pilnu papildu nepieciešamā finansējuma apmēru 2023.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gada otrā pusē, izvērtējot dažādu ES līdzfinansēto projektu ieviešanas gaitu, iesniedz priekšlikumus apropriācijas pārdalei starp projektiem, tādejādi nodrošinot citiem projektiem nepieciešamo finansējumu, kā rezultātā finansējums ne vienmēr tiek pieprasīts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lūdzam precizēt anotācijas 3. sadaļas 6. punkta pēdējās rindkopas sākumu papildinot ar vārdiem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precizēt likumprojekta anotācijas 4. punktu, norādot aktuālu informāciju par tajā minēto saistīto tiesību aktu projektu virzību. Vēršam uzmanību, piemēram, ka likumprojekts "Grozījumi Šengenas informācijas sistēmas darbības likumā" (Nr: 94/Lp14), kas saistīts ar Regulas 2018/1862 32. pantā minētu ziņojuma iekļaušanu SIS, ir jau izskatīts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ceturto sadaļu, skaidrojot piedāvāto grozījumu ietekmi un atbilstību Satversmes 98.pantam.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pants noteic, ka  ikvienam ir tiesības brīvi izbraukt no Latvijas. Ikviens, kam ir Latvijas pase, ārpus Latvijas atrodas valsts aizsardzībā, un viņam ir tiesības brīvi atgriezties Latvijā. Latvijas pilsoni nevar izdot ārvalstīm, izņemot Saeimas apstiprinātajos starptautiskajos līgumos paredzētos gadījumus, ja ar izdošanu netiek pārkāptas Satversmē noteiktās cilvēka pamattiesības. Tomēr minētās personas tiesības var ierobežot. Proti, Latvijas Republikas Satversmes 116. pants noteic, ka personas tiesības, kas noteiktas Satversmes 98.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anotācijas piekto sadaļu ar izvērtējumu par piedāvāto grozījumu atbilstību Eiropas Cilvēka tiesību un pamatbrīvību aizsardzības konvencijas 8.pantam (tiesības uz privātās un ģimenes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anotācijas piektajā sadaļā pašlaik ietverto atsauci uz ANO Bērnu tiesību konvencijas 3.pantu, papildinot to ar skaidrojumu par normas attiecināmību uz konkrētajiem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Organizācijas 1989. gada 20. novembra Konvencijas par bērna tiesībām 3.pantā noteiktās bērna tiesības uz to, lai primārais apsvērums būtu viņa intereses, ievērojot bērna labklājību, kā arī, iestādēm un institūcijām jānodrošina bērna labākās interese.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Padomes 1950. gada 4. novembra Cilvēktiesību un pamatbrīvību aizsardzības konvencijas 8. pantā noteiktās personas tiesības uz privātās un ģimenes neaizskaramību izņemot gadījumos, kas paredzēti likumā un ir nepieciešami demokrātiskā sabiedrībā, lai aizsargātu veselību vai morāli, vai lai aizstāvētu citu tiesības un brīvības un Protokola Nr. 4 2. pantā noteiktās tiesības, kā tas interpretēts Eiropas Cilvēktiesību tiesas judikatūrā.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piekto sadaļu, pie “Citas starptautiskās saistības” atzīmējot “jā” attiecībā uz to, vai citas starptautiskās saistības ir attiecināmas, kā arī norādot, ka skartas ir Eiropas Cilvēka tiesību un pamatbrīvību aizsardzības konvencijas 8.pantā un 4.protokola 2.pantā ietvertās saistības. Turklāt līdzīgi kā attiecībā uz Satversmes 98.pantu būtu vismaz īsi jānorāda, kā tiesību akts atbilst minētajām Eiropas Cilvēka tiesību un pamatbrīvību aizsardzības konvencijas normām. Teksts pašreizējā redakcijā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paredzētie grozījumu likumā “Par policiju” skar Eiropas Cilvēka tiesību un pamatbrīvību aizsardzības konvencijas (Konvencija) 8.pantā (tiesības uz privātās un ģimenes dzīves neaizskaramību) un 4.protokola 2.pantā (pārvietošanās brīvība) garantētās tiesības. Ņemot vērā, ka šīs tiesības nav absolūtas, proti, valstij ir tiesības tās ierobežot, ja ierobežojums ir noteikts ar likumu, vērsts uz leģitīma mērķa sasniegšanu un samērīgs, tiesību aktā paredzētie grozījumi likumā “Par policiju” atbilst Latvijas saistībām, kas izriet no augšminētajām Konvencijas normām. Tiesību aktā paredzētie grozījumi likumā “Par policiju” ir vērsti uz mazāk aizsargātu personu grupu aizsardzību un valsts pienākuma aizsargāt šādas personas izpildi, kas norāda uz leģitīmo mērķi – citu cilvēku tiesību aizsardzība. Turklāt likumprojekta pieņemšanas gaitā izvērtēti arī citi iespējamie līdzekļi un izvēlēts iespējami samērīgākais risinājums, kā arī likumprojekts paredz amatpersonu rīcības brīvību, nosakot lieguma ilgumu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21-TA-1780</w:t>
    </w:r>
    <w:r>
      <w:br/>
    </w:r>
    <w:r w:rsidR="00000000" w:rsidRPr="00000000" w:rsidDel="00000000">
      <w:rPr>
        <w:rtl w:val="0"/>
      </w:rPr>
      <w:t xml:space="preserve">24.07.2023. 12.00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21-TA-1780</w:t>
    </w:r>
    <w:r>
      <w:br/>
    </w:r>
    <w:r w:rsidR="00000000" w:rsidRPr="00000000" w:rsidDel="00000000">
      <w:rPr>
        <w:rtl w:val="0"/>
      </w:rPr>
      <w:t xml:space="preserve">24.07.2023. 12.00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Izziņa_21-TA-1780.docx</dc:title>
</cp:coreProperties>
</file>

<file path=docProps/custom.xml><?xml version="1.0" encoding="utf-8"?>
<Properties xmlns="http://schemas.openxmlformats.org/officeDocument/2006/custom-properties" xmlns:vt="http://schemas.openxmlformats.org/officeDocument/2006/docPropsVTypes"/>
</file>