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9645492" w14:textId="77777777" w:rsidR="00C23B1A" w:rsidRDefault="0068654D">
      <w:pPr>
        <w:spacing w:after="240"/>
        <w:jc w:val="center"/>
        <w:rPr>
          <w:b/>
        </w:rPr>
      </w:pPr>
      <w:r>
        <w:rPr>
          <w:b/>
        </w:rPr>
        <w:t>Sabiedrības iebildumi un priekšlikumi</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155"/>
        <w:gridCol w:w="4156"/>
        <w:gridCol w:w="1350"/>
        <w:gridCol w:w="4156"/>
      </w:tblGrid>
      <w:tr w:rsidR="00C23B1A" w14:paraId="759B07AE" w14:textId="77777777">
        <w:tc>
          <w:tcPr>
            <w:tcW w:w="750" w:type="dxa"/>
            <w:shd w:val="clear" w:color="auto" w:fill="FFFFFF"/>
            <w:noWrap/>
            <w:tcMar>
              <w:top w:w="75" w:type="dxa"/>
              <w:left w:w="75" w:type="dxa"/>
              <w:bottom w:w="75" w:type="dxa"/>
              <w:right w:w="75" w:type="dxa"/>
            </w:tcMar>
            <w:vAlign w:val="center"/>
          </w:tcPr>
          <w:p w14:paraId="590D342A" w14:textId="77777777" w:rsidR="00C23B1A" w:rsidRDefault="0068654D">
            <w:pPr>
              <w:jc w:val="center"/>
            </w:pPr>
            <w:r>
              <w:rPr>
                <w:b/>
              </w:rPr>
              <w:t>Nr.p.k.</w:t>
            </w:r>
          </w:p>
        </w:tc>
        <w:tc>
          <w:tcPr>
            <w:tcW w:w="4155" w:type="dxa"/>
            <w:shd w:val="clear" w:color="auto" w:fill="FFFFFF"/>
            <w:noWrap/>
            <w:tcMar>
              <w:top w:w="75" w:type="dxa"/>
              <w:left w:w="75" w:type="dxa"/>
              <w:bottom w:w="75" w:type="dxa"/>
              <w:right w:w="75" w:type="dxa"/>
            </w:tcMar>
            <w:vAlign w:val="center"/>
          </w:tcPr>
          <w:p w14:paraId="6A9701E7" w14:textId="77777777" w:rsidR="00C23B1A" w:rsidRDefault="0068654D">
            <w:pPr>
              <w:jc w:val="center"/>
            </w:pPr>
            <w:r>
              <w:rPr>
                <w:b/>
              </w:rPr>
              <w:t>Iebilduma / priekšlikuma iesniedzējs</w:t>
            </w:r>
          </w:p>
        </w:tc>
        <w:tc>
          <w:tcPr>
            <w:tcW w:w="4156" w:type="dxa"/>
            <w:shd w:val="clear" w:color="auto" w:fill="FFFFFF"/>
            <w:noWrap/>
            <w:tcMar>
              <w:top w:w="75" w:type="dxa"/>
              <w:left w:w="75" w:type="dxa"/>
              <w:bottom w:w="75" w:type="dxa"/>
              <w:right w:w="75" w:type="dxa"/>
            </w:tcMar>
            <w:vAlign w:val="center"/>
          </w:tcPr>
          <w:p w14:paraId="3E30E22B" w14:textId="77777777" w:rsidR="00C23B1A" w:rsidRDefault="0068654D">
            <w:pPr>
              <w:jc w:val="center"/>
            </w:pPr>
            <w:r>
              <w:rPr>
                <w:b/>
              </w:rPr>
              <w:t>Iesniegtā iebilduma / priekšlikuma būtība</w:t>
            </w:r>
          </w:p>
        </w:tc>
        <w:tc>
          <w:tcPr>
            <w:tcW w:w="1350" w:type="dxa"/>
            <w:shd w:val="clear" w:color="auto" w:fill="FFFFFF"/>
            <w:noWrap/>
            <w:tcMar>
              <w:top w:w="75" w:type="dxa"/>
              <w:left w:w="75" w:type="dxa"/>
              <w:bottom w:w="75" w:type="dxa"/>
              <w:right w:w="75" w:type="dxa"/>
            </w:tcMar>
            <w:vAlign w:val="center"/>
          </w:tcPr>
          <w:p w14:paraId="746170FF" w14:textId="77777777" w:rsidR="00C23B1A" w:rsidRDefault="0068654D">
            <w:pPr>
              <w:jc w:val="center"/>
            </w:pPr>
            <w:r>
              <w:rPr>
                <w:b/>
              </w:rPr>
              <w:t>Ņemts vērā / nav ņemts vērā</w:t>
            </w:r>
          </w:p>
        </w:tc>
        <w:tc>
          <w:tcPr>
            <w:tcW w:w="4156" w:type="dxa"/>
            <w:shd w:val="clear" w:color="auto" w:fill="FFFFFF"/>
            <w:noWrap/>
            <w:tcMar>
              <w:top w:w="75" w:type="dxa"/>
              <w:left w:w="75" w:type="dxa"/>
              <w:bottom w:w="75" w:type="dxa"/>
              <w:right w:w="75" w:type="dxa"/>
            </w:tcMar>
            <w:vAlign w:val="center"/>
          </w:tcPr>
          <w:p w14:paraId="5938DD9F" w14:textId="77777777" w:rsidR="00C23B1A" w:rsidRDefault="0068654D">
            <w:pPr>
              <w:jc w:val="center"/>
            </w:pPr>
            <w:r>
              <w:rPr>
                <w:b/>
              </w:rPr>
              <w:t>Pamatojums, ja iebildums / priekšlikums nav ņemts vērā</w:t>
            </w:r>
          </w:p>
        </w:tc>
      </w:tr>
      <w:tr w:rsidR="00C23B1A" w14:paraId="12110F3E" w14:textId="77777777">
        <w:tc>
          <w:tcPr>
            <w:tcW w:w="750" w:type="dxa"/>
            <w:shd w:val="clear" w:color="auto" w:fill="FFFFFF"/>
            <w:noWrap/>
            <w:tcMar>
              <w:top w:w="75" w:type="dxa"/>
              <w:left w:w="75" w:type="dxa"/>
              <w:bottom w:w="75" w:type="dxa"/>
              <w:right w:w="75" w:type="dxa"/>
            </w:tcMar>
            <w:vAlign w:val="center"/>
          </w:tcPr>
          <w:p w14:paraId="5782A621" w14:textId="77777777" w:rsidR="00C23B1A" w:rsidRDefault="0068654D">
            <w:pPr>
              <w:jc w:val="center"/>
            </w:pPr>
            <w:r>
              <w:t>1.</w:t>
            </w:r>
          </w:p>
        </w:tc>
        <w:tc>
          <w:tcPr>
            <w:tcW w:w="4155" w:type="dxa"/>
            <w:shd w:val="clear" w:color="auto" w:fill="FFFFFF"/>
            <w:noWrap/>
            <w:tcMar>
              <w:top w:w="75" w:type="dxa"/>
              <w:left w:w="75" w:type="dxa"/>
              <w:bottom w:w="75" w:type="dxa"/>
              <w:right w:w="75" w:type="dxa"/>
            </w:tcMar>
            <w:vAlign w:val="center"/>
          </w:tcPr>
          <w:p w14:paraId="4A2C2D02" w14:textId="77777777" w:rsidR="00C23B1A" w:rsidRDefault="0068654D">
            <w:pPr>
              <w:jc w:val="left"/>
            </w:pPr>
            <w:r>
              <w:t>Sabiedriskās politikas centrs PROVIDUS, Iveta Kažoka</w:t>
            </w:r>
          </w:p>
        </w:tc>
        <w:tc>
          <w:tcPr>
            <w:tcW w:w="4156" w:type="dxa"/>
            <w:shd w:val="clear" w:color="auto" w:fill="FFFFFF"/>
            <w:noWrap/>
            <w:tcMar>
              <w:top w:w="75" w:type="dxa"/>
              <w:left w:w="75" w:type="dxa"/>
              <w:bottom w:w="75" w:type="dxa"/>
              <w:right w:w="75" w:type="dxa"/>
            </w:tcMar>
            <w:vAlign w:val="center"/>
          </w:tcPr>
          <w:p w14:paraId="1BC78A95" w14:textId="77777777" w:rsidR="00C23B1A" w:rsidRDefault="0068654D">
            <w:pPr>
              <w:jc w:val="left"/>
            </w:pPr>
            <w:r>
              <w:t xml:space="preserve">Sabiedriskās politikas centrs "Providus" </w:t>
            </w:r>
            <w:r>
              <w:rPr>
                <w:b/>
              </w:rPr>
              <w:t>atbalsta Pārresora koordinācijas centra (turpmāk - PKC) reorganizāciju,</w:t>
            </w:r>
            <w:r>
              <w:t xml:space="preserve"> kur Valsts kanceleja (turpmāk - VK) sākotnēji pārņemtu PKC funkcijas kopā ar tās darbiniekiem un administratīvo resursu.</w:t>
            </w:r>
            <w:r>
              <w:br/>
            </w:r>
            <w:r>
              <w:br/>
              <w:t xml:space="preserve">Tas ļautu vienuviet Ministru prezidenta (turpmāk - MP) pakļautībā realizēt valdības centram “šaurākā nozīmē” raksturīgās funkcijas, kas ir vērojamas arī daudzu citu OECD valstu gadījumā. Tas ļautu optimizēt gan kopējo institucionālo struktūru, gan savstarpējo darba koordināciju, gan arī valsts budžeta resursu izlietojumu valdības centrā. Sākotnējā reorganizācijas posmā </w:t>
            </w:r>
            <w:r>
              <w:lastRenderedPageBreak/>
              <w:t>tas sekmētu esošo PKC darbinieku saglabāšanu.</w:t>
            </w:r>
            <w:r>
              <w:br/>
            </w:r>
            <w:r>
              <w:br/>
              <w:t>Valdības centra (turpmāk - VC) esošo funkciju nodrošināšanai ir būtiska arī VC attīstības vīzija (anotācijā pievienotajā dokumentā "Ziņojums par Pārresoru koordinācijas centra un Valsts kancelejas apvienošanu" saukts kā bāzes variants pluss) un ar to saistīto funkciju un strukturālā modeļa nostiprināšana. Svarīgi, ka minētā reforma nav vērsta vienīgi uz VC institucionālajiem un funkcionālajiem aspektiem, bet tiek skatīta plašākā valsts pārvaldes turpmākās funkcionēšanā dažādos līmeņos, kvalitatīvas valsts attīstības plānošanas, rīcībpolitikas veidošanas, tās ieviešanas un sabiedrības interesēs balstītas valdības darbības efektivitātes nodrošināšanas kontekstā.</w:t>
            </w:r>
            <w:r>
              <w:br/>
            </w:r>
            <w:r>
              <w:br/>
              <w:t xml:space="preserve">Būtu </w:t>
            </w:r>
            <w:r>
              <w:rPr>
                <w:b/>
              </w:rPr>
              <w:t>atbalstāmi visi septiņi ziņojumā piedāvātie būtiskākie VC  stiprināšanas virzieni.</w:t>
            </w:r>
            <w:r>
              <w:br/>
            </w:r>
            <w:r>
              <w:lastRenderedPageBreak/>
              <w:br/>
              <w:t xml:space="preserve">Ierosinām papildus apsvērt </w:t>
            </w:r>
            <w:r>
              <w:rPr>
                <w:b/>
              </w:rPr>
              <w:t>divas papildus idejas:</w:t>
            </w:r>
            <w:r>
              <w:br/>
              <w:t>(1)</w:t>
            </w:r>
            <w:r>
              <w:br/>
              <w:t>Stratēģiskās analīzes, pētniecības un foresight (attīstības prognozēšanas) funkcijas attīstība būtu ieteicams skatīt kontekstā ar risku vadības un krīžu vadības funkciju. Tas ļautu veidot preventīvus rīcībpolitiku risinājumus, programmas vai procesu vadības mehānismus, kas var tikt integrēti kopējā ikdienas valsts pārvaldes darbībā vai nepieciešamības gadījumā aktivizēti.</w:t>
            </w:r>
            <w:r>
              <w:br/>
              <w:t>(2)</w:t>
            </w:r>
            <w:r>
              <w:br/>
              <w:t xml:space="preserve">Svarīgi ņemt vērā, ka ne ar katra pārnozaru jautājuma koordināciju ir jānodarbojas valdības centram. Jāmotivē visus valdības un valsts pārvaldes līmeņus aktīvi mijiedarboties, lai lēmumi vienā darbības rīcības programmā vai institūcijā ņemtu vērā citās programmās vai institūcijās pieņemtos lēmumus un ar savu </w:t>
            </w:r>
            <w:r>
              <w:lastRenderedPageBreak/>
              <w:t>rīcību minimizētu interešu konflikta iespējamību. Tas izdarāms, piemēram, ar šādām metodēm:</w:t>
            </w:r>
            <w:r>
              <w:br/>
              <w:t>(a) nozaru ministriem (vai speciāli izveidotajiem valsts ministriem), līdzīgi kā valdības vadītājam deleģējot lielāku vadošo atbildību par konkrētām pārnozaru tēmām un tajās sasniedzamajiem rezultātiem;</w:t>
            </w:r>
            <w:r>
              <w:br/>
              <w:t>(b) prioritāro valdības politiku jomās var tikt noteikti vairākiem nozaru ministriem kopīgi izmērāmi sasniegšanas rādītāji;</w:t>
            </w:r>
            <w:r>
              <w:br/>
              <w:t>(c)  valdības rīcībpolitiku programmu īstenošanā un indikatoru sasniegšanā var tikt prasīta nozares ministru kopīga atbildība par to īstenošanu, bet valsts pārvaldes institūcijām savstarpēji būtu jāatrod optimālākais administratīvais koordinācijas modelis;</w:t>
            </w:r>
            <w:r>
              <w:br/>
              <w:t xml:space="preserve">(d)  prioritārajās rīcībpolitikās pakārtoti sasniedzamo indikatoru iekļaušana vairāku nozares ministriju darbības rīcības programmās (piemēram, </w:t>
            </w:r>
            <w:r>
              <w:lastRenderedPageBreak/>
              <w:t>koncepcijā pieminētājās klimata pārmaiņu vadības/ilgtspējas, digitālā transformācijas, demogrāfijas kā arī nodarbinātības, uzņēmējdarbības, veselības, izglītības u.c. jomās).</w:t>
            </w:r>
            <w:r>
              <w:br/>
              <w:t>Arī valsts pārvaldes modernizācijas plāna ieviešanas un monitoringa (uzraudzības) sistēmas pilnveidē kā viens no principiem var būt valsts pārvaldes institūcijām kopīgu rezultatīvo indikatoru noteikšana.</w:t>
            </w:r>
            <w:r>
              <w:br/>
            </w:r>
            <w:r>
              <w:br/>
              <w:t xml:space="preserve">Vēl jāatzīmē, ka VC attīstības galējās vīzijas definēšanā un īstenošanā </w:t>
            </w:r>
            <w:r>
              <w:rPr>
                <w:b/>
              </w:rPr>
              <w:t>svarīgs ir arī jaunā valdības vadītāja redzējums.</w:t>
            </w:r>
            <w:r>
              <w:br/>
            </w:r>
            <w:r>
              <w:br/>
            </w:r>
            <w:r>
              <w:rPr>
                <w:b/>
              </w:rPr>
              <w:t>Restrukturizācija būtu jāveic ātrāk nekā divu gadu laika periodā,</w:t>
            </w:r>
            <w:r>
              <w:t xml:space="preserve"> jo jau tagad ir nepieciešama savlaicīga rīcība, lai nodrošinātu jaunās valdības darbu, krīžu noturīgas valsts pārvaldes darbību un arī sekmīgu jaunā valsts pārvaldes modernizācijas plāna ieviešanu. Ilgstoša VC iestādes reorganizācija riskē gan ar tekošās </w:t>
            </w:r>
            <w:r>
              <w:lastRenderedPageBreak/>
              <w:t>darbības paralizēšanu, gan ar iespējamu darbinieku aiziešanu.</w:t>
            </w:r>
            <w:r>
              <w:br/>
            </w:r>
            <w:r>
              <w:br/>
              <w:t>Viedokli sagatavoja Providus pārstāvji Ivo Rollis un Iveta Kažoka.</w:t>
            </w:r>
            <w:r>
              <w:br/>
            </w:r>
          </w:p>
        </w:tc>
        <w:tc>
          <w:tcPr>
            <w:tcW w:w="1350" w:type="dxa"/>
            <w:shd w:val="clear" w:color="auto" w:fill="FFFFFF"/>
            <w:noWrap/>
            <w:tcMar>
              <w:top w:w="75" w:type="dxa"/>
              <w:left w:w="75" w:type="dxa"/>
              <w:bottom w:w="75" w:type="dxa"/>
              <w:right w:w="75" w:type="dxa"/>
            </w:tcMar>
            <w:vAlign w:val="center"/>
          </w:tcPr>
          <w:p w14:paraId="511C3C56" w14:textId="77777777" w:rsidR="00C23B1A" w:rsidRDefault="00C23B1A">
            <w:pPr>
              <w:jc w:val="left"/>
            </w:pPr>
          </w:p>
        </w:tc>
        <w:tc>
          <w:tcPr>
            <w:tcW w:w="4156" w:type="dxa"/>
            <w:shd w:val="clear" w:color="auto" w:fill="FFFFFF"/>
            <w:noWrap/>
            <w:tcMar>
              <w:top w:w="75" w:type="dxa"/>
              <w:left w:w="75" w:type="dxa"/>
              <w:bottom w:w="75" w:type="dxa"/>
              <w:right w:w="75" w:type="dxa"/>
            </w:tcMar>
            <w:vAlign w:val="center"/>
          </w:tcPr>
          <w:p w14:paraId="434390A6" w14:textId="77777777" w:rsidR="00C23B1A" w:rsidRDefault="00C23B1A">
            <w:pPr>
              <w:jc w:val="left"/>
            </w:pPr>
          </w:p>
        </w:tc>
      </w:tr>
      <w:tr w:rsidR="000E0476" w14:paraId="7C861F3D" w14:textId="77777777">
        <w:tc>
          <w:tcPr>
            <w:tcW w:w="750" w:type="dxa"/>
            <w:shd w:val="clear" w:color="auto" w:fill="FFFFFF"/>
            <w:noWrap/>
            <w:tcMar>
              <w:top w:w="75" w:type="dxa"/>
              <w:left w:w="75" w:type="dxa"/>
              <w:bottom w:w="75" w:type="dxa"/>
              <w:right w:w="75" w:type="dxa"/>
            </w:tcMar>
            <w:vAlign w:val="center"/>
          </w:tcPr>
          <w:p w14:paraId="26F9E92C" w14:textId="77777777" w:rsidR="000E0476" w:rsidRDefault="000E0476">
            <w:pPr>
              <w:jc w:val="center"/>
            </w:pPr>
          </w:p>
          <w:p w14:paraId="26457E73" w14:textId="40696950" w:rsidR="000E0476" w:rsidRDefault="000E0476">
            <w:pPr>
              <w:jc w:val="center"/>
            </w:pPr>
          </w:p>
        </w:tc>
        <w:tc>
          <w:tcPr>
            <w:tcW w:w="4155" w:type="dxa"/>
            <w:shd w:val="clear" w:color="auto" w:fill="FFFFFF"/>
            <w:noWrap/>
            <w:tcMar>
              <w:top w:w="75" w:type="dxa"/>
              <w:left w:w="75" w:type="dxa"/>
              <w:bottom w:w="75" w:type="dxa"/>
              <w:right w:w="75" w:type="dxa"/>
            </w:tcMar>
            <w:vAlign w:val="center"/>
          </w:tcPr>
          <w:p w14:paraId="5310C390" w14:textId="4E46CD9E" w:rsidR="000E0476" w:rsidRDefault="000E0476">
            <w:pPr>
              <w:jc w:val="left"/>
            </w:pPr>
            <w:r>
              <w:t>Ieva Roze</w:t>
            </w:r>
          </w:p>
        </w:tc>
        <w:tc>
          <w:tcPr>
            <w:tcW w:w="4156" w:type="dxa"/>
            <w:shd w:val="clear" w:color="auto" w:fill="FFFFFF"/>
            <w:noWrap/>
            <w:tcMar>
              <w:top w:w="75" w:type="dxa"/>
              <w:left w:w="75" w:type="dxa"/>
              <w:bottom w:w="75" w:type="dxa"/>
              <w:right w:w="75" w:type="dxa"/>
            </w:tcMar>
            <w:vAlign w:val="center"/>
          </w:tcPr>
          <w:p w14:paraId="27EC4C2F" w14:textId="77777777" w:rsidR="000E0476" w:rsidRDefault="000E0476" w:rsidP="000E0476">
            <w:pPr>
              <w:jc w:val="left"/>
            </w:pPr>
            <w:r>
              <w:t xml:space="preserve">Valdības centra stiprināšana, pievienojot iestādi, kas jau tā bijusi tiešā Ministru prezidenta pakļautībā, nešķiet īpaši objektīvi pamatots solis un pēc būtības diezin vai risinās labāk to funkciju izpildi, ko līdz šim veicis Pārresoru koordinācijas centrs. Neesmu dzirdējusi, ka kaut kur valdība nodarbotos, piemēram, ar valsts uzņēmumu pārraudzības koordināciju, ko līdz šim dara PKC un tagad turpmāk veiks Valsts kanceleja. </w:t>
            </w:r>
          </w:p>
          <w:p w14:paraId="2F336BDC" w14:textId="77777777" w:rsidR="000E0476" w:rsidRDefault="000E0476" w:rsidP="000E0476">
            <w:pPr>
              <w:jc w:val="left"/>
            </w:pPr>
            <w:r>
              <w:t xml:space="preserve">Domāju, ka lielāku analītisku un objektīvas, faktos balstītas plānošanas pienesumu var dot patstāvīgāka iestāde, nevis esot “valdības centrā”, kurā izvairīties no politiskas dienas kārtības un </w:t>
            </w:r>
            <w:r>
              <w:lastRenderedPageBreak/>
              <w:t xml:space="preserve">īstermiņa vajadzību prevalēšanas ir krietni grūtāk. </w:t>
            </w:r>
          </w:p>
          <w:p w14:paraId="452B5795" w14:textId="62BDA705" w:rsidR="000E0476" w:rsidRDefault="000E0476" w:rsidP="000E0476">
            <w:pPr>
              <w:jc w:val="left"/>
            </w:pPr>
            <w:r>
              <w:t>PKC ir maza iestāde. Vai tā varētu būt efektīvāka, tas ir cits jautājums. To var risināt izskatot tās attīstības stratēģiju, papildot ar jaunām funkcijām. Ne vienmēr apvienošana dod labāku rezultātu. Uzskatu, ka pēdējo Nacionālais attīstības plānu Pārresoru centrs ir izveidojis labu un to nav, par ko kritizēt.</w:t>
            </w:r>
          </w:p>
        </w:tc>
        <w:tc>
          <w:tcPr>
            <w:tcW w:w="1350" w:type="dxa"/>
            <w:shd w:val="clear" w:color="auto" w:fill="FFFFFF"/>
            <w:noWrap/>
            <w:tcMar>
              <w:top w:w="75" w:type="dxa"/>
              <w:left w:w="75" w:type="dxa"/>
              <w:bottom w:w="75" w:type="dxa"/>
              <w:right w:w="75" w:type="dxa"/>
            </w:tcMar>
            <w:vAlign w:val="center"/>
          </w:tcPr>
          <w:p w14:paraId="2ACBDB07" w14:textId="77777777" w:rsidR="000E0476" w:rsidRDefault="000E0476">
            <w:pPr>
              <w:jc w:val="left"/>
            </w:pPr>
          </w:p>
        </w:tc>
        <w:tc>
          <w:tcPr>
            <w:tcW w:w="4156" w:type="dxa"/>
            <w:shd w:val="clear" w:color="auto" w:fill="FFFFFF"/>
            <w:noWrap/>
            <w:tcMar>
              <w:top w:w="75" w:type="dxa"/>
              <w:left w:w="75" w:type="dxa"/>
              <w:bottom w:w="75" w:type="dxa"/>
              <w:right w:w="75" w:type="dxa"/>
            </w:tcMar>
            <w:vAlign w:val="center"/>
          </w:tcPr>
          <w:p w14:paraId="699E6499" w14:textId="77777777" w:rsidR="000E0476" w:rsidRDefault="000E0476">
            <w:pPr>
              <w:jc w:val="left"/>
            </w:pPr>
          </w:p>
        </w:tc>
      </w:tr>
    </w:tbl>
    <w:p w14:paraId="33827652" w14:textId="77777777" w:rsidR="0068654D" w:rsidRDefault="0068654D"/>
    <w:sectPr w:rsidR="0068654D">
      <w:headerReference w:type="default" r:id="rId6"/>
      <w:footerReference w:type="default" r:id="rId7"/>
      <w:headerReference w:type="first" r:id="rId8"/>
      <w:footerReference w:type="first" r:id="rId9"/>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378870" w14:textId="77777777" w:rsidR="006228BC" w:rsidRDefault="006228BC">
      <w:r>
        <w:separator/>
      </w:r>
    </w:p>
  </w:endnote>
  <w:endnote w:type="continuationSeparator" w:id="0">
    <w:p w14:paraId="63316956" w14:textId="77777777" w:rsidR="006228BC" w:rsidRDefault="006228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0E28B" w14:textId="77777777" w:rsidR="00C23B1A" w:rsidRDefault="0068654D">
    <w:pPr>
      <w:jc w:val="right"/>
    </w:pPr>
    <w:r>
      <w:rPr>
        <w:sz w:val="24"/>
        <w:szCs w:val="24"/>
      </w:rPr>
      <w:fldChar w:fldCharType="begin"/>
    </w:r>
    <w:r>
      <w:rPr>
        <w:sz w:val="24"/>
        <w:szCs w:val="24"/>
      </w:rPr>
      <w:instrText>PAGE</w:instrText>
    </w:r>
    <w:r>
      <w:rPr>
        <w:sz w:val="24"/>
        <w:szCs w:val="24"/>
      </w:rPr>
      <w:fldChar w:fldCharType="separate"/>
    </w:r>
    <w:r w:rsidR="00CB6274">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005D5" w14:textId="77777777" w:rsidR="00E77D2D" w:rsidRDefault="0068654D">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960A78" w14:textId="77777777" w:rsidR="006228BC" w:rsidRDefault="006228BC">
      <w:r>
        <w:separator/>
      </w:r>
    </w:p>
  </w:footnote>
  <w:footnote w:type="continuationSeparator" w:id="0">
    <w:p w14:paraId="53FB0020" w14:textId="77777777" w:rsidR="006228BC" w:rsidRDefault="006228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437A57" w14:textId="77777777" w:rsidR="00C23B1A" w:rsidRDefault="0068654D">
    <w:pPr>
      <w:pStyle w:val="Header"/>
      <w:contextualSpacing w:val="0"/>
    </w:pPr>
    <w:r>
      <w:t>Viedokļu pārskats 22-TA-1536</w:t>
    </w:r>
    <w:r>
      <w:br/>
      <w:t>Izdrukāts 12.10.2022. 14.12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4BB2D" w14:textId="77777777" w:rsidR="00C23B1A" w:rsidRDefault="0068654D">
    <w:pPr>
      <w:pStyle w:val="Header"/>
      <w:contextualSpacing w:val="0"/>
    </w:pPr>
    <w:r>
      <w:t>Viedokļu pārskats 22-TA-1536</w:t>
    </w:r>
    <w:r>
      <w:br/>
      <w:t>Izdrukāts 12.10.2022. 14.12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B1A"/>
    <w:rsid w:val="000E0476"/>
    <w:rsid w:val="00441C0A"/>
    <w:rsid w:val="006228BC"/>
    <w:rsid w:val="0068654D"/>
    <w:rsid w:val="00C23B1A"/>
    <w:rsid w:val="00CB6274"/>
    <w:rsid w:val="00E77D2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39D480"/>
  <w15:docId w15:val="{7D972B81-8C39-4F3D-A9D6-DB612E881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3326</Words>
  <Characters>1896</Characters>
  <Application>Microsoft Office Word</Application>
  <DocSecurity>0</DocSecurity>
  <Lines>15</Lines>
  <Paragraphs>10</Paragraphs>
  <ScaleCrop>false</ScaleCrop>
  <Company/>
  <LinksUpToDate>false</LinksUpToDate>
  <CharactersWithSpaces>5212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viedoklu_parskats_22-TA-1536.docx</dc:title>
  <dc:creator>Rudite Osvalde</dc:creator>
  <cp:lastModifiedBy>Rudite Osvalde</cp:lastModifiedBy>
  <cp:revision>3</cp:revision>
  <dcterms:created xsi:type="dcterms:W3CDTF">2022-10-12T12:20:00Z</dcterms:created>
  <dcterms:modified xsi:type="dcterms:W3CDTF">2022-10-12T12:21:00Z</dcterms:modified>
</cp:coreProperties>
</file>