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9EF6" w14:textId="77777777" w:rsidR="005C09A4" w:rsidRPr="005C09A4" w:rsidRDefault="005C09A4" w:rsidP="005C09A4">
      <w:pPr>
        <w:textAlignment w:val="baseline"/>
        <w:rPr>
          <w:rFonts w:ascii="Arial" w:eastAsia="Times New Roman" w:hAnsi="Arial" w:cs="Arial"/>
          <w:color w:val="000000" w:themeColor="text1"/>
          <w:kern w:val="0"/>
          <w:sz w:val="22"/>
          <w:szCs w:val="22"/>
          <w:lang w:val="en-LV" w:eastAsia="en-GB"/>
          <w14:ligatures w14:val="none"/>
        </w:rPr>
      </w:pPr>
      <w:r w:rsidRPr="005C09A4">
        <w:rPr>
          <w:rFonts w:ascii="Arial" w:eastAsia="Times New Roman" w:hAnsi="Arial" w:cs="Arial"/>
          <w:color w:val="000000" w:themeColor="text1"/>
          <w:kern w:val="0"/>
          <w:sz w:val="22"/>
          <w:szCs w:val="22"/>
          <w:lang w:val="en-LV" w:eastAsia="en-GB"/>
          <w14:ligatures w14:val="none"/>
        </w:rPr>
        <w:t>No: Ilze Māliņa &lt;Ilze.Malina@TM.GOV.LV&gt;</w:t>
      </w:r>
      <w:r w:rsidRPr="005C09A4">
        <w:rPr>
          <w:rFonts w:ascii="Arial" w:eastAsia="Times New Roman" w:hAnsi="Arial" w:cs="Arial"/>
          <w:color w:val="000000" w:themeColor="text1"/>
          <w:kern w:val="0"/>
          <w:sz w:val="22"/>
          <w:szCs w:val="22"/>
          <w:lang w:val="en-LV" w:eastAsia="en-GB"/>
          <w14:ligatures w14:val="none"/>
        </w:rPr>
        <w:br/>
        <w:t>Nosūtīts: ceturtdiena, 2022. gada 20. janvāris 16:22</w:t>
      </w:r>
      <w:r w:rsidRPr="005C09A4">
        <w:rPr>
          <w:rFonts w:ascii="Arial" w:eastAsia="Times New Roman" w:hAnsi="Arial" w:cs="Arial"/>
          <w:color w:val="000000" w:themeColor="text1"/>
          <w:kern w:val="0"/>
          <w:sz w:val="22"/>
          <w:szCs w:val="22"/>
          <w:lang w:val="en-LV" w:eastAsia="en-GB"/>
          <w14:ligatures w14:val="none"/>
        </w:rPr>
        <w:br/>
        <w:t>Kam: Pasts &lt;Pasts@fm.gov.lv&gt;; TM KANCELEJA &lt;pasts@tm.gov.lv&gt;</w:t>
      </w:r>
      <w:r w:rsidRPr="005C09A4">
        <w:rPr>
          <w:rFonts w:ascii="Arial" w:eastAsia="Times New Roman" w:hAnsi="Arial" w:cs="Arial"/>
          <w:color w:val="000000" w:themeColor="text1"/>
          <w:kern w:val="0"/>
          <w:sz w:val="22"/>
          <w:szCs w:val="22"/>
          <w:lang w:val="en-LV" w:eastAsia="en-GB"/>
          <w14:ligatures w14:val="none"/>
        </w:rPr>
        <w:br/>
        <w:t>Kopija: Inese Albova &lt;inese.albova@fm.gov.lv&gt;; Agnese Sermā &lt;Agnese.Serma@tm.gov.lv&gt;</w:t>
      </w:r>
      <w:r w:rsidRPr="005C09A4">
        <w:rPr>
          <w:rFonts w:ascii="Arial" w:eastAsia="Times New Roman" w:hAnsi="Arial" w:cs="Arial"/>
          <w:color w:val="000000" w:themeColor="text1"/>
          <w:kern w:val="0"/>
          <w:sz w:val="22"/>
          <w:szCs w:val="22"/>
          <w:lang w:val="en-LV" w:eastAsia="en-GB"/>
          <w14:ligatures w14:val="none"/>
        </w:rPr>
        <w:br/>
        <w:t>Tēma: Atb.: Par likumprojekta "Grozījumi Sauszemes transportlīdzekļu īpašnieku civiltiesiskās atbildības obligātās apdrošināšanas likumā" (VSS-617) elektronisku saskaņošanu</w:t>
      </w:r>
    </w:p>
    <w:p w14:paraId="60D61377" w14:textId="77777777" w:rsidR="005C09A4" w:rsidRPr="005C09A4" w:rsidRDefault="005C09A4" w:rsidP="005C09A4">
      <w:pPr>
        <w:textAlignment w:val="baseline"/>
        <w:rPr>
          <w:rFonts w:ascii="Arial" w:eastAsia="Times New Roman" w:hAnsi="Arial" w:cs="Arial"/>
          <w:color w:val="000000" w:themeColor="text1"/>
          <w:kern w:val="0"/>
          <w:sz w:val="22"/>
          <w:szCs w:val="22"/>
          <w:lang w:val="en-LV" w:eastAsia="en-GB"/>
          <w14:ligatures w14:val="none"/>
        </w:rPr>
      </w:pPr>
      <w:r w:rsidRPr="005C09A4">
        <w:rPr>
          <w:rFonts w:ascii="Arial" w:eastAsia="Times New Roman" w:hAnsi="Arial" w:cs="Arial"/>
          <w:color w:val="000000" w:themeColor="text1"/>
          <w:kern w:val="0"/>
          <w:sz w:val="22"/>
          <w:szCs w:val="22"/>
          <w:lang w:val="en-LV" w:eastAsia="en-GB"/>
          <w14:ligatures w14:val="none"/>
        </w:rPr>
        <w:t> </w:t>
      </w:r>
    </w:p>
    <w:p w14:paraId="0FB59CBE"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Tieslietu ministrija saskaņā ar Finanšu ministrijas 2022. gada 12. janvāra elektronisko sūtījumu ir izskatījusi precizēto likumprojektu "Grozījumi Sauszemes transportlīdzekļu īpašnieku civiltiesiskās atbildības obligātās apdrošināšanas likumā" (turpmāk – projekts) un atbalsta projekta virzību, izsakot šādus iebildumus:</w:t>
      </w:r>
    </w:p>
    <w:p w14:paraId="454AD6B3"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1. P</w:t>
      </w:r>
      <w:r w:rsidRPr="005C09A4">
        <w:rPr>
          <w:rFonts w:ascii="Arial" w:eastAsia="Times New Roman" w:hAnsi="Arial" w:cs="Arial"/>
          <w:color w:val="000000" w:themeColor="text1"/>
          <w:kern w:val="0"/>
          <w:bdr w:val="none" w:sz="0" w:space="0" w:color="auto" w:frame="1"/>
          <w:shd w:val="clear" w:color="auto" w:fill="FFFFFF"/>
          <w:lang w:eastAsia="en-GB"/>
          <w14:ligatures w14:val="none"/>
        </w:rPr>
        <w:t>rojekta 6. pantā paredzētā </w:t>
      </w:r>
      <w:r w:rsidRPr="005C09A4">
        <w:rPr>
          <w:rFonts w:ascii="Arial" w:eastAsia="Times New Roman" w:hAnsi="Arial" w:cs="Arial"/>
          <w:color w:val="000000" w:themeColor="text1"/>
          <w:kern w:val="0"/>
          <w:bdr w:val="none" w:sz="0" w:space="0" w:color="auto" w:frame="1"/>
          <w:lang w:eastAsia="en-GB"/>
          <w14:ligatures w14:val="none"/>
        </w:rPr>
        <w:t>Sauszemes transportlīdzekļu īpašnieku civiltiesiskās atbildības obligātās apdrošināšanas likuma (turpmāk – likums)</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44. panta 2.</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daļa noteic, ka </w:t>
      </w:r>
      <w:r w:rsidRPr="005C09A4">
        <w:rPr>
          <w:rFonts w:ascii="Arial" w:eastAsia="Times New Roman" w:hAnsi="Arial" w:cs="Arial"/>
          <w:color w:val="000000" w:themeColor="text1"/>
          <w:kern w:val="0"/>
          <w:u w:val="single"/>
          <w:bdr w:val="none" w:sz="0" w:space="0" w:color="auto" w:frame="1"/>
          <w:shd w:val="clear" w:color="auto" w:fill="FFFFFF"/>
          <w:lang w:eastAsia="en-GB"/>
          <w14:ligatures w14:val="none"/>
        </w:rPr>
        <w:t>t</w:t>
      </w:r>
      <w:r w:rsidRPr="005C09A4">
        <w:rPr>
          <w:rFonts w:ascii="Arial" w:eastAsia="Times New Roman" w:hAnsi="Arial" w:cs="Arial"/>
          <w:color w:val="000000" w:themeColor="text1"/>
          <w:kern w:val="0"/>
          <w:u w:val="single"/>
          <w:bdr w:val="none" w:sz="0" w:space="0" w:color="auto" w:frame="1"/>
          <w:lang w:eastAsia="en-GB"/>
          <w14:ligatures w14:val="none"/>
        </w:rPr>
        <w:t>ransportlīdzekļu apdrošinātāju biroja izdotos administratīvos aktus tehnisko ekspertu sertificēšanas jomā var apstrīdēt Transportlīdzekļu apdrošinātāju birojā, bet Transportlīdzekļu apdrošinātāju biroja lēmumu var pārsūdzēt tiesā Administratīvā procesa likumā noteiktajā kārtībā</w:t>
      </w:r>
      <w:r w:rsidRPr="005C09A4">
        <w:rPr>
          <w:rFonts w:ascii="Arial" w:eastAsia="Times New Roman" w:hAnsi="Arial" w:cs="Arial"/>
          <w:color w:val="000000" w:themeColor="text1"/>
          <w:kern w:val="0"/>
          <w:bdr w:val="none" w:sz="0" w:space="0" w:color="auto" w:frame="1"/>
          <w:lang w:eastAsia="en-GB"/>
          <w14:ligatures w14:val="none"/>
        </w:rPr>
        <w:t>.</w:t>
      </w:r>
    </w:p>
    <w:p w14:paraId="631B7B46"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Vēršam uzmanību uz to, ka Administratīvā procesa likuma 76. panta otrā daļa noteic, ka </w:t>
      </w:r>
      <w:r w:rsidRPr="005C09A4">
        <w:rPr>
          <w:rFonts w:ascii="Arial" w:eastAsia="Times New Roman" w:hAnsi="Arial" w:cs="Arial"/>
          <w:color w:val="000000" w:themeColor="text1"/>
          <w:kern w:val="0"/>
          <w:u w:val="single"/>
          <w:bdr w:val="none" w:sz="0" w:space="0" w:color="auto" w:frame="1"/>
          <w:shd w:val="clear" w:color="auto" w:fill="FFFFFF"/>
          <w:lang w:eastAsia="en-GB"/>
          <w14:ligatures w14:val="none"/>
        </w:rPr>
        <w:t>administratīvo aktu var apstrīdēt padotības kārtībā augstākā iestādē</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Savukārt Valsts pārvaldes iekārtas likuma 43. panta piektā daļa noteic, ka </w:t>
      </w:r>
      <w:r w:rsidRPr="005C09A4">
        <w:rPr>
          <w:rFonts w:ascii="Arial" w:eastAsia="Times New Roman" w:hAnsi="Arial" w:cs="Arial"/>
          <w:color w:val="000000" w:themeColor="text1"/>
          <w:kern w:val="0"/>
          <w:u w:val="single"/>
          <w:bdr w:val="none" w:sz="0" w:space="0" w:color="auto" w:frame="1"/>
          <w:shd w:val="clear" w:color="auto" w:fill="FFFFFF"/>
          <w:lang w:eastAsia="en-GB"/>
          <w14:ligatures w14:val="none"/>
        </w:rPr>
        <w:t>i</w:t>
      </w:r>
      <w:r w:rsidRPr="005C09A4">
        <w:rPr>
          <w:rFonts w:ascii="Arial" w:eastAsia="Times New Roman" w:hAnsi="Arial" w:cs="Arial"/>
          <w:color w:val="000000" w:themeColor="text1"/>
          <w:kern w:val="0"/>
          <w:u w:val="single"/>
          <w:bdr w:val="none" w:sz="0" w:space="0" w:color="auto" w:frame="1"/>
          <w:lang w:eastAsia="en-GB"/>
          <w14:ligatures w14:val="none"/>
        </w:rPr>
        <w:t>estāde, kuras padotībā ir pilnvarotā persona, ir tās izdoto administratīvo aktu apstrīdēšanas iestāde, ja ārējā normatīvajā aktā nav noteikts citādi</w:t>
      </w:r>
      <w:r w:rsidRPr="005C09A4">
        <w:rPr>
          <w:rFonts w:ascii="Arial" w:eastAsia="Times New Roman" w:hAnsi="Arial" w:cs="Arial"/>
          <w:color w:val="000000" w:themeColor="text1"/>
          <w:kern w:val="0"/>
          <w:bdr w:val="none" w:sz="0" w:space="0" w:color="auto" w:frame="1"/>
          <w:lang w:eastAsia="en-GB"/>
          <w14:ligatures w14:val="none"/>
        </w:rPr>
        <w:t>.</w:t>
      </w:r>
    </w:p>
    <w:p w14:paraId="30551C00"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Turklāt </w:t>
      </w:r>
      <w:r w:rsidRPr="005C09A4">
        <w:rPr>
          <w:rFonts w:ascii="Arial" w:eastAsia="Times New Roman" w:hAnsi="Arial" w:cs="Arial"/>
          <w:color w:val="000000" w:themeColor="text1"/>
          <w:kern w:val="0"/>
          <w:bdr w:val="none" w:sz="0" w:space="0" w:color="auto" w:frame="1"/>
          <w:lang w:eastAsia="en-GB"/>
          <w14:ligatures w14:val="none"/>
        </w:rPr>
        <w:t>projekta sākotnējās (</w:t>
      </w:r>
      <w:proofErr w:type="spellStart"/>
      <w:r w:rsidRPr="005C09A4">
        <w:rPr>
          <w:rFonts w:ascii="Arial" w:eastAsia="Times New Roman" w:hAnsi="Arial" w:cs="Arial"/>
          <w:color w:val="000000" w:themeColor="text1"/>
          <w:kern w:val="0"/>
          <w:bdr w:val="none" w:sz="0" w:space="0" w:color="auto" w:frame="1"/>
          <w:lang w:eastAsia="en-GB"/>
          <w14:ligatures w14:val="none"/>
        </w:rPr>
        <w:t>ex-ante</w:t>
      </w:r>
      <w:proofErr w:type="spellEnd"/>
      <w:r w:rsidRPr="005C09A4">
        <w:rPr>
          <w:rFonts w:ascii="Arial" w:eastAsia="Times New Roman" w:hAnsi="Arial" w:cs="Arial"/>
          <w:color w:val="000000" w:themeColor="text1"/>
          <w:kern w:val="0"/>
          <w:bdr w:val="none" w:sz="0" w:space="0" w:color="auto" w:frame="1"/>
          <w:lang w:eastAsia="en-GB"/>
          <w14:ligatures w14:val="none"/>
        </w:rPr>
        <w:t>) ietekmes novērtējuma ziņojuma (turpmāk – anotācija) I sadaļas 2. punktā nav skaidrojuma par pr</w:t>
      </w:r>
      <w:r w:rsidRPr="005C09A4">
        <w:rPr>
          <w:rFonts w:ascii="Arial" w:eastAsia="Times New Roman" w:hAnsi="Arial" w:cs="Arial"/>
          <w:color w:val="000000" w:themeColor="text1"/>
          <w:kern w:val="0"/>
          <w:bdr w:val="none" w:sz="0" w:space="0" w:color="auto" w:frame="1"/>
          <w:shd w:val="clear" w:color="auto" w:fill="FFFFFF"/>
          <w:lang w:eastAsia="en-GB"/>
          <w14:ligatures w14:val="none"/>
        </w:rPr>
        <w:t>ojekta 6. pantā paredzētajā </w:t>
      </w:r>
      <w:r w:rsidRPr="005C09A4">
        <w:rPr>
          <w:rFonts w:ascii="Arial" w:eastAsia="Times New Roman" w:hAnsi="Arial" w:cs="Arial"/>
          <w:color w:val="000000" w:themeColor="text1"/>
          <w:kern w:val="0"/>
          <w:bdr w:val="none" w:sz="0" w:space="0" w:color="auto" w:frame="1"/>
          <w:lang w:eastAsia="en-GB"/>
          <w14:ligatures w14:val="none"/>
        </w:rPr>
        <w:t>likuma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44. panta 2.</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daļā paredzēto regulējumu.</w:t>
      </w:r>
    </w:p>
    <w:p w14:paraId="4C1FF13C"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Ievērojot minēto, lūdzam izvērtēt </w:t>
      </w:r>
      <w:r w:rsidRPr="005C09A4">
        <w:rPr>
          <w:rFonts w:ascii="Arial" w:eastAsia="Times New Roman" w:hAnsi="Arial" w:cs="Arial"/>
          <w:color w:val="000000" w:themeColor="text1"/>
          <w:kern w:val="0"/>
          <w:bdr w:val="none" w:sz="0" w:space="0" w:color="auto" w:frame="1"/>
          <w:lang w:eastAsia="en-GB"/>
          <w14:ligatures w14:val="none"/>
        </w:rPr>
        <w:t>pr</w:t>
      </w:r>
      <w:r w:rsidRPr="005C09A4">
        <w:rPr>
          <w:rFonts w:ascii="Arial" w:eastAsia="Times New Roman" w:hAnsi="Arial" w:cs="Arial"/>
          <w:color w:val="000000" w:themeColor="text1"/>
          <w:kern w:val="0"/>
          <w:bdr w:val="none" w:sz="0" w:space="0" w:color="auto" w:frame="1"/>
          <w:shd w:val="clear" w:color="auto" w:fill="FFFFFF"/>
          <w:lang w:eastAsia="en-GB"/>
          <w14:ligatures w14:val="none"/>
        </w:rPr>
        <w:t>ojekta 6. pantā paredzētajā </w:t>
      </w:r>
      <w:r w:rsidRPr="005C09A4">
        <w:rPr>
          <w:rFonts w:ascii="Arial" w:eastAsia="Times New Roman" w:hAnsi="Arial" w:cs="Arial"/>
          <w:color w:val="000000" w:themeColor="text1"/>
          <w:kern w:val="0"/>
          <w:bdr w:val="none" w:sz="0" w:space="0" w:color="auto" w:frame="1"/>
          <w:lang w:eastAsia="en-GB"/>
          <w14:ligatures w14:val="none"/>
        </w:rPr>
        <w:t>likuma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44. panta 2.</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daļā ietverto regulējumu un nepieciešamības gadījumā precizēt to, kā arī papildināt anotācijas I sadaļas 2. punktu ar atbilstošu skaidrojumu.</w:t>
      </w:r>
    </w:p>
    <w:p w14:paraId="00765E59"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2. Ievērojot, ka nav skaidrs, kādēļ nepieciešams projekta 6. pantā paredzētais grozījums, kas papildina likuma 44. pantu ar 2.</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2</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daļu, likuma 44. panta trešo daļu ar 3. punktu, kā arī likuma 44. pantu ar piekto daļu, lūdzam izvērtēt projekta 6. pantā paredzētos grozījumus un nepieciešamības gadījumā precizēt tos, kā arī papildināt anotāciju ar atbilstošu skaidrojumu.</w:t>
      </w:r>
    </w:p>
    <w:p w14:paraId="580E1DC0"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3. Valsts pārvaldes iekārtas likuma 43. panta ceturtā daļa noteic, ka</w:t>
      </w:r>
      <w:r w:rsidRPr="005C09A4">
        <w:rPr>
          <w:rFonts w:ascii="Arial" w:eastAsia="Times New Roman" w:hAnsi="Arial" w:cs="Arial"/>
          <w:color w:val="000000" w:themeColor="text1"/>
          <w:kern w:val="0"/>
          <w:bdr w:val="none" w:sz="0" w:space="0" w:color="auto" w:frame="1"/>
          <w:lang w:eastAsia="en-GB"/>
          <w14:ligatures w14:val="none"/>
        </w:rPr>
        <w:t> </w:t>
      </w:r>
      <w:r w:rsidRPr="005C09A4">
        <w:rPr>
          <w:rFonts w:ascii="Arial" w:eastAsia="Times New Roman" w:hAnsi="Arial" w:cs="Arial"/>
          <w:color w:val="000000" w:themeColor="text1"/>
          <w:kern w:val="0"/>
          <w:u w:val="single"/>
          <w:bdr w:val="none" w:sz="0" w:space="0" w:color="auto" w:frame="1"/>
          <w:lang w:eastAsia="en-GB"/>
          <w14:ligatures w14:val="none"/>
        </w:rPr>
        <w:t>pilnvarotā persona, kurai ir deleģētas tiesības izdot administratīvos aktus, atrodas funkcionālā pakļautībā</w:t>
      </w:r>
      <w:r w:rsidRPr="005C09A4">
        <w:rPr>
          <w:rFonts w:ascii="Arial" w:eastAsia="Times New Roman" w:hAnsi="Arial" w:cs="Arial"/>
          <w:color w:val="000000" w:themeColor="text1"/>
          <w:kern w:val="0"/>
          <w:bdr w:val="none" w:sz="0" w:space="0" w:color="auto" w:frame="1"/>
          <w:lang w:eastAsia="en-GB"/>
          <w14:ligatures w14:val="none"/>
        </w:rPr>
        <w:t>, ja ārējā normatīvajā aktā nav noteikts citādi.</w:t>
      </w:r>
    </w:p>
    <w:p w14:paraId="3098290B"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Savukārt projekta 7. pantā paredzētā likuma 44.</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panta pirmā daļa noteic, ka j</w:t>
      </w:r>
      <w:r w:rsidRPr="005C09A4">
        <w:rPr>
          <w:rFonts w:ascii="Arial" w:eastAsia="Times New Roman" w:hAnsi="Arial" w:cs="Arial"/>
          <w:color w:val="000000" w:themeColor="text1"/>
          <w:kern w:val="0"/>
          <w:bdr w:val="none" w:sz="0" w:space="0" w:color="auto" w:frame="1"/>
          <w:lang w:eastAsia="en-GB"/>
          <w14:ligatures w14:val="none"/>
        </w:rPr>
        <w:t>autājumos, kas saistīti ar šajā likumā Transportlīdzekļu apdrošinātāju birojam deleģētajiem valsts pārvaldes uzdevumiem, </w:t>
      </w:r>
      <w:r w:rsidRPr="005C09A4">
        <w:rPr>
          <w:rFonts w:ascii="Arial" w:eastAsia="Times New Roman" w:hAnsi="Arial" w:cs="Arial"/>
          <w:color w:val="000000" w:themeColor="text1"/>
          <w:kern w:val="0"/>
          <w:u w:val="single"/>
          <w:bdr w:val="none" w:sz="0" w:space="0" w:color="auto" w:frame="1"/>
          <w:lang w:eastAsia="en-GB"/>
          <w14:ligatures w14:val="none"/>
        </w:rPr>
        <w:t>Transportlīdzekļu apdrošinātāju birojs atrodas Finanšu ministrijas pārraudzībā</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Turklāt no anotācijas I sadaļas 2. punktā ietvertās informācijas nav skaidrs, kādēļ projekts paredz, ka </w:t>
      </w:r>
      <w:r w:rsidRPr="005C09A4">
        <w:rPr>
          <w:rFonts w:ascii="Arial" w:eastAsia="Times New Roman" w:hAnsi="Arial" w:cs="Arial"/>
          <w:color w:val="000000" w:themeColor="text1"/>
          <w:kern w:val="0"/>
          <w:bdr w:val="none" w:sz="0" w:space="0" w:color="auto" w:frame="1"/>
          <w:lang w:eastAsia="en-GB"/>
          <w14:ligatures w14:val="none"/>
        </w:rPr>
        <w:t>Transportlīdzekļu apdrošinātāju birojs atrodas Finanšu ministrijas pārraudzībā, nevis pakļautībā.</w:t>
      </w:r>
    </w:p>
    <w:p w14:paraId="586B4537"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Ievērojot minēto, lūdzam izvērtēt </w:t>
      </w:r>
      <w:r w:rsidRPr="005C09A4">
        <w:rPr>
          <w:rFonts w:ascii="Arial" w:eastAsia="Times New Roman" w:hAnsi="Arial" w:cs="Arial"/>
          <w:color w:val="000000" w:themeColor="text1"/>
          <w:kern w:val="0"/>
          <w:bdr w:val="none" w:sz="0" w:space="0" w:color="auto" w:frame="1"/>
          <w:lang w:eastAsia="en-GB"/>
          <w14:ligatures w14:val="none"/>
        </w:rPr>
        <w:t>pr</w:t>
      </w:r>
      <w:r w:rsidRPr="005C09A4">
        <w:rPr>
          <w:rFonts w:ascii="Arial" w:eastAsia="Times New Roman" w:hAnsi="Arial" w:cs="Arial"/>
          <w:color w:val="000000" w:themeColor="text1"/>
          <w:kern w:val="0"/>
          <w:bdr w:val="none" w:sz="0" w:space="0" w:color="auto" w:frame="1"/>
          <w:shd w:val="clear" w:color="auto" w:fill="FFFFFF"/>
          <w:lang w:eastAsia="en-GB"/>
          <w14:ligatures w14:val="none"/>
        </w:rPr>
        <w:t>ojekta 7. pantā paredzētajā </w:t>
      </w:r>
      <w:r w:rsidRPr="005C09A4">
        <w:rPr>
          <w:rFonts w:ascii="Arial" w:eastAsia="Times New Roman" w:hAnsi="Arial" w:cs="Arial"/>
          <w:color w:val="000000" w:themeColor="text1"/>
          <w:kern w:val="0"/>
          <w:bdr w:val="none" w:sz="0" w:space="0" w:color="auto" w:frame="1"/>
          <w:lang w:eastAsia="en-GB"/>
          <w14:ligatures w14:val="none"/>
        </w:rPr>
        <w:t>likuma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44.</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panta pirmajā daļā ietverto regulējumu un nepieciešamības gadījumā precizēt to, kā arī papildināt anotācijas I sadaļas 2. punktu ar atbilstošu skaidrojumu.</w:t>
      </w:r>
    </w:p>
    <w:p w14:paraId="264B2DFE"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4. Projekta 7. pantā paredzētā likuma 44.</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panta otrā daļa noteic, ka </w:t>
      </w:r>
      <w:r w:rsidRPr="005C09A4">
        <w:rPr>
          <w:rFonts w:ascii="Arial" w:eastAsia="Times New Roman" w:hAnsi="Arial" w:cs="Arial"/>
          <w:color w:val="000000" w:themeColor="text1"/>
          <w:kern w:val="0"/>
          <w:u w:val="single"/>
          <w:bdr w:val="none" w:sz="0" w:space="0" w:color="auto" w:frame="1"/>
          <w:lang w:eastAsia="en-GB"/>
          <w14:ligatures w14:val="none"/>
        </w:rPr>
        <w:t xml:space="preserve">Finanšu ministrijai ir tiesības pieprasīt no Transportlīdzekļu apdrošinātāju biroja informāciju, </w:t>
      </w:r>
      <w:r w:rsidRPr="005C09A4">
        <w:rPr>
          <w:rFonts w:ascii="Arial" w:eastAsia="Times New Roman" w:hAnsi="Arial" w:cs="Arial"/>
          <w:color w:val="000000" w:themeColor="text1"/>
          <w:kern w:val="0"/>
          <w:u w:val="single"/>
          <w:bdr w:val="none" w:sz="0" w:space="0" w:color="auto" w:frame="1"/>
          <w:lang w:eastAsia="en-GB"/>
          <w14:ligatures w14:val="none"/>
        </w:rPr>
        <w:lastRenderedPageBreak/>
        <w:t>kas nepieciešama pārraudzības nodrošināšanai</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Savukārt Valsts pārvaldes iekārtas likuma 43. panta sestā daļa noteic, ka </w:t>
      </w:r>
      <w:r w:rsidRPr="005C09A4">
        <w:rPr>
          <w:rFonts w:ascii="Arial" w:eastAsia="Times New Roman" w:hAnsi="Arial" w:cs="Arial"/>
          <w:color w:val="000000" w:themeColor="text1"/>
          <w:kern w:val="0"/>
          <w:u w:val="single"/>
          <w:bdr w:val="none" w:sz="0" w:space="0" w:color="auto" w:frame="1"/>
          <w:shd w:val="clear" w:color="auto" w:fill="FFFFFF"/>
          <w:lang w:eastAsia="en-GB"/>
          <w14:ligatures w14:val="none"/>
        </w:rPr>
        <w:t>pilnvarotā persona sniedz iestādei, kuras padotībā tā atrodas, informāciju, ko iestāde prasa sakarā ar deleģētā uzdevuma izpildi</w:t>
      </w:r>
      <w:r w:rsidRPr="005C09A4">
        <w:rPr>
          <w:rFonts w:ascii="Arial" w:eastAsia="Times New Roman" w:hAnsi="Arial" w:cs="Arial"/>
          <w:color w:val="000000" w:themeColor="text1"/>
          <w:kern w:val="0"/>
          <w:bdr w:val="none" w:sz="0" w:space="0" w:color="auto" w:frame="1"/>
          <w:shd w:val="clear" w:color="auto" w:fill="FFFFFF"/>
          <w:lang w:eastAsia="en-GB"/>
          <w14:ligatures w14:val="none"/>
        </w:rPr>
        <w:t>.</w:t>
      </w:r>
    </w:p>
    <w:p w14:paraId="2D30290A"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Ievērojot minēto, kā arī to, ka Ministru kabineta 2009. gada 3. februāra noteikumu Nr. 108 "Normatīvo aktu projektu sagatavošanas noteikumi" 3.2. apakšpunkts noteic, ka </w:t>
      </w:r>
      <w:r w:rsidRPr="005C09A4">
        <w:rPr>
          <w:rFonts w:ascii="Arial" w:eastAsia="Times New Roman" w:hAnsi="Arial" w:cs="Arial"/>
          <w:color w:val="000000" w:themeColor="text1"/>
          <w:kern w:val="0"/>
          <w:u w:val="single"/>
          <w:bdr w:val="none" w:sz="0" w:space="0" w:color="auto" w:frame="1"/>
          <w:shd w:val="clear" w:color="auto" w:fill="FFFFFF"/>
          <w:lang w:eastAsia="en-GB"/>
          <w14:ligatures w14:val="none"/>
        </w:rPr>
        <w:t>normatīvā akta projektā neietver normas, kas dublē augstāka vai tāda paša spēka normatīvā akta tiesību normās ietverto normatīvo regulējumu</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lūdzam izslēgt projekta 7. pantā paredzēto likuma 44.</w:t>
      </w:r>
      <w:r w:rsidRPr="005C09A4">
        <w:rPr>
          <w:rFonts w:ascii="Arial" w:eastAsia="Times New Roman" w:hAnsi="Arial" w:cs="Arial"/>
          <w:color w:val="000000" w:themeColor="text1"/>
          <w:kern w:val="0"/>
          <w:bdr w:val="none" w:sz="0" w:space="0" w:color="auto" w:frame="1"/>
          <w:shd w:val="clear" w:color="auto" w:fill="FFFFFF"/>
          <w:vertAlign w:val="superscript"/>
          <w:lang w:eastAsia="en-GB"/>
          <w14:ligatures w14:val="none"/>
        </w:rPr>
        <w:t>1</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panta otro daļu.</w:t>
      </w:r>
    </w:p>
    <w:p w14:paraId="2BA32E37"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5. Lūdzam papildināt projektu ar </w:t>
      </w:r>
      <w:r w:rsidRPr="005C09A4">
        <w:rPr>
          <w:rFonts w:ascii="Arial" w:eastAsia="Times New Roman" w:hAnsi="Arial" w:cs="Arial"/>
          <w:color w:val="000000" w:themeColor="text1"/>
          <w:kern w:val="0"/>
          <w:bdr w:val="none" w:sz="0" w:space="0" w:color="auto" w:frame="1"/>
          <w:lang w:eastAsia="en-GB"/>
          <w14:ligatures w14:val="none"/>
        </w:rPr>
        <w:t>pārejas noteikumu attiecībā uz projekta 5. pantā paredzētajā likuma 43. panta sestajā daļā noteikto jauno prasību saskaņot statūtus ar Finanšu ministriju, jo no anotācijas I sadaļas 2. punktā ietvertās informācijas neizriet, ka tas tiks veikts uzreiz pēc projekta spēkā stāšanās. Proti, vajadzētu noteikt termiņu, līdz kuram Transportlīdzekļu apdrošinātāju birojs statūtus iesniedz saskaņošanai Finanšu ministrijai.</w:t>
      </w:r>
    </w:p>
    <w:p w14:paraId="2E30B5B2"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Tas pats ir attiecināms arī uz projekta 9. pantā paredzētajiem grozījumiem likuma 47. pantā, kas noteic prasības valdei. Tieslietu ministrijas ieskatā, šis regulējums būtu attiecināms uz jaunās valdes vēlēšanām. Biedrību un nodibinājumu likumā nav noteikts, uz cik ilgu laiku tiek ievēlēta valde, to parasti nosaka statūtos. Turklāt var būt gadījumi, kad ne visiem valdes locekļiem vienlaikus beidzas pilnvaru termiņš.</w:t>
      </w:r>
    </w:p>
    <w:p w14:paraId="1DB72C9B"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Papildus lūdzam izvērtēt, vai attiecībā uz projekta 7. pantā paredzētajā likuma 44.</w:t>
      </w:r>
      <w:r w:rsidRPr="005C09A4">
        <w:rPr>
          <w:rFonts w:ascii="Arial" w:eastAsia="Times New Roman" w:hAnsi="Arial" w:cs="Arial"/>
          <w:color w:val="000000" w:themeColor="text1"/>
          <w:kern w:val="0"/>
          <w:bdr w:val="none" w:sz="0" w:space="0" w:color="auto" w:frame="1"/>
          <w:vertAlign w:val="superscript"/>
          <w:lang w:eastAsia="en-GB"/>
          <w14:ligatures w14:val="none"/>
        </w:rPr>
        <w:t>1</w:t>
      </w:r>
      <w:r w:rsidRPr="005C09A4">
        <w:rPr>
          <w:rFonts w:ascii="Arial" w:eastAsia="Times New Roman" w:hAnsi="Arial" w:cs="Arial"/>
          <w:color w:val="000000" w:themeColor="text1"/>
          <w:kern w:val="0"/>
          <w:bdr w:val="none" w:sz="0" w:space="0" w:color="auto" w:frame="1"/>
          <w:lang w:eastAsia="en-GB"/>
          <w14:ligatures w14:val="none"/>
        </w:rPr>
        <w:t> panta pirmajā daļā noteikto regulējumu par pārraudzību arī būtu jāparedz pārejas noteikums.</w:t>
      </w:r>
    </w:p>
    <w:p w14:paraId="1736FFF7"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Vienlaikus izsakām šādus priekšlikumus:</w:t>
      </w:r>
    </w:p>
    <w:p w14:paraId="34066F69"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1. 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Vēršam uzmanību </w:t>
      </w:r>
      <w:r w:rsidRPr="005C09A4">
        <w:rPr>
          <w:rFonts w:ascii="Arial" w:eastAsia="Times New Roman" w:hAnsi="Arial" w:cs="Arial"/>
          <w:color w:val="000000" w:themeColor="text1"/>
          <w:kern w:val="0"/>
          <w:bdr w:val="none" w:sz="0" w:space="0" w:color="auto" w:frame="1"/>
          <w:lang w:eastAsia="en-GB"/>
          <w14:ligatures w14:val="none"/>
        </w:rPr>
        <w:t>uz to, ka </w:t>
      </w:r>
      <w:r w:rsidRPr="005C09A4">
        <w:rPr>
          <w:rFonts w:ascii="Arial" w:eastAsia="Times New Roman" w:hAnsi="Arial" w:cs="Arial"/>
          <w:color w:val="000000" w:themeColor="text1"/>
          <w:kern w:val="0"/>
          <w:u w:val="single"/>
          <w:bdr w:val="none" w:sz="0" w:space="0" w:color="auto" w:frame="1"/>
          <w:lang w:eastAsia="en-GB"/>
          <w14:ligatures w14:val="none"/>
        </w:rPr>
        <w:t>Ministru kabinets ārējo normatīvo aktu var izdot tikai tādā gadījumā, ja likumdevējs likumā formulējis pilnvarojumu šāda akta izdošanai un noteicis pilnvarojuma robežas</w:t>
      </w:r>
      <w:r w:rsidRPr="005C09A4">
        <w:rPr>
          <w:rFonts w:ascii="Arial" w:eastAsia="Times New Roman" w:hAnsi="Arial" w:cs="Arial"/>
          <w:color w:val="000000" w:themeColor="text1"/>
          <w:kern w:val="0"/>
          <w:bdr w:val="none" w:sz="0" w:space="0" w:color="auto" w:frame="1"/>
          <w:lang w:eastAsia="en-GB"/>
          <w14:ligatures w14:val="none"/>
        </w:rPr>
        <w:t> (skat. Satversmes tiesas 2017. gada 29. jūnija sprieduma lietā Nr. 2016-23-03 16. punktu). Turklāt </w:t>
      </w:r>
      <w:r w:rsidRPr="005C09A4">
        <w:rPr>
          <w:rFonts w:ascii="Arial" w:eastAsia="Times New Roman" w:hAnsi="Arial" w:cs="Arial"/>
          <w:color w:val="000000" w:themeColor="text1"/>
          <w:kern w:val="0"/>
          <w:u w:val="single"/>
          <w:bdr w:val="none" w:sz="0" w:space="0" w:color="auto" w:frame="1"/>
          <w:lang w:eastAsia="en-GB"/>
          <w14:ligatures w14:val="none"/>
        </w:rPr>
        <w:t>Ministru kabineta noteikumu saturam jāatbilst likumdevēja noteiktajam pilnvarojumam Ministru kabinetam</w:t>
      </w:r>
      <w:r w:rsidRPr="005C09A4">
        <w:rPr>
          <w:rFonts w:ascii="Arial" w:eastAsia="Times New Roman" w:hAnsi="Arial" w:cs="Arial"/>
          <w:color w:val="000000" w:themeColor="text1"/>
          <w:kern w:val="0"/>
          <w:bdr w:val="none" w:sz="0" w:space="0" w:color="auto" w:frame="1"/>
          <w:lang w:eastAsia="en-GB"/>
          <w14:ligatures w14:val="none"/>
        </w:rPr>
        <w:t>.</w:t>
      </w:r>
    </w:p>
    <w:p w14:paraId="75ECF053"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Projekta 4. pantā paredzētajā likuma 37. panta piektajā daļā ir ietverts pilnvarojums Ministru kabinetam noteikt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prasības</w:t>
      </w:r>
      <w:proofErr w:type="spellEnd"/>
      <w:r w:rsidRPr="005C09A4">
        <w:rPr>
          <w:rFonts w:ascii="Arial" w:eastAsia="Times New Roman" w:hAnsi="Arial" w:cs="Arial"/>
          <w:color w:val="000000" w:themeColor="text1"/>
          <w:kern w:val="0"/>
          <w:bdr w:val="none" w:sz="0" w:space="0" w:color="auto" w:frame="1"/>
          <w:lang w:eastAsia="en-GB"/>
          <w14:ligatures w14:val="none"/>
        </w:rPr>
        <w:t> transportlīdzekļu tehniskā eksperta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profesionālajai</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kvalifikācijai</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un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profesionālās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kvalifikācijas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w:t>
      </w:r>
      <w:proofErr w:type="spellStart"/>
      <w:r w:rsidRPr="005C09A4">
        <w:rPr>
          <w:rFonts w:ascii="Arial" w:eastAsia="Times New Roman" w:hAnsi="Arial" w:cs="Arial"/>
          <w:color w:val="000000" w:themeColor="text1"/>
          <w:kern w:val="0"/>
          <w:u w:val="single"/>
          <w:bdr w:val="none" w:sz="0" w:space="0" w:color="auto" w:frame="1"/>
          <w:shd w:val="clear" w:color="auto" w:fill="FFFFFF"/>
          <w:lang w:val="en-US" w:eastAsia="en-GB"/>
          <w14:ligatures w14:val="none"/>
        </w:rPr>
        <w:t>sertifikāta</w:t>
      </w:r>
      <w:proofErr w:type="spellEnd"/>
      <w:r w:rsidRPr="005C09A4">
        <w:rPr>
          <w:rFonts w:ascii="Arial" w:eastAsia="Times New Roman" w:hAnsi="Arial" w:cs="Arial"/>
          <w:color w:val="000000" w:themeColor="text1"/>
          <w:kern w:val="0"/>
          <w:u w:val="single"/>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u w:val="single"/>
          <w:bdr w:val="none" w:sz="0" w:space="0" w:color="auto" w:frame="1"/>
          <w:shd w:val="clear" w:color="auto" w:fill="FFFFFF"/>
          <w:lang w:val="en-US" w:eastAsia="en-GB"/>
          <w14:ligatures w14:val="none"/>
        </w:rPr>
        <w:t>izsniegšanas</w:t>
      </w:r>
      <w:proofErr w:type="spellEnd"/>
      <w:r w:rsidRPr="005C09A4">
        <w:rPr>
          <w:rFonts w:ascii="Arial" w:eastAsia="Times New Roman" w:hAnsi="Arial" w:cs="Arial"/>
          <w:color w:val="000000" w:themeColor="text1"/>
          <w:kern w:val="0"/>
          <w:u w:val="single"/>
          <w:bdr w:val="none" w:sz="0" w:space="0" w:color="auto" w:frame="1"/>
          <w:shd w:val="clear" w:color="auto" w:fill="FFFFFF"/>
          <w:lang w:val="en-US" w:eastAsia="en-GB"/>
          <w14:ligatures w14:val="none"/>
        </w:rPr>
        <w:t>, </w:t>
      </w:r>
      <w:r w:rsidRPr="005C09A4">
        <w:rPr>
          <w:rFonts w:ascii="Arial" w:eastAsia="Times New Roman" w:hAnsi="Arial" w:cs="Arial"/>
          <w:color w:val="000000" w:themeColor="text1"/>
          <w:kern w:val="0"/>
          <w:u w:val="single"/>
          <w:bdr w:val="none" w:sz="0" w:space="0" w:color="auto" w:frame="1"/>
          <w:lang w:eastAsia="en-GB"/>
          <w14:ligatures w14:val="none"/>
        </w:rPr>
        <w:t>darbības apturēšanas un anulēšanas prasības un kārtību</w:t>
      </w:r>
      <w:r w:rsidRPr="005C09A4">
        <w:rPr>
          <w:rFonts w:ascii="Arial" w:eastAsia="Times New Roman" w:hAnsi="Arial" w:cs="Arial"/>
          <w:color w:val="000000" w:themeColor="text1"/>
          <w:kern w:val="0"/>
          <w:bdr w:val="none" w:sz="0" w:space="0" w:color="auto" w:frame="1"/>
          <w:lang w:eastAsia="en-GB"/>
          <w14:ligatures w14:val="none"/>
        </w:rPr>
        <w:t>. Savukārt no anotācijas I sadaļas 2. punktā ietvertās informācijas izriet, ka šobrīd ir paredzēta tehniskā eksperta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profesionālās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kvalifikācijas</w:t>
      </w:r>
      <w:proofErr w:type="spellEnd"/>
      <w:r w:rsidRPr="005C09A4">
        <w:rPr>
          <w:rFonts w:ascii="Arial" w:eastAsia="Times New Roman" w:hAnsi="Arial" w:cs="Arial"/>
          <w:color w:val="000000" w:themeColor="text1"/>
          <w:kern w:val="0"/>
          <w:bdr w:val="none" w:sz="0" w:space="0" w:color="auto" w:frame="1"/>
          <w:lang w:val="en-US" w:eastAsia="en-GB"/>
          <w14:ligatures w14:val="none"/>
        </w:rPr>
        <w:t> </w:t>
      </w:r>
      <w:r w:rsidRPr="005C09A4">
        <w:rPr>
          <w:rFonts w:ascii="Arial" w:eastAsia="Times New Roman" w:hAnsi="Arial" w:cs="Arial"/>
          <w:color w:val="000000" w:themeColor="text1"/>
          <w:kern w:val="0"/>
          <w:u w:val="single"/>
          <w:bdr w:val="none" w:sz="0" w:space="0" w:color="auto" w:frame="1"/>
          <w:lang w:eastAsia="en-GB"/>
          <w14:ligatures w14:val="none"/>
        </w:rPr>
        <w:t>pirmreizēja un atkārtota sertifikāta piešķiršana</w:t>
      </w:r>
      <w:r w:rsidRPr="005C09A4">
        <w:rPr>
          <w:rFonts w:ascii="Arial" w:eastAsia="Times New Roman" w:hAnsi="Arial" w:cs="Arial"/>
          <w:color w:val="000000" w:themeColor="text1"/>
          <w:kern w:val="0"/>
          <w:bdr w:val="none" w:sz="0" w:space="0" w:color="auto" w:frame="1"/>
          <w:lang w:eastAsia="en-GB"/>
          <w14:ligatures w14:val="none"/>
        </w:rPr>
        <w:t>.</w:t>
      </w:r>
    </w:p>
    <w:p w14:paraId="1DCC908C"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Turklāt no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pr</w:t>
      </w:r>
      <w:r w:rsidRPr="005C09A4">
        <w:rPr>
          <w:rFonts w:ascii="Arial" w:eastAsia="Times New Roman" w:hAnsi="Arial" w:cs="Arial"/>
          <w:color w:val="000000" w:themeColor="text1"/>
          <w:kern w:val="0"/>
          <w:bdr w:val="none" w:sz="0" w:space="0" w:color="auto" w:frame="1"/>
          <w:lang w:eastAsia="en-GB"/>
          <w14:ligatures w14:val="none"/>
        </w:rPr>
        <w:t>ojekta 4. pantā paredzētajā likuma 37. panta piektajā daļā ietvertā pilnvarojuma Ministru kabinetam neizriet, ka tehniskā eksperta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profesionālās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kvalifikācijas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sertifikātam</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ir</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noteikts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termiņš</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pēc</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kura</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iestāšanās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ir</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jāsaņem</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atkārtots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t</w:t>
      </w:r>
      <w:proofErr w:type="spellStart"/>
      <w:r w:rsidRPr="005C09A4">
        <w:rPr>
          <w:rFonts w:ascii="Arial" w:eastAsia="Times New Roman" w:hAnsi="Arial" w:cs="Arial"/>
          <w:color w:val="000000" w:themeColor="text1"/>
          <w:kern w:val="0"/>
          <w:bdr w:val="none" w:sz="0" w:space="0" w:color="auto" w:frame="1"/>
          <w:lang w:eastAsia="en-GB"/>
          <w14:ligatures w14:val="none"/>
        </w:rPr>
        <w:t>ehniskā</w:t>
      </w:r>
      <w:proofErr w:type="spellEnd"/>
      <w:r w:rsidRPr="005C09A4">
        <w:rPr>
          <w:rFonts w:ascii="Arial" w:eastAsia="Times New Roman" w:hAnsi="Arial" w:cs="Arial"/>
          <w:color w:val="000000" w:themeColor="text1"/>
          <w:kern w:val="0"/>
          <w:bdr w:val="none" w:sz="0" w:space="0" w:color="auto" w:frame="1"/>
          <w:lang w:eastAsia="en-GB"/>
          <w14:ligatures w14:val="none"/>
        </w:rPr>
        <w:t xml:space="preserve"> eksperta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profesionālās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kvalifikācijas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 xml:space="preserve">  </w:t>
      </w:r>
      <w:proofErr w:type="spellStart"/>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sertifikāts</w:t>
      </w:r>
      <w:proofErr w:type="spellEnd"/>
      <w:r w:rsidRPr="005C09A4">
        <w:rPr>
          <w:rFonts w:ascii="Arial" w:eastAsia="Times New Roman" w:hAnsi="Arial" w:cs="Arial"/>
          <w:color w:val="000000" w:themeColor="text1"/>
          <w:kern w:val="0"/>
          <w:bdr w:val="none" w:sz="0" w:space="0" w:color="auto" w:frame="1"/>
          <w:shd w:val="clear" w:color="auto" w:fill="FFFFFF"/>
          <w:lang w:val="en-US" w:eastAsia="en-GB"/>
          <w14:ligatures w14:val="none"/>
        </w:rPr>
        <w:t>.</w:t>
      </w:r>
    </w:p>
    <w:p w14:paraId="4BD21005"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Ievērojot minēto, lūdzam izvērtēt pr</w:t>
      </w:r>
      <w:r w:rsidRPr="005C09A4">
        <w:rPr>
          <w:rFonts w:ascii="Arial" w:eastAsia="Times New Roman" w:hAnsi="Arial" w:cs="Arial"/>
          <w:color w:val="000000" w:themeColor="text1"/>
          <w:kern w:val="0"/>
          <w:bdr w:val="none" w:sz="0" w:space="0" w:color="auto" w:frame="1"/>
          <w:lang w:eastAsia="en-GB"/>
          <w14:ligatures w14:val="none"/>
        </w:rPr>
        <w:t>ojekta 4. pantā paredzētajā likuma 37. panta piektajā daļā ietverto pilnvarojumu Ministru kabinetam un attiecīgi precizēt to vai papildināt anotācijas I sadaļas 2. punktu ar atbilstošu skaidrojumu.</w:t>
      </w:r>
    </w:p>
    <w:p w14:paraId="54BD5C64"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2. </w:t>
      </w:r>
      <w:r w:rsidRPr="005C09A4">
        <w:rPr>
          <w:rFonts w:ascii="Arial" w:eastAsia="Times New Roman" w:hAnsi="Arial" w:cs="Arial"/>
          <w:color w:val="000000" w:themeColor="text1"/>
          <w:kern w:val="0"/>
          <w:bdr w:val="none" w:sz="0" w:space="0" w:color="auto" w:frame="1"/>
          <w:lang w:eastAsia="en-GB"/>
          <w14:ligatures w14:val="none"/>
        </w:rPr>
        <w:t xml:space="preserve">Projekta 5. pantā paredzētā likuma 43. panta sestā daļa noteic, ka Transportlīdzekļu apdrošinātāju birojs statūtus un to grozījumus saskaņo ar Finanšu ministriju. Ņemot vērā, ka šobrīd spēkā esošā likuma 44. panta otrās daļas 4. punkts noteic, ka Transportlīdzekļu apdrošinātāju birojs izdod saistošus norādījumus apdrošinātājiem, ierosinām šo tiesību normu izteikt līdzīgi, kāda tā ir attiecībā uz zvērinātiem revidentiem. Proti, Revīzijas pakalpojumu likuma 37. panta pirmā daļa </w:t>
      </w:r>
      <w:r w:rsidRPr="005C09A4">
        <w:rPr>
          <w:rFonts w:ascii="Arial" w:eastAsia="Times New Roman" w:hAnsi="Arial" w:cs="Arial"/>
          <w:color w:val="000000" w:themeColor="text1"/>
          <w:kern w:val="0"/>
          <w:bdr w:val="none" w:sz="0" w:space="0" w:color="auto" w:frame="1"/>
          <w:lang w:eastAsia="en-GB"/>
          <w14:ligatures w14:val="none"/>
        </w:rPr>
        <w:lastRenderedPageBreak/>
        <w:t>noteic, k</w:t>
      </w:r>
      <w:r w:rsidRPr="005C09A4">
        <w:rPr>
          <w:rFonts w:ascii="Arial" w:eastAsia="Times New Roman" w:hAnsi="Arial" w:cs="Arial"/>
          <w:color w:val="000000" w:themeColor="text1"/>
          <w:kern w:val="0"/>
          <w:bdr w:val="none" w:sz="0" w:space="0" w:color="auto" w:frame="1"/>
          <w:shd w:val="clear" w:color="auto" w:fill="FFFFFF"/>
          <w:lang w:eastAsia="en-GB"/>
          <w14:ligatures w14:val="none"/>
        </w:rPr>
        <w:t>a Latvijas Zvērinātu revidentu asociācijas tiesību aktus, kas reglamentē zvērinātu revidentu sertificēšanu, zvērinātu revidentu komercsabiedrību licencēšanu un citu šajā likumā Latvijas Zvērinātu revidentu asociācijai deleģēto uzdevumu izpildi, Latvijas Zvērinātu revidentu asociācija apstiprina pēc saskaņošanas ar Finanšu ministriju. Ja likumā tiks paredzēts līdzīgs regulējums, tad nākotnē varēs izvairīties no tā, ka </w:t>
      </w:r>
      <w:r w:rsidRPr="005C09A4">
        <w:rPr>
          <w:rFonts w:ascii="Arial" w:eastAsia="Times New Roman" w:hAnsi="Arial" w:cs="Arial"/>
          <w:color w:val="000000" w:themeColor="text1"/>
          <w:kern w:val="0"/>
          <w:bdr w:val="none" w:sz="0" w:space="0" w:color="auto" w:frame="1"/>
          <w:lang w:eastAsia="en-GB"/>
          <w14:ligatures w14:val="none"/>
        </w:rPr>
        <w:t>Transportlīdzekļu apdrošinātāju birojs</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noteiks kādus pienākumus apdrošinātājiem vai tiem, kas vēlas sniegt apdrošināšanas pakalpojumus, un Finanšu ministrija nevarēs tos atcelt vai kontrolēt to, kas šādos noteikumos ir iekļauts. Lai gan projekts paredz šo tiesību normu precizēt, un projekta 8. pantā paredzētais likuma 46. panta otrās daļas 2. punkts noteic, ka </w:t>
      </w:r>
      <w:r w:rsidRPr="005C09A4">
        <w:rPr>
          <w:rFonts w:ascii="Arial" w:eastAsia="Times New Roman" w:hAnsi="Arial" w:cs="Arial"/>
          <w:color w:val="000000" w:themeColor="text1"/>
          <w:kern w:val="0"/>
          <w:bdr w:val="none" w:sz="0" w:space="0" w:color="auto" w:frame="1"/>
          <w:lang w:eastAsia="en-GB"/>
          <w14:ligatures w14:val="none"/>
        </w:rPr>
        <w:t>Transportlīdzekļu apdrošinātāju birojam</w:t>
      </w:r>
      <w:r w:rsidRPr="005C09A4">
        <w:rPr>
          <w:rFonts w:ascii="Arial" w:eastAsia="Times New Roman" w:hAnsi="Arial" w:cs="Arial"/>
          <w:color w:val="000000" w:themeColor="text1"/>
          <w:kern w:val="0"/>
          <w:bdr w:val="none" w:sz="0" w:space="0" w:color="auto" w:frame="1"/>
          <w:shd w:val="clear" w:color="auto" w:fill="FFFFFF"/>
          <w:lang w:eastAsia="en-GB"/>
          <w14:ligatures w14:val="none"/>
        </w:rPr>
        <w:t> ir tiesības pieņemt lēmumus sauszemes transportlīdzekļu īpašnieku civiltiesiskās atbildības obligātās apdrošināšanas īstenošanas jautājumos, ciktāl tie nav pretrunā ar šo likumu, nav skaidrs, kas ir šie lēmumi un, kāds šiem lēmumiem ir juridiskais spēks.</w:t>
      </w:r>
    </w:p>
    <w:p w14:paraId="7F8E5A97"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shd w:val="clear" w:color="auto" w:fill="FFFFFF"/>
          <w:lang w:eastAsia="en-GB"/>
          <w14:ligatures w14:val="none"/>
        </w:rPr>
        <w:t>3. </w:t>
      </w:r>
      <w:r w:rsidRPr="005C09A4">
        <w:rPr>
          <w:rFonts w:ascii="Arial" w:eastAsia="Times New Roman" w:hAnsi="Arial" w:cs="Arial"/>
          <w:color w:val="000000" w:themeColor="text1"/>
          <w:kern w:val="0"/>
          <w:bdr w:val="none" w:sz="0" w:space="0" w:color="auto" w:frame="1"/>
          <w:lang w:eastAsia="en-GB"/>
          <w14:ligatures w14:val="none"/>
        </w:rPr>
        <w:t>Ievērojot, ka šobrīd spēkā esošajā likuma 47. pantā nav daļu, lūdzam papildināt projekta 9. pantu ar attiecīgu grozījumu.</w:t>
      </w:r>
    </w:p>
    <w:p w14:paraId="13365323"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4. Lūdzam izvērtēt iespēju aizstāt projekta 9. pantā paredzētajā likuma 47. panta trešās daļas ievaddaļā vārdu "politika" ar vārdu "prasības", jo politikas izstrāde attiecas uz valsts pārvaldi, nevis biedrību.</w:t>
      </w:r>
    </w:p>
    <w:p w14:paraId="262017FE"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5. Lūdzam precizēt anotācijas I sadaļas 2. punktā ietverto informāciju, norādot korektu informāciju par to, ko noteic projekta 9. pantā paredzētā likuma 47. panta otrā un trešā daļa.</w:t>
      </w:r>
    </w:p>
    <w:p w14:paraId="3845408B" w14:textId="77777777" w:rsidR="005C09A4" w:rsidRPr="005C09A4" w:rsidRDefault="005C09A4" w:rsidP="005C09A4">
      <w:pPr>
        <w:ind w:firstLine="720"/>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6. </w:t>
      </w:r>
      <w:r w:rsidRPr="005C09A4">
        <w:rPr>
          <w:rFonts w:ascii="Arial" w:eastAsia="Times New Roman" w:hAnsi="Arial" w:cs="Arial"/>
          <w:color w:val="000000" w:themeColor="text1"/>
          <w:kern w:val="0"/>
          <w:bdr w:val="none" w:sz="0" w:space="0" w:color="auto" w:frame="1"/>
          <w:shd w:val="clear" w:color="auto" w:fill="FFFFFF"/>
          <w:lang w:eastAsia="en-GB"/>
          <w14:ligatures w14:val="none"/>
        </w:rPr>
        <w:t>Lūdzam aizpildīt anotācijas IV sadaļas 1. punktu atbilstoši </w:t>
      </w:r>
      <w:r w:rsidRPr="005C09A4">
        <w:rPr>
          <w:rFonts w:ascii="Arial" w:eastAsia="Times New Roman" w:hAnsi="Arial" w:cs="Arial"/>
          <w:color w:val="000000" w:themeColor="text1"/>
          <w:kern w:val="0"/>
          <w:bdr w:val="none" w:sz="0" w:space="0" w:color="auto" w:frame="1"/>
          <w:shd w:val="clear" w:color="auto" w:fill="FDFCFD"/>
          <w:lang w:eastAsia="en-GB"/>
          <w14:ligatures w14:val="none"/>
        </w:rPr>
        <w:t>Ministru kabineta 2009. gada 15. decembra instrukcijas Nr. 19 "Tiesību akta projekta sākotnējās ietekmes izvērtēšanas kārtība" 54.1. apakšpunktā noteiktajām prasībām.</w:t>
      </w:r>
    </w:p>
    <w:p w14:paraId="53C9E318" w14:textId="77777777" w:rsidR="005C09A4" w:rsidRPr="005C09A4" w:rsidRDefault="005C09A4" w:rsidP="005C09A4">
      <w:pPr>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 </w:t>
      </w:r>
    </w:p>
    <w:p w14:paraId="0319FE51"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Ar cieņu</w:t>
      </w:r>
    </w:p>
    <w:p w14:paraId="173E20CD"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Ilze Māliņa</w:t>
      </w:r>
    </w:p>
    <w:p w14:paraId="457D14DE"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Tieslietu ministrijas</w:t>
      </w:r>
    </w:p>
    <w:p w14:paraId="6A96628F"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Valststiesību departamenta</w:t>
      </w:r>
    </w:p>
    <w:p w14:paraId="265006F4"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Administratīvo tiesību nodaļas juriste</w:t>
      </w:r>
    </w:p>
    <w:p w14:paraId="672793E8"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tālr. 67036910</w:t>
      </w:r>
    </w:p>
    <w:p w14:paraId="7462203E"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Juridiskā adrese: Brīvības bulvārī 36, Rīgā, LV-1536</w:t>
      </w:r>
    </w:p>
    <w:p w14:paraId="737BD91D"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Atrašanās vieta: Raiņa bulvārī 15, Rīgā, LV-1050</w:t>
      </w:r>
    </w:p>
    <w:p w14:paraId="714531A2"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 </w:t>
      </w:r>
    </w:p>
    <w:p w14:paraId="068DF6B0"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spacing w:val="4"/>
          <w:kern w:val="0"/>
          <w:sz w:val="20"/>
          <w:szCs w:val="20"/>
          <w:bdr w:val="none" w:sz="0" w:space="0" w:color="auto" w:frame="1"/>
          <w:lang w:eastAsia="en-GB"/>
          <w14:ligatures w14:val="none"/>
        </w:rPr>
        <w:t xml:space="preserve">Agnese </w:t>
      </w:r>
      <w:proofErr w:type="spellStart"/>
      <w:r w:rsidRPr="005C09A4">
        <w:rPr>
          <w:rFonts w:ascii="Arial" w:eastAsia="Times New Roman" w:hAnsi="Arial" w:cs="Arial"/>
          <w:color w:val="000000" w:themeColor="text1"/>
          <w:spacing w:val="4"/>
          <w:kern w:val="0"/>
          <w:sz w:val="20"/>
          <w:szCs w:val="20"/>
          <w:bdr w:val="none" w:sz="0" w:space="0" w:color="auto" w:frame="1"/>
          <w:lang w:eastAsia="en-GB"/>
          <w14:ligatures w14:val="none"/>
        </w:rPr>
        <w:t>Sermā</w:t>
      </w:r>
      <w:proofErr w:type="spellEnd"/>
    </w:p>
    <w:p w14:paraId="0F3D6188" w14:textId="77777777" w:rsidR="005C09A4" w:rsidRPr="005C09A4" w:rsidRDefault="005C09A4" w:rsidP="005C09A4">
      <w:pPr>
        <w:shd w:val="clear" w:color="auto" w:fill="FFFFFF"/>
        <w:textAlignment w:val="baseline"/>
        <w:rPr>
          <w:rFonts w:ascii="Arial" w:eastAsia="Times New Roman" w:hAnsi="Arial" w:cs="Arial"/>
          <w:color w:val="000000" w:themeColor="text1"/>
          <w:kern w:val="0"/>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Tieslietu ministrijas</w:t>
      </w:r>
    </w:p>
    <w:p w14:paraId="40D35C99"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Valststiesību departamenta</w:t>
      </w:r>
    </w:p>
    <w:p w14:paraId="07942A49" w14:textId="77777777" w:rsidR="005C09A4" w:rsidRPr="005C09A4" w:rsidRDefault="005C09A4" w:rsidP="005C09A4">
      <w:pPr>
        <w:shd w:val="clear" w:color="auto" w:fill="FFFFFF"/>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Konstitucionālo tiesību nodaļas juriste</w:t>
      </w:r>
    </w:p>
    <w:p w14:paraId="5A26D7AF" w14:textId="77777777" w:rsidR="005C09A4" w:rsidRPr="005C09A4" w:rsidRDefault="005C09A4" w:rsidP="005C09A4">
      <w:pPr>
        <w:shd w:val="clear" w:color="auto" w:fill="FFFFFF"/>
        <w:textAlignment w:val="baseline"/>
        <w:rPr>
          <w:rFonts w:ascii="Arial" w:eastAsia="Times New Roman" w:hAnsi="Arial" w:cs="Arial"/>
          <w:color w:val="000000" w:themeColor="text1"/>
          <w:kern w:val="0"/>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tālr. 67036982</w:t>
      </w:r>
    </w:p>
    <w:p w14:paraId="1F2D3203" w14:textId="77777777" w:rsidR="005C09A4" w:rsidRPr="005C09A4" w:rsidRDefault="005C09A4" w:rsidP="005C09A4">
      <w:pPr>
        <w:shd w:val="clear" w:color="auto" w:fill="FFFFFF"/>
        <w:textAlignment w:val="baseline"/>
        <w:rPr>
          <w:rFonts w:ascii="Arial" w:eastAsia="Times New Roman" w:hAnsi="Arial" w:cs="Arial"/>
          <w:color w:val="000000" w:themeColor="text1"/>
          <w:kern w:val="0"/>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Juridiskā adrese: Brīvības bulvārī 36, Rīgā, LV-1536</w:t>
      </w:r>
    </w:p>
    <w:p w14:paraId="23E463F9" w14:textId="77777777" w:rsidR="005C09A4" w:rsidRPr="005C09A4" w:rsidRDefault="005C09A4" w:rsidP="005C09A4">
      <w:pPr>
        <w:jc w:val="both"/>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0"/>
          <w:szCs w:val="20"/>
          <w:bdr w:val="none" w:sz="0" w:space="0" w:color="auto" w:frame="1"/>
          <w:lang w:eastAsia="en-GB"/>
          <w14:ligatures w14:val="none"/>
        </w:rPr>
        <w:t>Atrašanās vieta: Raiņa bulvārī 15, Rīgā, LV-1050</w:t>
      </w:r>
    </w:p>
    <w:p w14:paraId="0BDC1ADB" w14:textId="77777777" w:rsidR="005C09A4" w:rsidRPr="005C09A4" w:rsidRDefault="005C09A4" w:rsidP="005C09A4">
      <w:pPr>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2"/>
          <w:szCs w:val="22"/>
          <w:bdr w:val="none" w:sz="0" w:space="0" w:color="auto" w:frame="1"/>
          <w:lang w:eastAsia="en-GB"/>
          <w14:ligatures w14:val="none"/>
        </w:rPr>
        <w:t> </w:t>
      </w:r>
    </w:p>
    <w:p w14:paraId="36D5D6CF" w14:textId="77777777" w:rsidR="005C09A4" w:rsidRPr="005C09A4" w:rsidRDefault="005C09A4" w:rsidP="005C09A4">
      <w:pPr>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 </w:t>
      </w:r>
    </w:p>
    <w:p w14:paraId="449EA32F" w14:textId="77777777" w:rsidR="005C09A4" w:rsidRPr="005C09A4" w:rsidRDefault="005C09A4" w:rsidP="005C09A4">
      <w:pPr>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 </w:t>
      </w:r>
    </w:p>
    <w:p w14:paraId="14E70FB4" w14:textId="77777777" w:rsidR="005C09A4" w:rsidRPr="005C09A4" w:rsidRDefault="005C09A4" w:rsidP="005C09A4">
      <w:pPr>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bdr w:val="none" w:sz="0" w:space="0" w:color="auto" w:frame="1"/>
          <w:lang w:eastAsia="en-GB"/>
          <w14:ligatures w14:val="none"/>
        </w:rPr>
        <w:t> </w:t>
      </w:r>
    </w:p>
    <w:p w14:paraId="7F5226C2" w14:textId="77777777" w:rsidR="005C09A4" w:rsidRPr="005C09A4" w:rsidRDefault="005C09A4" w:rsidP="005C09A4">
      <w:pPr>
        <w:textAlignment w:val="baseline"/>
        <w:rPr>
          <w:rFonts w:ascii="Arial" w:eastAsia="Times New Roman" w:hAnsi="Arial" w:cs="Arial"/>
          <w:color w:val="000000" w:themeColor="text1"/>
          <w:kern w:val="0"/>
          <w:sz w:val="22"/>
          <w:szCs w:val="22"/>
          <w:lang w:eastAsia="en-GB"/>
          <w14:ligatures w14:val="none"/>
        </w:rPr>
      </w:pPr>
      <w:r w:rsidRPr="005C09A4">
        <w:rPr>
          <w:rFonts w:ascii="Arial" w:eastAsia="Times New Roman" w:hAnsi="Arial" w:cs="Arial"/>
          <w:color w:val="000000" w:themeColor="text1"/>
          <w:kern w:val="0"/>
          <w:sz w:val="22"/>
          <w:szCs w:val="22"/>
          <w:bdr w:val="none" w:sz="0" w:space="0" w:color="auto" w:frame="1"/>
          <w:lang w:eastAsia="en-GB"/>
          <w14:ligatures w14:val="none"/>
        </w:rPr>
        <w:t> </w:t>
      </w:r>
    </w:p>
    <w:p w14:paraId="1761C145" w14:textId="77777777" w:rsidR="001008E9" w:rsidRPr="009A3023" w:rsidRDefault="00000000">
      <w:pPr>
        <w:rPr>
          <w:rFonts w:ascii="Arial" w:hAnsi="Arial" w:cs="Arial"/>
          <w:color w:val="000000" w:themeColor="text1"/>
        </w:rPr>
      </w:pPr>
    </w:p>
    <w:sectPr w:rsidR="001008E9" w:rsidRPr="009A3023"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A4"/>
    <w:rsid w:val="00177D7C"/>
    <w:rsid w:val="003922C6"/>
    <w:rsid w:val="003D48B8"/>
    <w:rsid w:val="005C09A4"/>
    <w:rsid w:val="00821BED"/>
    <w:rsid w:val="009A3023"/>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1DD7"/>
  <w15:chartTrackingRefBased/>
  <w15:docId w15:val="{D1BF4579-6493-EC4B-8792-721602F7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5C09A4"/>
    <w:rPr>
      <w:color w:val="0000FF"/>
      <w:u w:val="single"/>
    </w:rPr>
  </w:style>
  <w:style w:type="paragraph" w:customStyle="1" w:styleId="xmsonospacing">
    <w:name w:val="x_msonospacing"/>
    <w:basedOn w:val="Normal"/>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msonormal">
    <w:name w:val="x_msonormal"/>
    <w:basedOn w:val="Normal"/>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msonormal">
    <w:name w:val="x_xxmsonormal"/>
    <w:basedOn w:val="Normal"/>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styleId="NormalWeb">
    <w:name w:val="Normal (Web)"/>
    <w:basedOn w:val="Normal"/>
    <w:uiPriority w:val="99"/>
    <w:semiHidden/>
    <w:unhideWhenUsed/>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xmsonormal">
    <w:name w:val="x_xxxmsonormal"/>
    <w:basedOn w:val="Normal"/>
    <w:rsid w:val="005C09A4"/>
    <w:pPr>
      <w:spacing w:before="100" w:beforeAutospacing="1" w:after="100" w:afterAutospacing="1"/>
    </w:pPr>
    <w:rPr>
      <w:rFonts w:ascii="Times New Roman" w:eastAsia="Times New Roman" w:hAnsi="Times New Roman" w:cs="Times New Roman"/>
      <w:kern w:val="0"/>
      <w:lang w:val="en-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866052">
      <w:bodyDiv w:val="1"/>
      <w:marLeft w:val="0"/>
      <w:marRight w:val="0"/>
      <w:marTop w:val="0"/>
      <w:marBottom w:val="0"/>
      <w:divBdr>
        <w:top w:val="none" w:sz="0" w:space="0" w:color="auto"/>
        <w:left w:val="none" w:sz="0" w:space="0" w:color="auto"/>
        <w:bottom w:val="none" w:sz="0" w:space="0" w:color="auto"/>
        <w:right w:val="none" w:sz="0" w:space="0" w:color="auto"/>
      </w:divBdr>
      <w:divsChild>
        <w:div w:id="777791756">
          <w:marLeft w:val="0"/>
          <w:marRight w:val="0"/>
          <w:marTop w:val="0"/>
          <w:marBottom w:val="0"/>
          <w:divBdr>
            <w:top w:val="none" w:sz="0" w:space="0" w:color="auto"/>
            <w:left w:val="none" w:sz="0" w:space="0" w:color="auto"/>
            <w:bottom w:val="none" w:sz="0" w:space="0" w:color="auto"/>
            <w:right w:val="none" w:sz="0" w:space="0" w:color="auto"/>
          </w:divBdr>
          <w:divsChild>
            <w:div w:id="904533535">
              <w:marLeft w:val="0"/>
              <w:marRight w:val="0"/>
              <w:marTop w:val="0"/>
              <w:marBottom w:val="0"/>
              <w:divBdr>
                <w:top w:val="none" w:sz="0" w:space="0" w:color="auto"/>
                <w:left w:val="none" w:sz="0" w:space="0" w:color="auto"/>
                <w:bottom w:val="none" w:sz="0" w:space="0" w:color="auto"/>
                <w:right w:val="none" w:sz="0" w:space="0" w:color="auto"/>
              </w:divBdr>
            </w:div>
            <w:div w:id="344139009">
              <w:marLeft w:val="0"/>
              <w:marRight w:val="0"/>
              <w:marTop w:val="0"/>
              <w:marBottom w:val="0"/>
              <w:divBdr>
                <w:top w:val="none" w:sz="0" w:space="0" w:color="auto"/>
                <w:left w:val="none" w:sz="0" w:space="0" w:color="auto"/>
                <w:bottom w:val="none" w:sz="0" w:space="0" w:color="auto"/>
                <w:right w:val="none" w:sz="0" w:space="0" w:color="auto"/>
              </w:divBdr>
              <w:divsChild>
                <w:div w:id="10651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57853">
          <w:marLeft w:val="0"/>
          <w:marRight w:val="0"/>
          <w:marTop w:val="0"/>
          <w:marBottom w:val="0"/>
          <w:divBdr>
            <w:top w:val="none" w:sz="0" w:space="0" w:color="auto"/>
            <w:left w:val="none" w:sz="0" w:space="0" w:color="auto"/>
            <w:bottom w:val="none" w:sz="0" w:space="0" w:color="auto"/>
            <w:right w:val="none" w:sz="0" w:space="0" w:color="auto"/>
          </w:divBdr>
        </w:div>
        <w:div w:id="890969011">
          <w:marLeft w:val="0"/>
          <w:marRight w:val="0"/>
          <w:marTop w:val="0"/>
          <w:marBottom w:val="0"/>
          <w:divBdr>
            <w:top w:val="none" w:sz="0" w:space="0" w:color="auto"/>
            <w:left w:val="none" w:sz="0" w:space="0" w:color="auto"/>
            <w:bottom w:val="none" w:sz="0" w:space="0" w:color="auto"/>
            <w:right w:val="none" w:sz="0" w:space="0" w:color="auto"/>
          </w:divBdr>
          <w:divsChild>
            <w:div w:id="791442071">
              <w:marLeft w:val="0"/>
              <w:marRight w:val="0"/>
              <w:marTop w:val="0"/>
              <w:marBottom w:val="0"/>
              <w:divBdr>
                <w:top w:val="none" w:sz="0" w:space="0" w:color="auto"/>
                <w:left w:val="none" w:sz="0" w:space="0" w:color="auto"/>
                <w:bottom w:val="none" w:sz="0" w:space="0" w:color="auto"/>
                <w:right w:val="none" w:sz="0" w:space="0" w:color="auto"/>
              </w:divBdr>
            </w:div>
          </w:divsChild>
        </w:div>
        <w:div w:id="1712218966">
          <w:marLeft w:val="0"/>
          <w:marRight w:val="0"/>
          <w:marTop w:val="0"/>
          <w:marBottom w:val="0"/>
          <w:divBdr>
            <w:top w:val="none" w:sz="0" w:space="0" w:color="auto"/>
            <w:left w:val="none" w:sz="0" w:space="0" w:color="auto"/>
            <w:bottom w:val="none" w:sz="0" w:space="0" w:color="auto"/>
            <w:right w:val="none" w:sz="0" w:space="0" w:color="auto"/>
          </w:divBdr>
          <w:divsChild>
            <w:div w:id="1888224701">
              <w:marLeft w:val="0"/>
              <w:marRight w:val="0"/>
              <w:marTop w:val="0"/>
              <w:marBottom w:val="0"/>
              <w:divBdr>
                <w:top w:val="none" w:sz="0" w:space="0" w:color="auto"/>
                <w:left w:val="none" w:sz="0" w:space="0" w:color="auto"/>
                <w:bottom w:val="none" w:sz="0" w:space="0" w:color="auto"/>
                <w:right w:val="none" w:sz="0" w:space="0" w:color="auto"/>
              </w:divBdr>
              <w:divsChild>
                <w:div w:id="103617354">
                  <w:marLeft w:val="0"/>
                  <w:marRight w:val="0"/>
                  <w:marTop w:val="0"/>
                  <w:marBottom w:val="0"/>
                  <w:divBdr>
                    <w:top w:val="none" w:sz="0" w:space="0" w:color="auto"/>
                    <w:left w:val="none" w:sz="0" w:space="0" w:color="auto"/>
                    <w:bottom w:val="none" w:sz="0" w:space="0" w:color="auto"/>
                    <w:right w:val="none" w:sz="0" w:space="0" w:color="auto"/>
                  </w:divBdr>
                  <w:divsChild>
                    <w:div w:id="820736372">
                      <w:marLeft w:val="0"/>
                      <w:marRight w:val="0"/>
                      <w:marTop w:val="0"/>
                      <w:marBottom w:val="0"/>
                      <w:divBdr>
                        <w:top w:val="single" w:sz="8" w:space="3" w:color="E1E1E1"/>
                        <w:left w:val="none" w:sz="0" w:space="0" w:color="auto"/>
                        <w:bottom w:val="none" w:sz="0" w:space="0" w:color="auto"/>
                        <w:right w:val="none" w:sz="0" w:space="0" w:color="auto"/>
                      </w:divBdr>
                    </w:div>
                  </w:divsChild>
                </w:div>
                <w:div w:id="113716870">
                  <w:marLeft w:val="0"/>
                  <w:marRight w:val="0"/>
                  <w:marTop w:val="0"/>
                  <w:marBottom w:val="0"/>
                  <w:divBdr>
                    <w:top w:val="none" w:sz="0" w:space="0" w:color="auto"/>
                    <w:left w:val="none" w:sz="0" w:space="0" w:color="auto"/>
                    <w:bottom w:val="none" w:sz="0" w:space="0" w:color="auto"/>
                    <w:right w:val="none" w:sz="0" w:space="0" w:color="auto"/>
                  </w:divBdr>
                </w:div>
                <w:div w:id="171182984">
                  <w:marLeft w:val="0"/>
                  <w:marRight w:val="0"/>
                  <w:marTop w:val="0"/>
                  <w:marBottom w:val="0"/>
                  <w:divBdr>
                    <w:top w:val="none" w:sz="0" w:space="0" w:color="auto"/>
                    <w:left w:val="none" w:sz="0" w:space="0" w:color="auto"/>
                    <w:bottom w:val="none" w:sz="0" w:space="0" w:color="auto"/>
                    <w:right w:val="none" w:sz="0" w:space="0" w:color="auto"/>
                  </w:divBdr>
                  <w:divsChild>
                    <w:div w:id="1333797726">
                      <w:marLeft w:val="0"/>
                      <w:marRight w:val="0"/>
                      <w:marTop w:val="0"/>
                      <w:marBottom w:val="0"/>
                      <w:divBdr>
                        <w:top w:val="none" w:sz="0" w:space="0" w:color="auto"/>
                        <w:left w:val="none" w:sz="0" w:space="0" w:color="auto"/>
                        <w:bottom w:val="none" w:sz="0" w:space="0" w:color="auto"/>
                        <w:right w:val="none" w:sz="0" w:space="0" w:color="auto"/>
                      </w:divBdr>
                    </w:div>
                    <w:div w:id="734666598">
                      <w:marLeft w:val="0"/>
                      <w:marRight w:val="0"/>
                      <w:marTop w:val="0"/>
                      <w:marBottom w:val="0"/>
                      <w:divBdr>
                        <w:top w:val="none" w:sz="0" w:space="0" w:color="auto"/>
                        <w:left w:val="none" w:sz="0" w:space="0" w:color="auto"/>
                        <w:bottom w:val="none" w:sz="0" w:space="0" w:color="auto"/>
                        <w:right w:val="none" w:sz="0" w:space="0" w:color="auto"/>
                      </w:divBdr>
                      <w:divsChild>
                        <w:div w:id="1610314461">
                          <w:marLeft w:val="0"/>
                          <w:marRight w:val="0"/>
                          <w:marTop w:val="0"/>
                          <w:marBottom w:val="0"/>
                          <w:divBdr>
                            <w:top w:val="none" w:sz="0" w:space="0" w:color="auto"/>
                            <w:left w:val="none" w:sz="0" w:space="0" w:color="auto"/>
                            <w:bottom w:val="none" w:sz="0" w:space="0" w:color="auto"/>
                            <w:right w:val="none" w:sz="0" w:space="0" w:color="auto"/>
                          </w:divBdr>
                          <w:divsChild>
                            <w:div w:id="1486627498">
                              <w:marLeft w:val="0"/>
                              <w:marRight w:val="0"/>
                              <w:marTop w:val="0"/>
                              <w:marBottom w:val="0"/>
                              <w:divBdr>
                                <w:top w:val="none" w:sz="0" w:space="0" w:color="auto"/>
                                <w:left w:val="none" w:sz="0" w:space="0" w:color="auto"/>
                                <w:bottom w:val="none" w:sz="0" w:space="0" w:color="auto"/>
                                <w:right w:val="none" w:sz="0" w:space="0" w:color="auto"/>
                              </w:divBdr>
                            </w:div>
                            <w:div w:id="1986549296">
                              <w:marLeft w:val="0"/>
                              <w:marRight w:val="0"/>
                              <w:marTop w:val="0"/>
                              <w:marBottom w:val="0"/>
                              <w:divBdr>
                                <w:top w:val="none" w:sz="0" w:space="0" w:color="auto"/>
                                <w:left w:val="none" w:sz="0" w:space="0" w:color="auto"/>
                                <w:bottom w:val="none" w:sz="0" w:space="0" w:color="auto"/>
                                <w:right w:val="none" w:sz="0" w:space="0" w:color="auto"/>
                              </w:divBdr>
                            </w:div>
                            <w:div w:id="395786533">
                              <w:marLeft w:val="0"/>
                              <w:marRight w:val="0"/>
                              <w:marTop w:val="0"/>
                              <w:marBottom w:val="0"/>
                              <w:divBdr>
                                <w:top w:val="none" w:sz="0" w:space="0" w:color="auto"/>
                                <w:left w:val="none" w:sz="0" w:space="0" w:color="auto"/>
                                <w:bottom w:val="none" w:sz="0" w:space="0" w:color="auto"/>
                                <w:right w:val="none" w:sz="0" w:space="0" w:color="auto"/>
                              </w:divBdr>
                            </w:div>
                            <w:div w:id="1267348130">
                              <w:marLeft w:val="0"/>
                              <w:marRight w:val="0"/>
                              <w:marTop w:val="0"/>
                              <w:marBottom w:val="0"/>
                              <w:divBdr>
                                <w:top w:val="none" w:sz="0" w:space="0" w:color="auto"/>
                                <w:left w:val="none" w:sz="0" w:space="0" w:color="auto"/>
                                <w:bottom w:val="none" w:sz="0" w:space="0" w:color="auto"/>
                                <w:right w:val="none" w:sz="0" w:space="0" w:color="auto"/>
                              </w:divBdr>
                            </w:div>
                            <w:div w:id="1349025506">
                              <w:marLeft w:val="0"/>
                              <w:marRight w:val="0"/>
                              <w:marTop w:val="0"/>
                              <w:marBottom w:val="0"/>
                              <w:divBdr>
                                <w:top w:val="none" w:sz="0" w:space="0" w:color="auto"/>
                                <w:left w:val="none" w:sz="0" w:space="0" w:color="auto"/>
                                <w:bottom w:val="none" w:sz="0" w:space="0" w:color="auto"/>
                                <w:right w:val="none" w:sz="0" w:space="0" w:color="auto"/>
                              </w:divBdr>
                              <w:divsChild>
                                <w:div w:id="629365698">
                                  <w:marLeft w:val="0"/>
                                  <w:marRight w:val="0"/>
                                  <w:marTop w:val="0"/>
                                  <w:marBottom w:val="0"/>
                                  <w:divBdr>
                                    <w:top w:val="none" w:sz="0" w:space="0" w:color="auto"/>
                                    <w:left w:val="none" w:sz="0" w:space="0" w:color="auto"/>
                                    <w:bottom w:val="none" w:sz="0" w:space="0" w:color="auto"/>
                                    <w:right w:val="none" w:sz="0" w:space="0" w:color="auto"/>
                                  </w:divBdr>
                                  <w:divsChild>
                                    <w:div w:id="391126082">
                                      <w:marLeft w:val="0"/>
                                      <w:marRight w:val="0"/>
                                      <w:marTop w:val="0"/>
                                      <w:marBottom w:val="0"/>
                                      <w:divBdr>
                                        <w:top w:val="none" w:sz="0" w:space="0" w:color="auto"/>
                                        <w:left w:val="none" w:sz="0" w:space="0" w:color="auto"/>
                                        <w:bottom w:val="none" w:sz="0" w:space="0" w:color="auto"/>
                                        <w:right w:val="none" w:sz="0" w:space="0" w:color="auto"/>
                                      </w:divBdr>
                                      <w:divsChild>
                                        <w:div w:id="1468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9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1406</Words>
  <Characters>8017</Characters>
  <Application>Microsoft Office Word</Application>
  <DocSecurity>0</DocSecurity>
  <Lines>66</Lines>
  <Paragraphs>18</Paragraphs>
  <ScaleCrop>false</ScaleCrop>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2</cp:revision>
  <dcterms:created xsi:type="dcterms:W3CDTF">2023-01-11T19:16:00Z</dcterms:created>
  <dcterms:modified xsi:type="dcterms:W3CDTF">2023-01-11T19:20:00Z</dcterms:modified>
</cp:coreProperties>
</file>