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22-TA-731: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2016. gada 29. marta noteikumos Nr. 179 "Kārtība, kādā nosakāms naudas sods par Konkurences likuma 11. panta pirmajā daļā, 13. un 14.</w:t>
      </w:r>
      <w:r w:rsidR="00000000" w:rsidRPr="00000000" w:rsidDel="00000000">
        <w:rPr>
          <w:vertAlign w:val="superscript"/>
          <w:rtl w:val="0"/>
        </w:rPr>
        <w:t xml:space="preserve">1</w:t>
      </w:r>
      <w:r w:rsidR="00000000" w:rsidRPr="00000000" w:rsidDel="00000000">
        <w:rPr>
          <w:rtl w:val="0"/>
        </w:rPr>
        <w:t xml:space="preserve"> pantā un Negodīgas mazumtirdzniecības prakses aizlieguma likuma 5., 6., 7. un 8. pantā paredzētajiem pārkāpumiem"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Grozījumi Ministru kabineta 2016. gada 29. marta noteikumos Nr. 179 "Kārtība, kādā nosakāms naudas sods par Konkurences likuma 11. panta pirmajā daļā, 13. un 14.</w:t>
            </w:r>
            <w:r w:rsidR="00000000" w:rsidRPr="00000000" w:rsidDel="00000000">
              <w:rPr>
                <w:vertAlign w:val="superscript"/>
                <w:rtl w:val="0"/>
              </w:rPr>
              <w:t xml:space="preserve">1</w:t>
            </w:r>
            <w:r w:rsidR="00000000" w:rsidRPr="00000000" w:rsidDel="00000000">
              <w:rPr>
                <w:rtl w:val="0"/>
              </w:rPr>
              <w:t xml:space="preserve"> pantā un Negodīgas mazumtirdzniecības prakses aizlieguma likuma 5., 6., 7. un 8. pantā paredzētajiem pārkāpumiem"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Saeima 2022. gada 24. februārī 1. lasījumā ir pieņēmusi likumprojektu "Grozījumi Konkurences likumā" (Nr. 1277/Lp13) (turpmāk – Likumprojekts), kurā ietvertais regulējums pamato Ministru kabineta noteikumu projektā "Grozījumi Ministru kabineta 2016. gada 29. marta noteikumos Nr. 179 "Kārtība, kādā nosakāms naudas sods par Konkurences likuma 11. panta pirmajā daļā, 13. un 14.</w:t>
            </w:r>
            <w:r w:rsidR="00000000" w:rsidRPr="00000000" w:rsidDel="00000000">
              <w:rPr>
                <w:vertAlign w:val="superscript"/>
                <w:rtl w:val="0"/>
              </w:rPr>
              <w:t xml:space="preserve">1</w:t>
            </w:r>
            <w:r w:rsidR="00000000" w:rsidRPr="00000000" w:rsidDel="00000000">
              <w:rPr>
                <w:rtl w:val="0"/>
              </w:rPr>
              <w:t xml:space="preserve"> pantā un Negodīgas mazumtirdzniecības prakses aizlieguma likuma 5., 6., 7. un 8. pantā paredzētajiem pārkāpumiem"" (turpmāk – projekts) paredzētos grozījumus Ministru kabineta 2016. gada 29. marta noteikumos Nr. 179 "Kārtība, kādā nosakāms naudas sods par Konkurences likuma 11. panta pirmajā daļā, 13. un 14.</w:t>
            </w:r>
            <w:r w:rsidR="00000000" w:rsidRPr="00000000" w:rsidDel="00000000">
              <w:rPr>
                <w:vertAlign w:val="superscript"/>
                <w:rtl w:val="0"/>
              </w:rPr>
              <w:t xml:space="preserve">1</w:t>
            </w:r>
            <w:r w:rsidR="00000000" w:rsidRPr="00000000" w:rsidDel="00000000">
              <w:rPr>
                <w:rtl w:val="0"/>
              </w:rPr>
              <w:t xml:space="preserve"> pantā un Negodīgas mazumtirdzniecības prakses aizlieguma likuma 5., 6., 7. un 8. pantā paredzētajiem pārkāpumiem" (turpmāk – Noteikumi). Likumprojekts paredz izteikt jaunā redakcijā Konkurences likuma 8.</w:t>
            </w:r>
            <w:r w:rsidR="00000000" w:rsidRPr="00000000" w:rsidDel="00000000">
              <w:rPr>
                <w:vertAlign w:val="superscript"/>
                <w:rtl w:val="0"/>
              </w:rPr>
              <w:t xml:space="preserve">1</w:t>
            </w:r>
            <w:r w:rsidR="00000000" w:rsidRPr="00000000" w:rsidDel="00000000">
              <w:rPr>
                <w:rtl w:val="0"/>
              </w:rPr>
              <w:t xml:space="preserve"> panta astoto daļu un 9.</w:t>
            </w:r>
            <w:r w:rsidR="00000000" w:rsidRPr="00000000" w:rsidDel="00000000">
              <w:rPr>
                <w:vertAlign w:val="superscript"/>
                <w:rtl w:val="0"/>
              </w:rPr>
              <w:t xml:space="preserve">4</w:t>
            </w:r>
            <w:r w:rsidR="00000000" w:rsidRPr="00000000" w:rsidDel="00000000">
              <w:rPr>
                <w:rtl w:val="0"/>
              </w:rPr>
              <w:t xml:space="preserve"> panta trešo daļu un papildināt Konkurences likumu ar 14.</w:t>
            </w:r>
            <w:r w:rsidR="00000000" w:rsidRPr="00000000" w:rsidDel="00000000">
              <w:rPr>
                <w:vertAlign w:val="superscript"/>
                <w:rtl w:val="0"/>
              </w:rPr>
              <w:t xml:space="preserve">3</w:t>
            </w:r>
            <w:r w:rsidR="00000000" w:rsidRPr="00000000" w:rsidDel="00000000">
              <w:rPr>
                <w:rtl w:val="0"/>
              </w:rPr>
              <w:t xml:space="preserve"> pantu. Ar minētajām normām projekts paredz papildināt Noteikumu izdošanas tiesisko pamatu. Likumprojektā paredzēts, ka tas stāsies spēkā nākamajā dienā pēc tā izsludināšanas, savukārt projektam nav paredzēta speciāla spēkā stāšanās, tātad tas stāsies spēkā vispārējā kārtībā. Vēršam uzmanību uz to, ka projektā ietvertais regulējums, kas izriet no Likumprojektā ietvertā regulējuma, nevar stāties spēkā pirms ir stājies spēkā Likumprojekts vai attiecīgās Likumprojekta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gadījumos, kad pilnvarojošā norma zaudē spēku, spēku zaudē uz attiecīgās normas pamata izdotie Ministru kabineta noteikumi. Noteikumu viens no izdošanas tiesiskajiem pamatiem ir Negodīgas mazumtirdzniecības prakses aizlieguma likuma 9. panta ceturtā daļa. Negodīgas mazumtirdzniecības prakses aizlieguma likums zaudēja spēku 2021. gada 1. novembrī, kad spēkā stājās Negodīgas tirdzniecības prakses aizlieguma likums. Tādējādi Noteikumos ietvertais regulējums, kas izrietēja no Negodīgas mazumtirdzniecības prakses aizlieguma likuma, ir zaudējis spēku 2021. gada 1.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 ir iesniegusi priekšlikumus Likumprojektam, kas paredz izteikt jaunā redakcijā Likumprojekta 24. pantu, tādējādi papildinot Konkurences likuma pārejas noteikumus ar 24. punktu, nosakot, ka Konkurences likuma 8.</w:t>
            </w:r>
            <w:r w:rsidR="00000000" w:rsidRPr="00000000" w:rsidDel="00000000">
              <w:rPr>
                <w:vertAlign w:val="superscript"/>
                <w:rtl w:val="0"/>
              </w:rPr>
              <w:t xml:space="preserve">1</w:t>
            </w:r>
            <w:r w:rsidR="00000000" w:rsidRPr="00000000" w:rsidDel="00000000">
              <w:rPr>
                <w:rtl w:val="0"/>
              </w:rPr>
              <w:t xml:space="preserve"> panta astotā daļa, 9.4 panta trešā daļa un 14.</w:t>
            </w:r>
            <w:r w:rsidR="00000000" w:rsidRPr="00000000" w:rsidDel="00000000">
              <w:rPr>
                <w:vertAlign w:val="superscript"/>
                <w:rtl w:val="0"/>
              </w:rPr>
              <w:t xml:space="preserve">3</w:t>
            </w:r>
            <w:r w:rsidR="00000000" w:rsidRPr="00000000" w:rsidDel="00000000">
              <w:rPr>
                <w:rtl w:val="0"/>
              </w:rPr>
              <w:t xml:space="preserve"> panta piektā daļa stājas spēkā 2022. gada 1. jūlijā. Līdz šajās tiesību normās minēto Ministru kabineta noteikumu spēkā stāšanās dienai, bet ne ilgāk kā līdz 2022. gada 30. jūnijam piemērojami Ministru kabineta 2016. gada 29. marta noteikumi Nr. 179 "Kārtība, kādā nosakāms naudas sods par Konkurences likuma 11. panta pirmajā daļā, 13. un 14.</w:t>
            </w:r>
            <w:r w:rsidR="00000000" w:rsidRPr="00000000" w:rsidDel="00000000">
              <w:rPr>
                <w:vertAlign w:val="superscript"/>
                <w:rtl w:val="0"/>
              </w:rPr>
              <w:t xml:space="preserve">1</w:t>
            </w:r>
            <w:r w:rsidR="00000000" w:rsidRPr="00000000" w:rsidDel="00000000">
              <w:rPr>
                <w:rtl w:val="0"/>
              </w:rPr>
              <w:t xml:space="preserve"> pantā un Negodīgas mazumtirdzniecības prakses aizlieguma likuma 5., 6., 7. un 8. pantā paredzētajiem pārkāpumiem", ciktāl tie nav pretrunā ar Konkurences likumu. No minētā priekšlikuma izriet, ka tiks izstrādāti jauni Ministru kabineta noteikumi, nevis grozījumi Noteikumos, jo, ja Noteikumos tiks veikti grozījumi, tie būs spēkā un tiks piemēroti arī pēc 2022. gada 30. jūnija. Papildus vēršam uzmanību, ka Noteikumi nav izdoti uz Konkurences likuma 8.</w:t>
            </w:r>
            <w:r w:rsidR="00000000" w:rsidRPr="00000000" w:rsidDel="00000000">
              <w:rPr>
                <w:vertAlign w:val="superscript"/>
                <w:rtl w:val="0"/>
              </w:rPr>
              <w:t xml:space="preserve">1</w:t>
            </w:r>
            <w:r w:rsidR="00000000" w:rsidRPr="00000000" w:rsidDel="00000000">
              <w:rPr>
                <w:rtl w:val="0"/>
              </w:rPr>
              <w:t xml:space="preserve"> panta astotās daļas, 9.</w:t>
            </w:r>
            <w:r w:rsidR="00000000" w:rsidRPr="00000000" w:rsidDel="00000000">
              <w:rPr>
                <w:vertAlign w:val="superscript"/>
                <w:rtl w:val="0"/>
              </w:rPr>
              <w:t xml:space="preserve">4</w:t>
            </w:r>
            <w:r w:rsidR="00000000" w:rsidRPr="00000000" w:rsidDel="00000000">
              <w:rPr>
                <w:rtl w:val="0"/>
              </w:rPr>
              <w:t xml:space="preserve"> panta trešās daļas un 14.</w:t>
            </w:r>
            <w:r w:rsidR="00000000" w:rsidRPr="00000000" w:rsidDel="00000000">
              <w:rPr>
                <w:vertAlign w:val="superscript"/>
                <w:rtl w:val="0"/>
              </w:rPr>
              <w:t xml:space="preserve">3 </w:t>
            </w:r>
            <w:r w:rsidR="00000000" w:rsidRPr="00000000" w:rsidDel="00000000">
              <w:rPr>
                <w:rtl w:val="0"/>
              </w:rPr>
              <w:t xml:space="preserve">panta piektās daļas pamata, tādējādi nemaz nav skaidrs, kā līdz šajās normās minēto Ministru kabineta noteikumu izdošanai var tikt piemēroti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izstrādāt jaunu Ministru kabineta noteikumu projektu, nevis grozījumus Noteikumos, kā arī saskaņot tā spēkā stāšanos ar Likumprojekta vai attiecīgo pilnvarojošo normu spēkā stāšanās laiku.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attiecīgi precizēt projekta sākotnējās ietekmes novērtējuma ziņojumu (turpmāk – anotācija), ņemot vērā to, ka tajā nav skaidri norādīts, ka projektā ietvertais regulējums tieši izriet no Likumprojektā ietvertā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(5) daļā noteikts, ka “Ja spēku zaudē normatīvā akta izdošanas tiesiskais pamats (augstāka juridiska spēka tiesību norma, uz kuras pamata izdots cits normatīvais akts), tad spēku zaudē arī uz šā pamata izdotais normatīvais akts vai tā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nav pamats uzskatīt, ka  pārizdodami būtu visi MK noteikumi, jo spēku zaudē tikai tās atsevišķās tiesību normas, ar kurām tiek noteikta naudas soda aprēķināšanas kārtība negodīgas tirdzniecības prakses pārkāpumu gadījumā. Attiecīgi netiek plānots izstrādāt jaunu Ministru kabineta noteikumu projektu, bet gan veikt grozījumus jau esošajos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jautājums ir apspriests ar TM pārstāvjiem 12.07. sanāksmes laikā un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Izteikt tiesību akta izdošanas pamatojuma norādi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2. punkts paredz izteikt jaunā redakcijā Noteikumu izdošanas tiesisko pamatu, ietverot tajā Konkurences likuma 14.</w:t>
            </w:r>
            <w:r w:rsidR="00000000" w:rsidRPr="00000000" w:rsidDel="00000000">
              <w:rPr>
                <w:vertAlign w:val="superscript"/>
                <w:rtl w:val="0"/>
              </w:rPr>
              <w:t xml:space="preserve">3</w:t>
            </w:r>
            <w:r w:rsidR="00000000" w:rsidRPr="00000000" w:rsidDel="00000000">
              <w:rPr>
                <w:rtl w:val="0"/>
              </w:rPr>
              <w:t xml:space="preserve"> panta piekto daļu. Vēršam uzmanību, ka Konkurences likuma spēkā esošajā redakcijā nav šāda panta, savukārt Likumprojekts, ar kuru Konkurences likums tiek papildināts ar 14.</w:t>
            </w:r>
            <w:r w:rsidR="00000000" w:rsidRPr="00000000" w:rsidDel="00000000">
              <w:rPr>
                <w:vertAlign w:val="superscript"/>
                <w:rtl w:val="0"/>
              </w:rPr>
              <w:t xml:space="preserve">3</w:t>
            </w:r>
            <w:r w:rsidR="00000000" w:rsidRPr="00000000" w:rsidDel="00000000">
              <w:rPr>
                <w:rtl w:val="0"/>
              </w:rPr>
              <w:t xml:space="preserve"> pantu, Saeimā pieņemts 1. lasījumā. Saskaņā ar Valsts iestāžu juridisko dienestu vadītāju 2010. gada 12. marta sanāksmes protokola Nr. 2 1. § "Par grozījumiem Ministru kabineta 2009. gada 7. aprīļa noteikumos Nr. 300 "Ministru kabineta kārtības rullis" (Ministru kabineta 2010. gada 23. februāra noteikumi Nr. 170)" 8. punktā noteikto ir atbalstāma Ministru kabineta noteikumu projektu izsludināšana Valsts sekretāru sanāksmē, kad likumprojekts Saeimā izskatīts otrajā lasījumā, kā arī šādi Ministru kabineta noteikumu projekti var tikt izskatīti Ministru kabinetā, kad likumprojekts pieņemts Saeimā. Ņemot vērā to, ka Likumprojekts pieņemts Saeimā pirmajā lasījumā 2022. gada 24. februārī, nav atbalstāma projekta virzīšana saskaņošanai ar citām institūcijām pirms Likumprojekts nav pieņemts Saeimā vismaz otrajā lasījumā. Lūdzam nodrošināt projekta turpmāku virzību tikai pēc Likumprojekta pieņemšanas Saeimā trešajā lasījumā.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saskaņošanas process tiek turpināts pēc Likumprojekta pieņemšanas Saeimā.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Izteikt 1.3.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 punkts paredz izteikt jaunā redakcijā Noteikumu 1.3. apakšpunktu, ņemot vērā to, ka pilnvarojums noteikt naudas soda apmēru par negodīgas tirdzniecības prakses aizlieguma pārkāpumiem izriet no Negodīgas tirdzniecības prakses aizlieguma likuma 8. panta ceturtās daļas, kas paredz, ka Ministru kabinets nosaka naudas soda noteikšanas un piemērošanas kārtību, paredzot finanšu gada neto apgrozījuma aprēķināšanas īpatnības un naudas soda apmēra aprēķināšanas kārtību atkarībā no attiecīgā pārkāpuma smaguma un ilguma, kā arī atbildību mīkstinošiem un pastiprinošiem apstākļiem, paredzot gadījumus, kad ir tiesības naudas sodu samazināt. Ministru kabineta 2009. gada 3. februāra noteikumu Nr. 108 "Normatīvo aktu projektu sagatavošanas noteikumi" (turpmāk – Sagatavošanas noteikumi) 100. punkts paredz, ka noteikumu projekta pirmajā punktā secīgi raksta vārdus "noteikumi nosaka" un likumā noteikto pilnvarojumu Ministru kabinetam. Ņemot vērā minēto, lūdzam projekta 3. punktā ietverto Noteikumu 1.3. apakšpunktu noformulēt atbilstoši Negodīgas tirdzniecības prakses aizlieguma likuma 8. panta ceturtajā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1.3.apakšpunkts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1.3. naudas soda noteikšanas un piemērošanas kārtību par Negodīgas tirdzniecības prakses aizlieguma likuma 5. un 6. pantā paredzētajiem pārkāpumiem, paredzot finanšu gada neto apgrozījuma aprēķināšanas īpatnības un naudas soda apmēra aprēķināšanas kārtību atkarībā no attiecīgā pārkāpuma smaguma un ilguma, kā arī atbildību mīkstinošiem un pastiprinošiem apstākļiem, paredzot gadījumus, kad ir tiesības naudas sodu samazināt;</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Papildināt ar 1.6.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 punkts paredz papildināt Noteikumus ar 1.6. apakšpunktu, kas izriet no Likumprojekta 16. panta, ar kuru Konkurences likums tiek papildināts ar 14.</w:t>
            </w:r>
            <w:r w:rsidR="00000000" w:rsidRPr="00000000" w:rsidDel="00000000">
              <w:rPr>
                <w:vertAlign w:val="superscript"/>
                <w:rtl w:val="0"/>
              </w:rPr>
              <w:t xml:space="preserve">3</w:t>
            </w:r>
            <w:r w:rsidR="00000000" w:rsidRPr="00000000" w:rsidDel="00000000">
              <w:rPr>
                <w:rtl w:val="0"/>
              </w:rPr>
              <w:t xml:space="preserve"> pantu. Likumprojekta 16. pantā ietvertā Konkurences likuma 14.</w:t>
            </w:r>
            <w:r w:rsidR="00000000" w:rsidRPr="00000000" w:rsidDel="00000000">
              <w:rPr>
                <w:vertAlign w:val="superscript"/>
                <w:rtl w:val="0"/>
              </w:rPr>
              <w:t xml:space="preserve">3</w:t>
            </w:r>
            <w:r w:rsidR="00000000" w:rsidRPr="00000000" w:rsidDel="00000000">
              <w:rPr>
                <w:rtl w:val="0"/>
              </w:rPr>
              <w:t xml:space="preserve"> panta piektā daļa pilnvaros Ministru kabinetu izdot noteikumus par naudas soda apmēra noteikšanas kārtību, kuros paredz finanšu gada neto apgrozījuma aprēķināšanas īpatnības un naudas soda apmēra aprēķināšanas kārtību, ņemot vērā attiecīgā pārkāpuma smagumu un ilgumu, atbildību mīkstinošos un pastiprinošos apstākļus, kā arī nosakot gadījumus, kad ir tiesības samazināt naudas sodu. Sagatavošanas noteikumu 100. punkts paredz, ka noteikumu projekta pirmajā punktā secīgi raksta vārdus "noteikumi nosaka" un likumā noteikto pilnvarojumu Ministru kabinetam. Ņemot vērā minēto, lūdzam projekta 6. punktā ietverto Noteikumu 1.6. apakšpunktu noformulēt atbilstoši Likumprojekta 16. pantā ietvertajā Konkurences likuma 14.</w:t>
            </w:r>
            <w:r w:rsidR="00000000" w:rsidRPr="00000000" w:rsidDel="00000000">
              <w:rPr>
                <w:vertAlign w:val="superscript"/>
                <w:rtl w:val="0"/>
              </w:rPr>
              <w:t xml:space="preserve">3</w:t>
            </w:r>
            <w:r w:rsidR="00000000" w:rsidRPr="00000000" w:rsidDel="00000000">
              <w:rPr>
                <w:rtl w:val="0"/>
              </w:rPr>
              <w:t xml:space="preserve"> panta piektajā daļā Ministru kabinetam dotajam pilnvarojumam.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1.6.apakšpunkts 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1.6. naudas soda apmēra noteikšanas kārtību par Līguma par Eiropas Savienības darbību 101.panta pirmajā daļā un 102.pantā paredzētajiem pārkāpumiem, paredzot finanšu gada neto apgrozījuma aprēķināšanas īpatnības un naudas soda apmēra aprēķināšanas kārtību, ņemot vērā attiecīgā pārkāpuma smagumu un ilgumu, atbildību mīkstinošos un pastiprinošos apstākļus, kā arī nosakot gadījumus, kad ir tiesības samazināt naudas sodu;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Izteikt 2.2.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izsaka jaunā redakcijā Noteikumu 2.2. apakšpunktu. Vēršam uzmanību uz to, ka Likumprojekta 1. pants paredz izteikt jaunā redakcijā Konkurences likuma 1. pantu, kurā skaidroti Konkurences likumā lietotie termini, tostarp, termins "tirgus dalībnieks". Termins "tirgus dalībnieks" skaidrots Likumprojekta 1. pantā ietvertajā Konkurences likuma 1. panta 23. punktā, savukārt 9. punktā skaidrots termins "karteļa vienošanās". Lūdzam projekta 8. punktā ietvertajā Noteikumu 2.2. apakšpunktā precizēt ietverto atsauci uz Konkurences likuma 1. panta attiecīgo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2.2.apakšpunktā minētais termins “tirgus dalībnieks” ir saskaņots ar ietverto atsauci uz šī termina definīciju Konkurences likumā (pēc veiktajiem precizējumiem likuma 1.pantā, sagatavojot to izskatīšanai Saeimas 2.lasījumā, termina definīcija ir ietverta 1.panta 9.punktā).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Papildināt ar 3.</w:t>
            </w:r>
            <w:r w:rsidR="00000000" w:rsidRPr="00000000" w:rsidDel="00000000">
              <w:rPr>
                <w:vertAlign w:val="superscript"/>
                <w:rtl w:val="0"/>
              </w:rPr>
              <w:t xml:space="preserve">2</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11. punktā ietvertais Noteikumu 3.</w:t>
            </w:r>
            <w:r w:rsidR="00000000" w:rsidRPr="00000000" w:rsidDel="00000000">
              <w:rPr>
                <w:vertAlign w:val="superscript"/>
                <w:rtl w:val="0"/>
              </w:rPr>
              <w:t xml:space="preserve">2</w:t>
            </w:r>
            <w:r w:rsidR="00000000" w:rsidRPr="00000000" w:rsidDel="00000000">
              <w:rPr>
                <w:rtl w:val="0"/>
              </w:rPr>
              <w:t xml:space="preserve"> punkts paredz, ka piespiedu naudu aprēķina procentos no tirgus dalībnieka pēdējā noslēgtā pārskata (finanšu) gada neto apgrozījuma pirms pārkāpuma konstatēšanas dienas. Vēršam uzmanību, ka Konkurences likuma 8.</w:t>
            </w:r>
            <w:r w:rsidR="00000000" w:rsidRPr="00000000" w:rsidDel="00000000">
              <w:rPr>
                <w:vertAlign w:val="superscript"/>
                <w:rtl w:val="0"/>
              </w:rPr>
              <w:t xml:space="preserve">1</w:t>
            </w:r>
            <w:r w:rsidR="00000000" w:rsidRPr="00000000" w:rsidDel="00000000">
              <w:rPr>
                <w:rtl w:val="0"/>
              </w:rPr>
              <w:t xml:space="preserve"> panta piektā daļa paredz, ka piespiedu naudas apmēru nosaka līdz pieciem procentiem no pēdējā finanšu gada vidējā vienas dienas neto apgrozījuma par katru dienu. Savukārt Likumprojekta 9. panta otrā daļa paredz papildināt Konkurences likuma 8.</w:t>
            </w:r>
            <w:r w:rsidR="00000000" w:rsidRPr="00000000" w:rsidDel="00000000">
              <w:rPr>
                <w:vertAlign w:val="superscript"/>
                <w:rtl w:val="0"/>
              </w:rPr>
              <w:t xml:space="preserve">1</w:t>
            </w:r>
            <w:r w:rsidR="00000000" w:rsidRPr="00000000" w:rsidDel="00000000">
              <w:rPr>
                <w:rtl w:val="0"/>
              </w:rPr>
              <w:t xml:space="preserve"> pantu ar 5.</w:t>
            </w:r>
            <w:r w:rsidR="00000000" w:rsidRPr="00000000" w:rsidDel="00000000">
              <w:rPr>
                <w:vertAlign w:val="superscript"/>
                <w:rtl w:val="0"/>
              </w:rPr>
              <w:t xml:space="preserve">1</w:t>
            </w:r>
            <w:r w:rsidR="00000000" w:rsidRPr="00000000" w:rsidDel="00000000">
              <w:rPr>
                <w:rtl w:val="0"/>
              </w:rPr>
              <w:t xml:space="preserve"> daļu, kas noteiks, ka, ja pārkāpums izdarīts lietā par iespējamo Eiropas Savienības konkurences tiesību pārkāpumu, piespiedu naudas apmēru nosaka līdz pieciem procentiem no pēdējā finanšu gada vidējā vienas dienas kopējā neto apgrozījuma pasaulē par katru dienu. Tādējādi no Konkurences likumā un Likumprojektā paredzētā izriet, ka piespiedu nauda tiek aprēķināta no vidējā vienas dienas neto apgrozījuma, savukārt Projekta 11. punktā ietvertais Noteikumu 3.</w:t>
            </w:r>
            <w:r w:rsidR="00000000" w:rsidRPr="00000000" w:rsidDel="00000000">
              <w:rPr>
                <w:vertAlign w:val="superscript"/>
                <w:rtl w:val="0"/>
              </w:rPr>
              <w:t xml:space="preserve">2</w:t>
            </w:r>
            <w:r w:rsidR="00000000" w:rsidRPr="00000000" w:rsidDel="00000000">
              <w:rPr>
                <w:rtl w:val="0"/>
              </w:rPr>
              <w:t xml:space="preserve"> punkts paredz piespiedu naudu aprēķināt no gada neto apgrozījuma. Ņemot vērā minēto, lūdzam precizēt Projekta 11. punktā ietverto Noteikumu 3.</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“3.</w:t>
            </w:r>
            <w:r w:rsidR="00000000" w:rsidRPr="00000000" w:rsidDel="00000000">
              <w:rPr>
                <w:i w:val="1"/>
                <w:vertAlign w:val="superscript"/>
                <w:rtl w:val="0"/>
              </w:rPr>
              <w:t xml:space="preserve">2</w:t>
            </w:r>
            <w:r w:rsidR="00000000" w:rsidRPr="00000000" w:rsidDel="00000000">
              <w:rPr>
                <w:i w:val="1"/>
                <w:rtl w:val="0"/>
              </w:rPr>
              <w:t xml:space="preserve"> Piespiedu naudu aprēķina procentos no tirgus dalībnieka pēdējā noslēgtā pārskata (finanšu) gada vidējā vienas dienas neto apgrozījuma pirms pārkāpuma konstatēšanas dienas par katru dienu līdz tiesiskā pienākuma izpildei. Ja pārkāpums izdarīts lietā par iespējamo Eiropas Savienības konkurences tiesību pārkāpumu, piespiedu naudu aprēķina procentos no tirgus dalībnieka pēdējā noslēgtā pārskata (finanšu) gada vidējā vienas dienas kopējā neto apgrozījuma pasaulē pirms pārkāpuma konstatēšanas dienas par katru dienu līdz tiesiskā pienākuma izpildei.</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Papildināt ar 11.</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13. un 14. punkts paredz papildināt Noteikumus ar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punktu, kas paredz, ka galīgo naudas soda summu aprēķina tā naudas soda ietvaros, kas noteikts par smagāko pārkāpumu, vienlaikus paredzēts, ka par katru pārkāpumu naudas soda apmēru nosaka atsevišķi. Lūdzam anotācijā skaidrot, vai naudas soda apmērs tiek aprēķināts, saskaitot noteiktos naudas sodus par katru pārkāpumu, un kā jāsaprot Projekta 13. un 14. punktā ietvertajā Noteikumu 11.</w:t>
            </w:r>
            <w:r w:rsidR="00000000" w:rsidRPr="00000000" w:rsidDel="00000000">
              <w:rPr>
                <w:vertAlign w:val="superscript"/>
                <w:rtl w:val="0"/>
              </w:rPr>
              <w:t xml:space="preserve">1</w:t>
            </w:r>
            <w:r w:rsidR="00000000" w:rsidRPr="00000000" w:rsidDel="00000000">
              <w:rPr>
                <w:rtl w:val="0"/>
              </w:rPr>
              <w:t xml:space="preserve"> un 11.</w:t>
            </w:r>
            <w:r w:rsidR="00000000" w:rsidRPr="00000000" w:rsidDel="00000000">
              <w:rPr>
                <w:vertAlign w:val="superscript"/>
                <w:rtl w:val="0"/>
              </w:rPr>
              <w:t xml:space="preserve">2</w:t>
            </w:r>
            <w:r w:rsidR="00000000" w:rsidRPr="00000000" w:rsidDel="00000000">
              <w:rPr>
                <w:rtl w:val="0"/>
              </w:rPr>
              <w:t xml:space="preserve"> punktā paredzētais, ka galīgo naudas soda summu aprēķina tā naudas soda ietvaros, kas noteikts par smagāko pārkāpumu.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pēc būtības šajās tiesību normās saturiski nekas nemainās no šobrīd spēkā esošā regulējuma, jo Projekts paredz tehniskus grozījumus, līdzšinējo Noteikumu 23., 24. un 25. punktu pārceļot uz Noteikumu I nodaļu “Vispārīgie jautājumi” un izsakot kā Noteikumu 11.</w:t>
            </w:r>
            <w:r w:rsidR="00000000" w:rsidRPr="00000000" w:rsidDel="00000000">
              <w:rPr>
                <w:vertAlign w:val="superscript"/>
                <w:rtl w:val="0"/>
              </w:rPr>
              <w:t xml:space="preserve">1</w:t>
            </w:r>
            <w:r w:rsidR="00000000" w:rsidRPr="00000000" w:rsidDel="00000000">
              <w:rPr>
                <w:rtl w:val="0"/>
              </w:rPr>
              <w:t xml:space="preserve">, 11.</w:t>
            </w:r>
            <w:r w:rsidR="00000000" w:rsidRPr="00000000" w:rsidDel="00000000">
              <w:rPr>
                <w:vertAlign w:val="superscript"/>
                <w:rtl w:val="0"/>
              </w:rPr>
              <w:t xml:space="preserve">2</w:t>
            </w:r>
            <w:r w:rsidR="00000000" w:rsidRPr="00000000" w:rsidDel="00000000">
              <w:rPr>
                <w:rtl w:val="0"/>
              </w:rPr>
              <w:t xml:space="preserve"> un 11.</w:t>
            </w:r>
            <w:r w:rsidR="00000000" w:rsidRPr="00000000" w:rsidDel="00000000">
              <w:rPr>
                <w:vertAlign w:val="superscript"/>
                <w:rtl w:val="0"/>
              </w:rPr>
              <w:t xml:space="preserve">3</w:t>
            </w:r>
            <w:r w:rsidR="00000000" w:rsidRPr="00000000" w:rsidDel="00000000">
              <w:rPr>
                <w:rtl w:val="0"/>
              </w:rPr>
              <w:t xml:space="preserve"> punktu. Precizējumi veikti, lai šajās tiesību normās ietvertie noteikumi naudas soda apmēra noteikšanai tiktu attiecināti gan uz nacionāliem konkurences tiesību pārkāpumiem, gan iespējamiem Eiropas Savienības konkurences tiesību pārkāpumiem.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TM lūguma anotācija papildināta ar turpmāk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Noteikumu 11.</w:t>
            </w:r>
            <w:r w:rsidR="00000000" w:rsidRPr="00000000" w:rsidDel="00000000">
              <w:rPr>
                <w:i w:val="1"/>
                <w:vertAlign w:val="superscript"/>
                <w:rtl w:val="0"/>
              </w:rPr>
              <w:t xml:space="preserve">1</w:t>
            </w:r>
            <w:r w:rsidR="00000000" w:rsidRPr="00000000" w:rsidDel="00000000">
              <w:rPr>
                <w:i w:val="1"/>
                <w:rtl w:val="0"/>
              </w:rPr>
              <w:t xml:space="preserve">, 11.</w:t>
            </w:r>
            <w:r w:rsidR="00000000" w:rsidRPr="00000000" w:rsidDel="00000000">
              <w:rPr>
                <w:i w:val="1"/>
                <w:vertAlign w:val="superscript"/>
                <w:rtl w:val="0"/>
              </w:rPr>
              <w:t xml:space="preserve">2</w:t>
            </w:r>
            <w:r w:rsidR="00000000" w:rsidRPr="00000000" w:rsidDel="00000000">
              <w:rPr>
                <w:i w:val="1"/>
                <w:rtl w:val="0"/>
              </w:rPr>
              <w:t xml:space="preserve"> un 11.</w:t>
            </w:r>
            <w:r w:rsidR="00000000" w:rsidRPr="00000000" w:rsidDel="00000000">
              <w:rPr>
                <w:i w:val="1"/>
                <w:vertAlign w:val="superscript"/>
                <w:rtl w:val="0"/>
              </w:rPr>
              <w:t xml:space="preserve">3</w:t>
            </w:r>
            <w:r w:rsidR="00000000" w:rsidRPr="00000000" w:rsidDel="00000000">
              <w:rPr>
                <w:i w:val="1"/>
                <w:rtl w:val="0"/>
              </w:rPr>
              <w:t xml:space="preserve"> punkts nosaka, ka KP sākotnēji aprēķina naudas soda apmēru par katru konkrētajā lietā konstatēto pārkāpumu atsevišķi (neatkarīgi no to skaita), lai panāktu atbildības individualizāciju. Savukārt pēc katra individuālā pārkāpuma naudas soda noteikšanas, KP galīgo naudas sodu noteiks tā naudas soda ietvaros, kas noteikts par smagāko pārkāpumu. Piemēram, ja tirgus dalībnieka rīcībā ir konstatēta gan karteļa vienošanās, gan aizliegta vertikāla vienošanās, tad galīgais naudas sods tiks noteikts smagākā pārkāpuma – karteļa vienošanās – noteiktajā diapazonā (ievērojot Noteikumu 16. punktā minēto punktu kritērijus).  Galīgais naudas sods nevar pārsniegt KL noteiktos maksimālos naudas soda apmērus, neatkarīgi no konstatēto pārkāpumu skaita</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Izteikt 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16. punktā ietvertais Noteikumu 17., 18. un 19. punkts paredz naudas soda apmēru noteikšanu procentos atkarībā no izdarītā pārkāpuma smaguma pakāpes un ilguma, kas ir summējams kopā, nosakot kopējo naudas soda apmēru. No minētajiem projekta 16. punktā ietvertajiem punktiem nevar secināt, vai ir tikuši ievēroti Konkurences likumā par attiecīgajiem pārkāpumiem paredzētie maksimālie naudas soda apmēri. Piemēram, Konkurences likuma 14. panta otrā daļa paredz, ka Konkurences padome ir tiesīga piemērot tirgus dalībniekiem naudas sodu par Konkurences likuma 13. panta (dominējošā stāvokļa ļaunprātīgas izmantošanas aizliegums) pirmajā daļā minēto pārkāpumu līdz 5 procentiem no pēdējā finanšu gada neto apgrozījuma katram. Konkurences likuma 13. pantā paredzētā pārkāpuma gadījumā saskaņā ar projekta 16. punktā ietverto Noteikumu 17.5. apakšpunktu būtu piemērojams naudas sods līdz 1,5 % un, pieņemot, ka pārkāpums veikts ilgāk kā piecus gadus, saskaņā ar projekta 16. punktā ietverto Noteikumu 18.3. apakšpunktu būtu piemērojams naudas sods līdz 1 %. Kopējais maksimālais naudas sods tādējādi varētu būt ne vairāk kā 2,5 %, taču no Konkurences likuma 14. panta otrajā daļā noteiktā izriet, ka maksimālais noteiktais naudas sods varētu būt līdz 5 %. Ņemot vērā minēto, nav skaidrs, vai projekta 16. punktā ietvertajā Noteikumu 20. punktā paredzētie gadījumi, kad var palielināt naudas sodu ir ņemami vērā nosakot naudas soda apmēru tikai pēc tam, kad naudas sods noteikts saskaņā ar projekta 16. punktā ietverto Noteikumu 17., 18. un 19. punktu. Vienlaikus nav skaidrs, vai likumdevēja griba ir bijusi paredzēt, ka maksimālo naudas soda apmēru var piemērot tikai tajā gadījumā, kad ir kādi īpaši papildu apstākļi. Vēl jo vairāk nav skaidrs, kāpēc noteiktiem papildu apstākļiem var būt tik būtiska ietekme uz naudas soda apmēra noteikšanu, kas apskatītajā piemērā ir puse no maksimālā Konkurences likuma 14. panta otrajā daļā paredzētā naudas soda apmēra. Ņemot vērā minēto, lūdzam skaidrot anotācijā, pēc kādiem principiem noteikts naudas soda apmērs projekta 16. punktā ietvertajā Noteikumu 17., 18. un 19. punktā un kā tas atbilst Konkurences likumā noteiktajiem maksimālajiem naudas soda apmēriem.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precizēt, no kā tiek aprēķināti projekta 16. punktā ietvertajā Noteikumu 17., 18. un 19. punktā minētie procenti, proti, vai no pēdējā finanšu gada neto apgrozījuma.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1)TM iebildumi ir izteikti par tiesību normām (Noteikumu 17., 18., 19.punkts), kas pēc būtības netiek grozītas un jau šobrīd ir spēkā un tiek piemērotas, attiecīgi tiek lūgts anotācijā skaidrot, kā tiek piemērota esošā naudas soda noteikšanas kārtība.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Projekts neparedz izmaiņas esošajā kārtībā, kā tiek noteikts naudas soda apmērs atbilstoši pārkāpuma smaguma pakāpei un ilgumam un KP praksē nav novērojusi nepilnības līdzšinējā tiesību normu piemērošanā, EM rosina neuzsākt diskusijas par attiecīgo tiesību normu pārskatīšanu pēc būtības.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atbildot uz TM jautājumu, vai KP ievēro Konkurences likumā noteiktos maksimālos naudas soda apmērus par attiecīgajiem konkurences tiesību pārkāpumiem, KP apliecina, ka piemērojot Noteikumos paredzēto naudas soda aprēķināšanas kārtību, tai ir saistošs arī Konkurences likumā ietvertais tiesiskais regulējums, kas tostarp nosaka maksimālos piemērojamos naudas soda apmērus (piemēram, Konkurences likuma 12.panta (2) un (3) daļa, 14.panta (2)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2)Norādāms, ka Noteikumu 20.punkts tiek piemērots tad, kad jau ir veikts kopējā naudas soda aprēķins, t.i., KP jau ir veikusi Noteikumu 17., 18. un 19. punktā minēto kritēriju novērtējumu.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3)Atbildot uz TM jautājumu “no kā tiek aprēķināti Noteikumu 17., 18. un 19.punktā minētie procenti”, norādāms, ka tie tiek aprēķināti saskaņā ar Noteikumu 3.punktā paredzēto kārtību, t.i., naudas sodu aprēķina procentos no tirgus dalībnieka pēdējā noslēgtā pārskata (finanšu) gada neto apgrozījuma pirms pārkāpuma konstatēšanas dienas.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17. punktā ietvertajā Noteikumu 25.</w:t>
            </w:r>
            <w:r w:rsidR="00000000" w:rsidRPr="00000000" w:rsidDel="00000000">
              <w:rPr>
                <w:vertAlign w:val="superscript"/>
                <w:rtl w:val="0"/>
              </w:rPr>
              <w:t xml:space="preserve">8</w:t>
            </w:r>
            <w:r w:rsidR="00000000" w:rsidRPr="00000000" w:rsidDel="00000000">
              <w:rPr>
                <w:rtl w:val="0"/>
              </w:rPr>
              <w:t xml:space="preserve">1.1. apakšpunktā ir ietverta piebilde, ka naudas soda apmēru var palielināt līdz 100 procentiem par katru šādu pārkāpumu. Lūdzam precizēt, no kā tiks aprēķināts naudas soda apmērs, ņemot vērā to, ka Konkurences likums un Negodīgas tirdzniecības prakses aizlieguma likums paredz aprēķināt naudas sodu procentos no pēdējā finanšu gada neto apgrozījuma un maksimālais naudas soda apmērs ir līdz 10 %.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Sniegts skaidrojums izziņā.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likumā noteiktais maksimālais naudas soda apmērs netiek atcelts, to pārkāpt nedrīkst jebkurā gadījumā. Vienlaikus Projektā paredzētā naudas soda aprēķināšanas kārtība paredz kritērijus (nosacījumus) potenciāli aprēķināmā naudas soda apmēram, ievērojot Konkurences likumā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Konkrētajā tiesību normā ietvertais nosacījumus ir noteikts atbilstoši EK izstrādātajai metodikai, t.i., pamatnostādnēm naudas soda aprēķināšanai, piemērojot Regulas Nr. 1/2003 23. panta 2. punkta a) apakšpunktu ((2006/C 210/02). Pamatnostādņu 28.punkts paredz, ka naudas soda pamatsummu var palielināt, ja Komisija konstatē vainu pastiprinošus apstākļus, piem., ja “uzņēmums turpina vai atkārto to pašu vai līdzīgu pārkāpumu pēc tam, kad Komisija vai valsts konkurences iestāde ir konstatējusi, ka šis uzņēmums ir pārkāpis 81. vai 82. panta noteikumus. Tad pamatsummu palielina līdz pat 100 % par katru šādu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Šajā gadījumā ar pamatsummas palielinājumu jāsaprot iepriekš Projekta II</w:t>
            </w:r>
            <w:r w:rsidR="00000000" w:rsidRPr="00000000" w:rsidDel="00000000">
              <w:rPr>
                <w:vertAlign w:val="superscript"/>
                <w:rtl w:val="0"/>
              </w:rPr>
              <w:t xml:space="preserve">1</w:t>
            </w:r>
            <w:r w:rsidR="00000000" w:rsidRPr="00000000" w:rsidDel="00000000">
              <w:rPr>
                <w:rtl w:val="0"/>
              </w:rPr>
              <w:t xml:space="preserve">. nodaļā aprēķinātās kopējās naudas summas (25.</w:t>
            </w:r>
            <w:r w:rsidR="00000000" w:rsidRPr="00000000" w:rsidDel="00000000">
              <w:rPr>
                <w:vertAlign w:val="superscript"/>
                <w:rtl w:val="0"/>
              </w:rPr>
              <w:t xml:space="preserve">1</w:t>
            </w:r>
            <w:r w:rsidR="00000000" w:rsidRPr="00000000" w:rsidDel="00000000">
              <w:rPr>
                <w:rtl w:val="0"/>
              </w:rPr>
              <w:t xml:space="preserve"> punkts) iespējamu palielināšanu līdz 100%, bet tā jebkurā gadījumā nevar pārsniegt Konkurences likumā turpmāk paredzēto maksimālo naudas soda apmēru – 10% no pēdējā finanšu gada neto apgrozījuma pasaulē.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ietvertais Noteikumu 37.</w:t>
            </w:r>
            <w:r w:rsidR="00000000" w:rsidRPr="00000000" w:rsidDel="00000000">
              <w:rPr>
                <w:vertAlign w:val="superscript"/>
                <w:rtl w:val="0"/>
              </w:rPr>
              <w:t xml:space="preserve">1</w:t>
            </w:r>
            <w:r w:rsidR="00000000" w:rsidRPr="00000000" w:rsidDel="00000000">
              <w:rPr>
                <w:rtl w:val="0"/>
              </w:rPr>
              <w:t xml:space="preserve"> punkts paredz, ka pieteikumu var iesniegt valsts valodā vai Eiropas Savienības oficiālajā valodā, ja par to panākta vienošanās. Valsts valodas likuma 10. panta otrā daļa paredz, ka valsts un pašvaldību iestādes, tiesas un tiesu sistēmai piederīgās iestādes, kā arī valsts vai pašvaldību uzņēmumi (uzņēmējsabiedrības) no personām pieņem un izskata dokumentus tikai valsts valodā, izņemot minētā panta trešajā un ceturtajā daļā un citos likumos noteiktos gadījumus. Valsts valodas likuma 10. panta trešā un ceturtā daļa noteic, ka dokumentus svešvalodā no personām pieņem, ja tiem pievienots Ministru kabineta noteiktajā kārtībā vai notariāli apliecināts tulkojums valsts valodā, vai valsts un pašvaldību iestādes, organizācijas un uzņēmumi (uzņēmējsabiedrības) no ārvalstīm saņemtos dokumentus var pieņemt un izskatīt bez tulkojuma valsts valodā. No minētā izriet, ka Valsts valodas likums jau paredz izņēmuma gadījumus, kuros iestādes var pieņemt dokumentus svešvalodā, un ar projektu nevar paredzēt vēl citus izņēmumus. Ņemot vērā minēto, lūdzam precizēt projekta 19. punktā ietverto Noteikumu 37.</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37.</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37.</w:t>
            </w:r>
            <w:r w:rsidR="00000000" w:rsidRPr="00000000" w:rsidDel="00000000">
              <w:rPr>
                <w:i w:val="1"/>
                <w:vertAlign w:val="superscript"/>
                <w:rtl w:val="0"/>
              </w:rPr>
              <w:t xml:space="preserve">1</w:t>
            </w:r>
            <w:r w:rsidR="00000000" w:rsidRPr="00000000" w:rsidDel="00000000">
              <w:rPr>
                <w:i w:val="1"/>
                <w:rtl w:val="0"/>
              </w:rPr>
              <w:t xml:space="preserve"> Pieteikuma iesniedzējam, iesniedzot šo noteikumu 31.</w:t>
            </w:r>
            <w:r w:rsidR="00000000" w:rsidRPr="00000000" w:rsidDel="00000000">
              <w:rPr>
                <w:i w:val="1"/>
                <w:vertAlign w:val="superscript"/>
                <w:rtl w:val="0"/>
              </w:rPr>
              <w:t xml:space="preserve">1</w:t>
            </w:r>
            <w:r w:rsidR="00000000" w:rsidRPr="00000000" w:rsidDel="00000000">
              <w:rPr>
                <w:i w:val="1"/>
                <w:rtl w:val="0"/>
              </w:rPr>
              <w:t xml:space="preserve"> punktā noteikto pieprasījumu, ir tiesības vērsties ar pieteikumu Konkurences padomē valsts valodā vai citā Eiropas Savienības oficiālajā valodā, ja par to panākta divpusēja vienošanās starp Konkurences padomi un pieteikuma iesniedzēju no ārvalsts. Pieprasījuma iesniegšana citā Eiropas Savienības oficiālajā valodā neatbrīvo pieteikuma iesniedzēju no tā iesniegšanas valsts valodā pēc Konkurences padomes pieprasījuma.</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ietvertajā 37.</w:t>
            </w:r>
            <w:r w:rsidR="00000000" w:rsidRPr="00000000" w:rsidDel="00000000">
              <w:rPr>
                <w:vertAlign w:val="superscript"/>
                <w:rtl w:val="0"/>
              </w:rPr>
              <w:t xml:space="preserve">5</w:t>
            </w:r>
            <w:r w:rsidR="00000000" w:rsidRPr="00000000" w:rsidDel="00000000">
              <w:rPr>
                <w:rtl w:val="0"/>
              </w:rPr>
              <w:t xml:space="preserve"> punktā paredzēts, ka paziņojumā par atteikumu pieņemt pieteikumu norāda atteikuma iemeslus. Lūdzam anotācijā skaidrot, kādi var būt atteikuma iemesli vai papildināt ar attiecīgu regulējumu projektu. Projekta 19. punktā ietvertais Noteikumu 37. punkts paredz, ka Konkurences padome pieteikumu nepieņem, ja pieteikums neatbilst Noteikumos minētajām prasībām. No Projekta 19. punktā ietverto Noteikumu punktu secības varētu secināt, ka Projekta 19. punktā ietvertajā Noteikumu 37. punktā ir runa par pieteikumu par atbrīvošanu no naudas soda, savukārt projekta 19. punktā ietvertajā 37.</w:t>
            </w:r>
            <w:r w:rsidR="00000000" w:rsidRPr="00000000" w:rsidDel="00000000">
              <w:rPr>
                <w:vertAlign w:val="superscript"/>
                <w:rtl w:val="0"/>
              </w:rPr>
              <w:t xml:space="preserve">5</w:t>
            </w:r>
            <w:r w:rsidR="00000000" w:rsidRPr="00000000" w:rsidDel="00000000">
              <w:rPr>
                <w:rtl w:val="0"/>
              </w:rPr>
              <w:t xml:space="preserve"> punktā ir runa par pieteikumu par naudas soda samazināšanu. Projekta 19. punktā ietvertais Noteikumu 37.</w:t>
            </w:r>
            <w:r w:rsidR="00000000" w:rsidRPr="00000000" w:rsidDel="00000000">
              <w:rPr>
                <w:vertAlign w:val="superscript"/>
                <w:rtl w:val="0"/>
              </w:rPr>
              <w:t xml:space="preserve">2</w:t>
            </w:r>
            <w:r w:rsidR="00000000" w:rsidRPr="00000000" w:rsidDel="00000000">
              <w:rPr>
                <w:rtl w:val="0"/>
              </w:rPr>
              <w:t xml:space="preserve"> punkts paredz, ka gadījumā, ja tiek noraidīts pieteikums par atbrīvošanu no naudas soda, iesniedzējs var lūgt šo pašu pieteikumu izskatīt kā pieteikumu par naudas soda samazināšanu. Ņemot vērā minēto, iemesliem, kāpēc atteikt abu pieteikumu pieņemšanu ir jābūt līdzvērtīgiem.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19. punktā ietvertajā Noteikumu 37.</w:t>
            </w:r>
            <w:r w:rsidR="00000000" w:rsidRPr="00000000" w:rsidDel="00000000">
              <w:rPr>
                <w:vertAlign w:val="superscript"/>
                <w:rtl w:val="0"/>
              </w:rPr>
              <w:t xml:space="preserve">5</w:t>
            </w:r>
            <w:r w:rsidR="00000000" w:rsidRPr="00000000" w:rsidDel="00000000">
              <w:rPr>
                <w:rtl w:val="0"/>
              </w:rPr>
              <w:t xml:space="preserve"> punktā vārdu "rakstiski" aizstāt ar vārdu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37.</w:t>
            </w:r>
            <w:r w:rsidR="00000000" w:rsidRPr="00000000" w:rsidDel="00000000">
              <w:rPr>
                <w:vertAlign w:val="superscript"/>
                <w:rtl w:val="0"/>
              </w:rPr>
              <w:t xml:space="preserve">5</w:t>
            </w:r>
            <w:r w:rsidR="00000000" w:rsidRPr="00000000" w:rsidDel="00000000">
              <w:rPr>
                <w:rtl w:val="0"/>
              </w:rPr>
              <w:t xml:space="preserve"> punktā (arī 30.2.1. apakšpunktā un 31., 39. punktā) vārds "rakstiski" aizstāts ar vārdu "rakstveidā" un anotācijā sniegta informācija par to, kādi var būt atteikuma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turpmāk minēto informāciju: "</w:t>
            </w:r>
            <w:r w:rsidR="00000000" w:rsidRPr="00000000" w:rsidDel="00000000">
              <w:rPr>
                <w:i w:val="1"/>
                <w:rtl w:val="0"/>
              </w:rPr>
              <w:t xml:space="preserve">Noteikumu 37.punkts paredz nepieņemt pieteikumu par atbrīvojumu no naudas soda un par pieteikuma atteikuma iemeslu uzskatāma Noteikumu 30.punktā noteikto prasību neievērošana (prasības, lai kvalificētos iecietības programmai), 31.punktā minētā apliecinājuma neiesniegšana KP un 31.2 punktā minēto ziņu pilnīga neiesniegšana (ja tirgus dalībnieks pieprasa piešķirt vietu rindā). Savukārt Noteikumu 37.5 punkts paredz nepieņemt pieteikumu par naudas soda samazināšanu  un par pieteikuma atteikuma iemeslu uzskatāma Noteikumu 30., 31.punktā minēto prasību neievērošana</w:t>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ietvertajā 39. punktā paredzēts, ka paziņojumā par atteikumu pieņemt pieteikuma kopsavilkumu norāda atteikuma iemeslus. Lūdzam anotācijā skaidrot, kādi var būt atteikuma iemesli vai papildināt ar attiecīgu regulējumu projektu. Projekta 19. punktā ietvertais Noteikumu 37. punkts paredz, ka Konkurences padome pieteikumu nepieņem, ja pieteikums neatbilst Noteikumos minētajām prasībām. Ņemot vērā to, ka Projekta 19. punktā ietvertajā Noteikumu 38.</w:t>
            </w:r>
            <w:r w:rsidR="00000000" w:rsidRPr="00000000" w:rsidDel="00000000">
              <w:rPr>
                <w:vertAlign w:val="superscript"/>
                <w:rtl w:val="0"/>
              </w:rPr>
              <w:t xml:space="preserve">1</w:t>
            </w:r>
            <w:r w:rsidR="00000000" w:rsidRPr="00000000" w:rsidDel="00000000">
              <w:rPr>
                <w:rtl w:val="0"/>
              </w:rPr>
              <w:t xml:space="preserve"> punktā ir noteikts, kas jāietver pieteikuma kopsavilkumā, ir iespējams paredzēt, ka pieteikuma kopsavilkumu nepieņem, ja tas neatbilst Noteikumos noteiktajām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projekta 19. punktā ietvertajā Noteikumu 39. punktā vārdu "rakstiski" aizstāt ar vārdu "rakstveidā".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39. punktā vārds "rakstiski" aizstāts ar vārdu "rakstveidā" un anotācijā sniegta informācija par to, kādi var būt 39.punktā minētā atteikuma iemesli.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turpmāk minēto informāciju: "</w:t>
            </w:r>
            <w:r w:rsidR="00000000" w:rsidRPr="00000000" w:rsidDel="00000000">
              <w:rPr>
                <w:i w:val="1"/>
                <w:rtl w:val="0"/>
              </w:rPr>
              <w:t xml:space="preserve">Par Noteikumu 39.punktā minētajiem iemesliem, kad var nepieņemt pieteikuma kopsavilkumu, uzskatāma Noteikumu 38.</w:t>
            </w:r>
            <w:r w:rsidR="00000000" w:rsidRPr="00000000" w:rsidDel="00000000">
              <w:rPr>
                <w:i w:val="1"/>
                <w:vertAlign w:val="superscript"/>
                <w:rtl w:val="0"/>
              </w:rPr>
              <w:t xml:space="preserve">1 </w:t>
            </w:r>
            <w:r w:rsidR="00000000" w:rsidRPr="00000000" w:rsidDel="00000000">
              <w:rPr>
                <w:i w:val="1"/>
                <w:rtl w:val="0"/>
              </w:rPr>
              <w:t xml:space="preserve">punktā minētās informācijas pilnīga neiesniegšan</w:t>
            </w:r>
            <w:r w:rsidR="00000000" w:rsidRPr="00000000" w:rsidDel="00000000">
              <w:rPr>
                <w:rtl w:val="0"/>
              </w:rPr>
              <w:t xml:space="preserve">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ietvertais Noteikumu 40.</w:t>
            </w:r>
            <w:r w:rsidR="00000000" w:rsidRPr="00000000" w:rsidDel="00000000">
              <w:rPr>
                <w:vertAlign w:val="superscript"/>
                <w:rtl w:val="0"/>
              </w:rPr>
              <w:t xml:space="preserve">2</w:t>
            </w:r>
            <w:r w:rsidR="00000000" w:rsidRPr="00000000" w:rsidDel="00000000">
              <w:rPr>
                <w:rtl w:val="0"/>
              </w:rPr>
              <w:t xml:space="preserve"> punkts paredz, ka liecības var sniegt valsts valodā vai Eiropas Savienības oficiālajā valodā, ja par to panākta vienošanās. Valsts valodas likuma 10. panta otrā daļa paredz, ka valsts un pašvaldību iestādes, tiesas un tiesu sistēmai piederīgās iestādes, kā arī valsts vai pašvaldību uzņēmumi (uzņēmējsabiedrības) no personām pieņem un izskata dokumentus tikai valsts valodā, izņemot minētā panta trešajā un ceturtajā daļā un citos likumos noteiktos gadījumus. Valsts valodas likuma 10. panta trešā un ceturtā daļa noteic, ka dokumentus svešvalodā no personām pieņem, ja tiem pievienots Ministru kabineta noteiktajā kārtībā vai notariāli apliecināts tulkojums valsts valodā, vai valsts un pašvaldību iestādes, organizācijas un uzņēmumi (uzņēmējsabiedrības) no ārvalstīm saņemtos dokumentus var pieņemt un izskatīt bez tulkojuma valsts valodā. No minētā izriet, ka Valsts valodas likums jau paredz izņēmuma gadījumus, kuros iestādes var pieņemt dokumentus svešvalodā, un ar projektu nevar paredzēt vēl citus izņēmumus. Ņemot vērā minēto, lūdzam precizēt projekta 19. punktā ietverto Noteikumu 40.</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40.</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r w:rsidR="00000000" w:rsidRPr="00000000" w:rsidDel="00000000">
              <w:rPr>
                <w:vertAlign w:val="superscript"/>
                <w:rtl w:val="0"/>
              </w:rPr>
              <w:t xml:space="preserve">2</w:t>
            </w:r>
            <w:r w:rsidR="00000000" w:rsidRPr="00000000" w:rsidDel="00000000">
              <w:rPr>
                <w:rtl w:val="0"/>
              </w:rPr>
              <w:t xml:space="preserve"> Pieteikuma iesniedzējam ir tiesības saskaņā ar iecietības programmu sniegtās liecības par pilnajiem pieteikumiem vai pieteikuma kopsavilkumiem Konkurences padomē sniegt valsts valodā vai citā Eiropas Savienības oficiālajā valodā, ja par to ir panākta divpusēja vienošanās starp Konkurences padomi un pieteikuma iesniedzēju no ārvalsts. Liecību sniegšana citā Eiropas Savienības oficiālajā valodā neatbrīvo pieteikuma iesniedzēju no to iesniegšanas valsts valodā pēc Konkurences padomes pieprasījuma.”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Konkurences likuma</w:t>
            </w:r>
            <w:r w:rsidR="00000000" w:rsidRPr="00000000" w:rsidDel="00000000">
              <w:rPr>
                <w:rtl w:val="0"/>
              </w:rPr>
              <w:t xml:space="preserve"> 8.</w:t>
            </w:r>
            <w:r w:rsidR="00000000" w:rsidRPr="00000000" w:rsidDel="00000000">
              <w:rPr>
                <w:vertAlign w:val="superscript"/>
                <w:rtl w:val="0"/>
              </w:rPr>
              <w:t xml:space="preserve">1</w:t>
            </w:r>
            <w:r w:rsidR="00000000" w:rsidRPr="00000000" w:rsidDel="00000000">
              <w:rPr>
                <w:rtl w:val="0"/>
              </w:rPr>
              <w:t xml:space="preserve"> panta astoto daļu, 9.</w:t>
            </w:r>
            <w:r w:rsidR="00000000" w:rsidRPr="00000000" w:rsidDel="00000000">
              <w:rPr>
                <w:vertAlign w:val="superscript"/>
                <w:rtl w:val="0"/>
              </w:rPr>
              <w:t xml:space="preserve">4</w:t>
            </w:r>
            <w:r w:rsidR="00000000" w:rsidRPr="00000000" w:rsidDel="00000000">
              <w:rPr>
                <w:rtl w:val="0"/>
              </w:rPr>
              <w:t xml:space="preserve"> panta trešo daļu, 12. panta piekto daļu, 12.</w:t>
            </w:r>
            <w:r w:rsidR="00000000" w:rsidRPr="00000000" w:rsidDel="00000000">
              <w:rPr>
                <w:vertAlign w:val="superscript"/>
                <w:rtl w:val="0"/>
              </w:rPr>
              <w:t xml:space="preserve">1 </w:t>
            </w:r>
            <w:r w:rsidR="00000000" w:rsidRPr="00000000" w:rsidDel="00000000">
              <w:rPr>
                <w:rtl w:val="0"/>
              </w:rPr>
              <w:t xml:space="preserve">panta septīto daļu, 14. panta ceturto daļu un 14.</w:t>
            </w:r>
            <w:r w:rsidR="00000000" w:rsidRPr="00000000" w:rsidDel="00000000">
              <w:rPr>
                <w:vertAlign w:val="superscript"/>
                <w:rtl w:val="0"/>
              </w:rPr>
              <w:t xml:space="preserve">2</w:t>
            </w:r>
            <w:r w:rsidR="00000000" w:rsidRPr="00000000" w:rsidDel="00000000">
              <w:rPr>
                <w:rtl w:val="0"/>
              </w:rPr>
              <w:t xml:space="preserve"> panta ceturto daļu, 14.</w:t>
            </w:r>
            <w:r w:rsidR="00000000" w:rsidRPr="00000000" w:rsidDel="00000000">
              <w:rPr>
                <w:vertAlign w:val="superscript"/>
                <w:rtl w:val="0"/>
              </w:rPr>
              <w:t xml:space="preserve">3</w:t>
            </w:r>
            <w:r w:rsidR="00000000" w:rsidRPr="00000000" w:rsidDel="00000000">
              <w:rPr>
                <w:rtl w:val="0"/>
              </w:rPr>
              <w:t xml:space="preserve"> panta piekto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Negodīgas tirdzniecības prakses aizlieguma likuma</w:t>
            </w:r>
            <w:r w:rsidR="00000000" w:rsidRPr="00000000" w:rsidDel="00000000">
              <w:rPr>
                <w:rtl w:val="0"/>
              </w:rPr>
              <w:t xml:space="preserve"> </w:t>
            </w:r>
            <w:r w:rsidR="00000000" w:rsidRPr="00000000" w:rsidDel="00000000">
              <w:rPr>
                <w:rtl w:val="0"/>
              </w:rPr>
              <w:t xml:space="preserve"> 8. panta ceturto daļu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Naudas sods par konkurences tiesību vai negodīgas tirdzniecības prakses aizlieguma pārkāpumiem ir administratīvajai atbildībai līdzīgs piespiedu ietekmēšanas līdzeklis (</w:t>
            </w:r>
            <w:r w:rsidR="00000000" w:rsidRPr="00000000" w:rsidDel="00000000">
              <w:rPr>
                <w:i w:val="1"/>
                <w:rtl w:val="0"/>
              </w:rPr>
              <w:t xml:space="preserve">Briede J., Danovskis E., Kovaļevska A. Administratīvās tiesības. Rīga: Tiesu namu aģentūra, 2021, 215. lpp.</w:t>
            </w:r>
            <w:r w:rsidR="00000000" w:rsidRPr="00000000" w:rsidDel="00000000">
              <w:rPr>
                <w:rtl w:val="0"/>
              </w:rPr>
              <w:t xml:space="preserve">) jeb krimināltiesiska (sodoša) rakstura administratīva sankcija.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Satversmes tiesas judikatūrā nav vērtēts jautājums, vai administratīvos sodus un tiem pielīdzināmus sodus (sankcijas) ir jānosaka tieši likumdevējam. Tomēr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sk.: Satversmes tiesas 2015. gada 8. aprīļa sprieduma lietā Nr. 2014-34-01 11.3. punkts; Satversmes tiesas 2003. gada 29. oktobra sprieduma lietā Nr. 2003-05-01 29. punkts</w:t>
            </w:r>
            <w:r w:rsidR="00000000" w:rsidRPr="00000000" w:rsidDel="00000000">
              <w:rPr>
                <w:rtl w:val="0"/>
              </w:rPr>
              <w:t xml:space="preserve">). Turklāt Latvijas tiesību sistēmā sodi par noziedzīgiem nodarījumiem, administratīvajiem pārkāpumiem un tiem pielīdzināmiem pārkāpumiem un to piemērošanas kritēriji pamatā tiek noteikti tieši likumos (izņēmums ir administratīvie pārkāpumi pašvaldību saistošajos noteikumos likumā noteiktajos gadījumos). Likumā ir skaidri noteikti piemērojamo sodu veidi, ierobežots to apmērs un noteikti citi piemērošanas kritēriji, bet pašvaldību saistošajos noteikumos likumā noteiktajos gadījumos ir pieļaujams paredzēt administratīvos pārkāpumus un konkrētus par tiem piemērojamos sodus. Arī Vācijas Federālā konstitucionālā tiesa ir atzinusi, ka tieši likumdevējam ir jānosaka, par kādu rīcību personu var sodīt un kāds sods var tikt noteikts. Ar izpildvaras izdotiem normatīviem aktiem šo regulējumu drīkst tikai precizēt. Ievērojot iepriekš minētos argumentus, Augstākā tiesa ir atzinusi, ka atbilstoši Latvijas Republikas Satversmes 1. un 64. pantam Ministru kabineta noteikumos sodu noteikt varētu tikai tad, ja likumā ir noteikts skaidrs deleģējums tam, turklāt likumdevējs pats ir izlēmis gan to, par ko personu var sodīt, gan arī to, kādus sodus var paredzēt (</w:t>
            </w:r>
            <w:r w:rsidR="00000000" w:rsidRPr="00000000" w:rsidDel="00000000">
              <w:rPr>
                <w:i w:val="1"/>
                <w:rtl w:val="0"/>
              </w:rPr>
              <w:t xml:space="preserve">Augstākās tiesas Administratīvo lietu departamenta 2017. gada 5. jūlija sprieduma lietā Nr. SKA-48/2017 9. punkts</w:t>
            </w:r>
            <w:r w:rsidR="00000000" w:rsidRPr="00000000" w:rsidDel="00000000">
              <w:rPr>
                <w:rtl w:val="0"/>
              </w:rPr>
              <w:t xml:space="preserve">). Šajā Augstākās tiesas spriedumā gan nebija nepieciešams vērtēt, vai konkrētajā gadījumā šādu pilnvarojumu, ievērojot Latvijas tiesību sistēmas tradīcijas, likumdevējs vispār varētu paredzēt.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adresātam jābūt iespējai paredzēt valsts atbildes reakciju uz tiesību pārkāpumiem. Likumdevējs ir izpildījis savu pienākumu, ja normas adresāts var novērtēt draudošā soda apmēru, bet tiesību piemērotājs – noteikt atbilstošu sodu. Likumdevējam nepieciešams pieņemt lēmumu par iespējamo juridisko seku veidu un apmēru un iespējami precīzi noteikt ietvarus, kuros tiesību piemērotājam jārīkojas. Jo smagāks ir draudošais sods, jo vairāk likumdevējam ir pienākums sniegt vadlīnijas, kas padara sankciju paredzamu, un normas adresātu informēt par gaidāmo sodu. Jābūt noteiktām soda robežām, kurās parasti norādīts minimālais un maksimālais sods. Tāpat nepieciešams, lai likumdevējs norādītu kritērijus, pēc kuriem tiesību piemērotājam jāvadās, izvēloties soda veidu un apmēru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103.-104.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sodi un to piemērošanas jautājumi ir jāregulē likumdevējam. Tam, ka šobrīd jau pastāv līdzīgs regulējums, nav izšķirošas nozīmes.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nav pieļaujams regulēt naudas soda noteikšanas kritējus, atbrīvošanas no soda vai tā samazināšanas gadījumus, atbildību pastiprinošus vai mīkstinošus apstākļus un tamlīdzīgus soda piemērošanā būtiskus jautājumus. Ja nepieciešams, projektā varētu regulēt, piemēram, pieteikuma par dalību iecietības programmā aprites tehniska rakstura jautājumus un, iespējams, gada apgrozījuma noteikšanas kārtību. Tāpat iestādei ir tiesības izdot iekšējos normatīvos aktus (ieteikumus, instrukcijas), ja tas nepieciešams, lai nodrošinātu likuma piemērošanu un vienveidīgu rīcību vienādos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TM iebildumā norādīta, ka sodi un to piemērošanas jautājumi ir jāregulē likumdevējam un Noteikumu projektā nav pieļaujams regulēt naudas soda noteikšanas kritējus, atbrīvošanas no soda vai tā samazināšanas gadījumus, atbildību pastiprinošus vai mīkstinošus apstākļus un tamlīdzīgus soda piemērošanā būtiskus jautājumus.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Iebildums ir konceptuāls, bet Noteikumu projekts tiek virzīts, lai ieviestu ECN+ direktīvu, kuras regulējums neskar un mērķis nav radīt šādas izmaiņas</w:t>
            </w:r>
            <w:r w:rsidR="00000000" w:rsidRPr="00000000" w:rsidDel="00000000">
              <w:rPr>
                <w:rtl w:val="0"/>
              </w:rPr>
              <w:t xml:space="preserve">. Attiecīgi konkrētajā gadījumā ir nevietā grozīt sistēmu, kas gadiem darbojas un nav radījusi konceptuālus sarežģījumus.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jautājums ir apspriests ar TM pārstāvjiem 12.07. sanāksmes laikā un panākta vienošanās.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Izdoti saskaņā ar </w:t>
            </w:r>
            <w:r w:rsidR="00000000" w:rsidRPr="00000000" w:rsidDel="00000000">
              <w:rPr>
                <w:rtl w:val="0"/>
              </w:rPr>
              <w:t xml:space="preserve">Konkurences likuma</w:t>
            </w:r>
            <w:r w:rsidR="00000000" w:rsidRPr="00000000" w:rsidDel="00000000">
              <w:rPr>
                <w:rtl w:val="0"/>
              </w:rPr>
              <w:t xml:space="preserve"> 8.</w:t>
            </w:r>
            <w:r w:rsidR="00000000" w:rsidRPr="00000000" w:rsidDel="00000000">
              <w:rPr>
                <w:vertAlign w:val="superscript"/>
                <w:rtl w:val="0"/>
              </w:rPr>
              <w:t xml:space="preserve">1</w:t>
            </w:r>
            <w:r w:rsidR="00000000" w:rsidRPr="00000000" w:rsidDel="00000000">
              <w:rPr>
                <w:rtl w:val="0"/>
              </w:rPr>
              <w:t xml:space="preserve"> panta astoto daļu, 9.</w:t>
            </w:r>
            <w:r w:rsidR="00000000" w:rsidRPr="00000000" w:rsidDel="00000000">
              <w:rPr>
                <w:vertAlign w:val="superscript"/>
                <w:rtl w:val="0"/>
              </w:rPr>
              <w:t xml:space="preserve">4</w:t>
            </w:r>
            <w:r w:rsidR="00000000" w:rsidRPr="00000000" w:rsidDel="00000000">
              <w:rPr>
                <w:rtl w:val="0"/>
              </w:rPr>
              <w:t xml:space="preserve"> panta trešo daļu, 12. panta piekto daļu, 12.</w:t>
            </w:r>
            <w:r w:rsidR="00000000" w:rsidRPr="00000000" w:rsidDel="00000000">
              <w:rPr>
                <w:vertAlign w:val="superscript"/>
                <w:rtl w:val="0"/>
              </w:rPr>
              <w:t xml:space="preserve">1 </w:t>
            </w:r>
            <w:r w:rsidR="00000000" w:rsidRPr="00000000" w:rsidDel="00000000">
              <w:rPr>
                <w:rtl w:val="0"/>
              </w:rPr>
              <w:t xml:space="preserve">panta septīto daļu, 14. panta ceturto daļu un 14.</w:t>
            </w:r>
            <w:r w:rsidR="00000000" w:rsidRPr="00000000" w:rsidDel="00000000">
              <w:rPr>
                <w:vertAlign w:val="superscript"/>
                <w:rtl w:val="0"/>
              </w:rPr>
              <w:t xml:space="preserve">2</w:t>
            </w:r>
            <w:r w:rsidR="00000000" w:rsidRPr="00000000" w:rsidDel="00000000">
              <w:rPr>
                <w:rtl w:val="0"/>
              </w:rPr>
              <w:t xml:space="preserve"> panta ceturto daļu, 14.</w:t>
            </w:r>
            <w:r w:rsidR="00000000" w:rsidRPr="00000000" w:rsidDel="00000000">
              <w:rPr>
                <w:vertAlign w:val="superscript"/>
                <w:rtl w:val="0"/>
              </w:rPr>
              <w:t xml:space="preserve">3</w:t>
            </w:r>
            <w:r w:rsidR="00000000" w:rsidRPr="00000000" w:rsidDel="00000000">
              <w:rPr>
                <w:rtl w:val="0"/>
              </w:rPr>
              <w:t xml:space="preserve"> panta piekto daļu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Negodīgas tirdzniecības prakses aizlieguma likuma</w:t>
            </w:r>
            <w:r w:rsidR="00000000" w:rsidRPr="00000000" w:rsidDel="00000000">
              <w:rPr>
                <w:rtl w:val="0"/>
              </w:rPr>
              <w:t xml:space="preserve"> </w:t>
            </w:r>
            <w:r w:rsidR="00000000" w:rsidRPr="00000000" w:rsidDel="00000000">
              <w:rPr>
                <w:rtl w:val="0"/>
              </w:rPr>
              <w:t xml:space="preserve"> 8. panta ceturto daļu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Piespiedu naudu aprēķina procentos no tirgus dalībnieka pēdējā noslēgtā pārskata (finanšu) gada neto apgrozījuma pirms pārkāpuma konstatēšanas dienas. Ja pārkāpums izdarīts lietā par iespējamo Eiropas Savienības konkurences tiesību pārkāpumu, piespiedu naudu aprēķina procentos no tirgus dalībnieka pēdējā noslēgtā pārskata (finanšu) gada neto apgrozījuma pasaulē pirms pārkāpuma konstatēšanas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Gada pārskatu un konsolidēto gada pārskatu likumu (turpmāk – GPKGPL) peļņas vai zaudējumu aprēķins ir finanšu pārskata sastāvdaļa, kurā norāda sabiedrības ieņēmumus un izmaksas, kā arī pārskata gadā iegūto peļņu vai radušos zaudējumus (GPKGPL 9.panta ceturtā daļa). Peļņas vai zaudējumu aprēķinu sagatavo, pamatojoties uz GPKGPL 2. vai 3.pielikumā noteikto shēmu (GPKGPL 10.panta otrā daļa), kuros ir atsevišķs  postenis “Neto apgrozījums”, kas ir ieņēmumi no produkcijas vai preču pārdošanas un pakalpojumu sniegšanas, no kuriem atskaitīta tirdzniecības atlaide un citas piešķirtās atlaides, kā arī pievienotās vērtības nodoklis un citi nodokļi, kas tieši saistīti ar apgrozījumu (GPKGPL 41.panta pirmā daļa).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GPKGPL noteikts, ka pie noteiktiem uzņēmuma kritērijiem, gada pārskatu var sagatavot saskaņā ar starptautiskajiem grāmatvedības standartiem (turpmāk – SGS). Vēršam uzmanību, ka SGS netiek lietots “neto apgrozījums”.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noteikumu projektā (3., 3</w:t>
            </w:r>
            <w:r w:rsidR="00000000" w:rsidRPr="00000000" w:rsidDel="00000000">
              <w:rPr>
                <w:vertAlign w:val="superscript"/>
                <w:rtl w:val="0"/>
              </w:rPr>
              <w:t xml:space="preserve">1</w:t>
            </w:r>
            <w:r w:rsidR="00000000" w:rsidRPr="00000000" w:rsidDel="00000000">
              <w:rPr>
                <w:rtl w:val="0"/>
              </w:rPr>
              <w:t xml:space="preserve"> un 3</w:t>
            </w:r>
            <w:r w:rsidR="00000000" w:rsidRPr="00000000" w:rsidDel="00000000">
              <w:rPr>
                <w:vertAlign w:val="superscript"/>
                <w:rtl w:val="0"/>
              </w:rPr>
              <w:t xml:space="preserve">2) </w:t>
            </w:r>
            <w:r w:rsidR="00000000" w:rsidRPr="00000000" w:rsidDel="00000000">
              <w:rPr>
                <w:rtl w:val="0"/>
              </w:rPr>
              <w:t xml:space="preserve">noteikt, kā tiks noteikts finanšu gada neto apgrozījums, no kura aprēķina naudas sodu vai piespiedu naudu, tiem  uzņēmumiem, kas gada pārskatu sagatavo saskaņā ar SGS.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turpmāk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Gadījumos, ja tirgus dalībnieka gatavotie finanšu gada pārskati tiek sagatavoti saskaņā ar starptautiskajiem grāmatvedības standartiem, tad naudas sods tiek aprēķināts no ieņēmumiem no produkcijas vai preču pārdošanas un pakalpojumu sniegšanas, no kuriem atskaitīta tirdzniecības atlaide un citas piešķirtās atlaides, kā arī pievienotās vērtības nodoklis un citi nodokļi, kas tieši saistīti ar apgrozījumu, t.i. analoģiski Gada pārskatu un konsolidēto gada pārskatu likuma 41. panta pirmajā daļā noteiktajiem ieņēmumiem</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2</w:t>
            </w:r>
            <w:r w:rsidR="00000000" w:rsidRPr="00000000" w:rsidDel="00000000">
              <w:rPr>
                <w:rtl w:val="0"/>
              </w:rPr>
              <w:t xml:space="preserve"> Piespiedu naudu aprēķina procentos no tirgus dalībnieka pēdējā noslēgtā finanšu gada vidējā vienas dienas neto apgrozījuma pirms pārkāpuma konstatēšanas dienas par katru dienu līdz tiesiskā pienākuma izpildei. Ja pārkāpums izdarīts lietā par iespējamo Eiropas Savienības konkurences tiesību pārkāpumu, piespiedu naudu aprēķina procentos no tirgus dalībnieka pēdējā noslēgtā finanšu gada vidējā vienas dienas kopējā neto apgrozījuma pasaulē pirms pārkāpuma konstatēšanas dienas par katru dienu līdz tiesiskā pienākuma izpildei.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Ja kopš pārkāpuma izbeigšanas pagājuši vairāk nekā pieci gadi un pārkāpums nav atstājis būtiskas negatīvas sekas tirgū, Konkurences padome var uzlikt naudas sodu 350 euro apmērā.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šāda veida regulējuma atbilstību noilgumam. Pat ja likumā nav noteikti konkrētu sodoša rakstura administratīvo sankciju piemērošanas noilguma termiņi, tiesiskās drošības princips, neskatoties uz likuma regulējumu, ierobežo iestādes tiesības piemērot sankcijas (</w:t>
            </w:r>
            <w:r w:rsidR="00000000" w:rsidRPr="00000000" w:rsidDel="00000000">
              <w:rPr>
                <w:i w:val="1"/>
                <w:rtl w:val="0"/>
              </w:rPr>
              <w:t xml:space="preserve">Danovskis E. Sodu tiesību principu nozīme administratīvajās tiesībās. Grām.: Autoru kolektīvs. Juridisko personu publiski tiesiskā atbildība. Rīga: LU Akadēmiskais apgāds, 2018, 139.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Noteikumos ieviestais 11.</w:t>
            </w:r>
            <w:r w:rsidR="00000000" w:rsidRPr="00000000" w:rsidDel="00000000">
              <w:rPr>
                <w:vertAlign w:val="superscript"/>
                <w:rtl w:val="0"/>
              </w:rPr>
              <w:t xml:space="preserve">3</w:t>
            </w:r>
            <w:r w:rsidR="00000000" w:rsidRPr="00000000" w:rsidDel="00000000">
              <w:rPr>
                <w:rtl w:val="0"/>
              </w:rPr>
              <w:t xml:space="preserve"> punkts ir tikai </w:t>
            </w:r>
            <w:r w:rsidR="00000000" w:rsidRPr="00000000" w:rsidDel="00000000">
              <w:rPr>
                <w:u w:val="single"/>
                <w:rtl w:val="0"/>
              </w:rPr>
              <w:t xml:space="preserve">tehnisks grozījums</w:t>
            </w:r>
            <w:r w:rsidR="00000000" w:rsidRPr="00000000" w:rsidDel="00000000">
              <w:rPr>
                <w:rtl w:val="0"/>
              </w:rPr>
              <w:t xml:space="preserve">. Proti, šī nav ar Noteikumu grozījumiem jaunieviesta norma. Minētā norma ir vienkārši pārcelta no Noteikumu 25. punkta, saglabājot normas redakciju pilnībā. Minētais darīts ar mērķi, lai šajā tiesību normā ietvertais noteikums naudas soda apmēra noteikšanai tiktu attiecināts gan uz nacionāliem konkurences tiesību pārkāpumiem, gan iespējamiem Eiropas Savienības konkurences tiesību pārkāpumiem. Iepriekš šī norma bija attiecināma uz nacionālajiem konkurences tiesību pārkāpumiem jau kopš Noteikumu spēkā stāšanās brīža 01.04.2016. Jebkādi iebildumi par šīs normas saturu nav saņemti ne laikā, kad šie noteikumi tika pieņemti, ne piemērošanas laikā. Arī Augstākā tiesa, vērtējot šīs normas tiesiskumu, nav konstatējusi neatbilstību Latvijas tiesību sistēmai. Vēl jo vairāk – konkrētie Noteikumu grozījumi ir paredzēti ar mērķi ieviest ECN+ direktīvas noteikumus, nevis apspriest jau Noteikumos šobrīd pastāvošās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jautājums ir apspriests ar TM pārstāvjiem 12.07. sanāksmes laikā un panākta vienošanās. Papildināta ir anotācija ar attiecīgu izvērtējumu.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r w:rsidR="00000000" w:rsidRPr="00000000" w:rsidDel="00000000">
              <w:rPr>
                <w:vertAlign w:val="superscript"/>
                <w:rtl w:val="0"/>
              </w:rPr>
              <w:t xml:space="preserve">3</w:t>
            </w:r>
            <w:r w:rsidR="00000000" w:rsidRPr="00000000" w:rsidDel="00000000">
              <w:rPr>
                <w:rtl w:val="0"/>
              </w:rPr>
              <w:t xml:space="preserve"> Ja kopš pārkāpuma izbeigšanas pagājuši vairāk nekā pieci gadi un pārkāpums nav atstājis būtiskas negatīvas sekas tirgū, Konkurences padome var uzlikt naudas sodu 350 euro apmērā.</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Nosakot naudas soda apmēru, ņem vērā pārkāpuma smagumu un ilgumu.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nosakot naudas soda apmēru, ņem vērā pārkāpuma smagumu un ilgumu. Lūdzam izvērtēt šāda regulējuma atbilstību sodu tiesībās raksturīgajiem soda piemērošanas kritērijiem. Pamatā būtu jābūt vienotai sodu piemērošanas sistēmai, ja vien nav īpaša pamatojuma konkrētajā jomā paredzēt atšķirīgus kritērijus.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Piemēram, Krimināllikuma 46. panta otrajā un trešajā daļā noteikts, ka, nosakot soda veidu, ņem vērā izdarītā noziedzīgā nodarījuma raksturu un radīto kaitējumu, kā arī vainīgā personību, bet, nosakot soda mēru, ņem vērā atbildību mīkstinošos un pastiprinošos apstākļus. Savukārt Administratīvās atbildības likuma 19. panta otrajā daļā ietverts vēl precīzāks soda piemērošanas kritēriju uzskaitījums, proti, nosakot administratīvā soda veidu un mēru, ņem vērā izdarītā pārkāpuma raksturu, pie atbildības saucamās personas personību (juridiskajai personai – reputāciju), mantisko stāvokli, pārkāpuma izdarīšanas apstākļus, atbildību mīkstinošos un pastiprinošos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izmantots apzīmējums "pārkāpuma smagums" ("pārkāpuma smaguma pakāpe"), lai gan nav skaidri saprotams, kas ar to tieši domāts un kādā veidā tiek noteikta pārkāpuma veida saistība ar pārkāpuma smaguma pakāpi. Tāpat projektā nav ievērota konsekvence kritēriju uzskaitījumā (sal. projektā paredzēto grozāmo noteikumu 12., 25.</w:t>
            </w:r>
            <w:r w:rsidR="00000000" w:rsidRPr="00000000" w:rsidDel="00000000">
              <w:rPr>
                <w:vertAlign w:val="superscript"/>
                <w:rtl w:val="0"/>
              </w:rPr>
              <w:t xml:space="preserve">1</w:t>
            </w:r>
            <w:r w:rsidR="00000000" w:rsidRPr="00000000" w:rsidDel="00000000">
              <w:rPr>
                <w:rtl w:val="0"/>
              </w:rPr>
              <w:t xml:space="preserve"> un 25.</w:t>
            </w:r>
            <w:r w:rsidR="00000000" w:rsidRPr="00000000" w:rsidDel="00000000">
              <w:rPr>
                <w:vertAlign w:val="superscript"/>
                <w:rtl w:val="0"/>
              </w:rPr>
              <w:t xml:space="preserve">12</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Mainot esošos naudas soda apmēra noteikšanas kritērijus (pārkāpuma smagumu un ilgumu), tiktu radītas konceptuālas izmaiņas esošajā naudas soda noteikšanas kārtībā, kam nav ne praktiskas, ne judikatūras nepieciešamības un kas turklāt neizriet no ECN+ direktīvas prasībām. Tieši pretēji – TM vēlme naudas sodu noteikšanas kritērijus konkurences tiesībās salāgot ar krimināltiesībās un administratīvo pārkāpumu lietās raksturīgajiem kritērijiem soda noteikšanā ir </w:t>
            </w:r>
            <w:r w:rsidR="00000000" w:rsidRPr="00000000" w:rsidDel="00000000">
              <w:rPr>
                <w:u w:val="single"/>
                <w:rtl w:val="0"/>
              </w:rPr>
              <w:t xml:space="preserve">pretrunā ar ECN+ direktīvas 14. panta 1. punktu</w:t>
            </w:r>
            <w:r w:rsidR="00000000" w:rsidRPr="00000000" w:rsidDel="00000000">
              <w:rPr>
                <w:rtl w:val="0"/>
              </w:rPr>
              <w:t xml:space="preserve">, kas nosaka, ka dalībvalstis nodrošina, lai valsts konkurences iestādes, nosakot naudas soda apmēru, kas jāuzliek par Līguma par Eiropas Savienības darbību (turpmāk – LESD) 101. vai 102. panta pārkāpumu, </w:t>
            </w:r>
            <w:r w:rsidR="00000000" w:rsidRPr="00000000" w:rsidDel="00000000">
              <w:rPr>
                <w:u w:val="single"/>
                <w:rtl w:val="0"/>
              </w:rPr>
              <w:t xml:space="preserve">ņemtu vērā gan pārkāpuma smagumu (</w:t>
            </w:r>
            <w:r w:rsidR="00000000" w:rsidRPr="00000000" w:rsidDel="00000000">
              <w:rPr>
                <w:i w:val="1"/>
                <w:u w:val="single"/>
                <w:rtl w:val="0"/>
              </w:rPr>
              <w:t xml:space="preserve">gravity</w:t>
            </w:r>
            <w:r w:rsidR="00000000" w:rsidRPr="00000000" w:rsidDel="00000000">
              <w:rPr>
                <w:u w:val="single"/>
                <w:rtl w:val="0"/>
              </w:rPr>
              <w:t xml:space="preserve">), gan tā ilgumu (</w:t>
            </w:r>
            <w:r w:rsidR="00000000" w:rsidRPr="00000000" w:rsidDel="00000000">
              <w:rPr>
                <w:i w:val="1"/>
                <w:u w:val="single"/>
                <w:rtl w:val="0"/>
              </w:rPr>
              <w:t xml:space="preserve">duration</w:t>
            </w:r>
            <w:r w:rsidR="00000000" w:rsidRPr="00000000" w:rsidDel="00000000">
              <w:rPr>
                <w:u w:val="single"/>
                <w:rtl w:val="0"/>
              </w:rPr>
              <w:t xml:space="preserve">)</w:t>
            </w:r>
            <w:r w:rsidR="00000000" w:rsidRPr="00000000" w:rsidDel="00000000">
              <w:rPr>
                <w:rtl w:val="0"/>
              </w:rPr>
              <w:t xml:space="preserve">. Uz nepieciešamību naudas soda piemērošanā ņemt vērā pārkāpuma smaguma pakāpi un ilgumu, ir norādes arī ECN+ direktīvas preambulas 47. un 48. apsvērumos.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judikatūrā nepastāv neskaidrības par pārkāpuma smaguma noteikšanas kritērijiem vai pārkāpumu veidu atbilstību konkrētai smaguma pakāpei. Pārkāpuma smaguma ietvars attīstījies konkurences tiesību piemērošanas laikā un praktisku problēmu tā noteikšanā nepastāv, tādēļ nav pamats mainīt šo konceptu un izveidojušos vienveidīgo praksi.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atbilstoši TM aicinājumam ir precizēts Noteikumu  12. un 25.</w:t>
            </w:r>
            <w:r w:rsidR="00000000" w:rsidRPr="00000000" w:rsidDel="00000000">
              <w:rPr>
                <w:vertAlign w:val="superscript"/>
                <w:rtl w:val="0"/>
              </w:rPr>
              <w:t xml:space="preserve">1</w:t>
            </w:r>
            <w:r w:rsidR="00000000" w:rsidRPr="00000000" w:rsidDel="00000000">
              <w:rPr>
                <w:rtl w:val="0"/>
              </w:rPr>
              <w:t xml:space="preserve"> punkts, lai ievērotu vienotu pieju kritēriju uzskaitījumā. Atbilstoši TM aicinājumam anotācijā ir ietverts arī papildus skaidrojums par kritēriju piemērojamību.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 minētais jautājums ir apspriests ar TM pārstāvjiem  5.07. sanāksmes laikā un panākta vienošanās.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Nosakot naudas soda apmēru, ņem vērā pārkāpuma smagumu, ilgumu, atbildību mīkstinošos un pastiprinošos apstākļus.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9</w:t>
            </w:r>
            <w:r w:rsidR="00000000" w:rsidRPr="00000000" w:rsidDel="00000000">
              <w:rPr>
                <w:rtl w:val="0"/>
              </w:rPr>
              <w:t xml:space="preserve">1.8. pret konkurenci vērsto rīcību ir atļāvušas vai veicinājušas valsts iestādes vai tiesiskais regulējums;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Projektā paredzēts, ka Konkurences padome var samazināt naudas soda apmēru, ja "pret konkurenci vērsto rīcību ir atļāvušas vai veicinājušas valsts iestādes vai tiesiskais regulējums". Lai arī līdzīgs kritērijs ir atrodams, piemēram, Pamatnostādnēs naudas soda aprēķināšanai, piemērojot Regulas Nr. 1/2003 23. panta 2. punkta a) apakšpunktu, tas rada jautājumus par šādas pieejas atbilstību tiesiskās paļāvības principam. Anotācijā būtu nepieciešams skaidrojums, kā šādā gadījumā tiek nodrošināta tiesiskās paļāvības principa ievērošana.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anotācijā jau ir ietverts skaidrojums par šī apakšpunkta saturu un EST praksē konstatētajiem šādas darbības kritērijiem, kas ļauj tirgus dalībniekiem saprast, kādas valsts iestāžu darbības vai tiesiskais regulējums varēja ietekmēt viņu veikto konkurences tiesību pārkāpumu.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pats izpētes process KP dot iespēju tirgus dalībniekiem iespēju izteikties par visiem būtiskajiem apstākļiem, kas ietekmēja viņu rīcību tirgū (tai skaitā, norādīt uz valsts iestāžu līdzdarbību vai tiesiskā regulējuma trūkumiem). Attiecīgi KP būtu pienākums veikt šo apstākļu izpēti un novērtējumu. Pat ja teorētiski KP nepiekristu tirgus dalībnieka viedoklim un atsaucei uz Noteikumu 25.9. 1.8. apakšpunktu, tas neatņem tirgus dalībnieka tiesības pārsūdzēt KP lēmumu administratīvajā apgabaltiesā un panākt naudas soda samazinājumu. Jebkurā gadījumā KP nevar</w:t>
            </w:r>
            <w:r w:rsidR="00000000" w:rsidRPr="00000000" w:rsidDel="00000000">
              <w:rPr>
                <w:i w:val="1"/>
                <w:rtl w:val="0"/>
              </w:rPr>
              <w:t xml:space="preserve"> ex-ante</w:t>
            </w:r>
            <w:r w:rsidR="00000000" w:rsidRPr="00000000" w:rsidDel="00000000">
              <w:rPr>
                <w:rtl w:val="0"/>
              </w:rPr>
              <w:t xml:space="preserve"> norādīt konkrētus mehānismus kā tiks piemērots iepriekšminētais apakšpunkts praksē, taču jau pašreizējais KL process un tiesiskais regulējums ļauj ne tikai  tirgus dalībniekam norādīt uz visiem viņam zināmajiem apstākļiem, kas ietekmēja iespējamo konkurences tiesību pārkāpumu, bet arī panākt KP lēmuma tiesiskuma un pamatotības pārbaudi tiesā, kas arī būs galīgais tiesiskās paļāvības principa ievērošanas verifikācijas mehānisms.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r w:rsidR="00000000" w:rsidRPr="00000000" w:rsidDel="00000000">
              <w:rPr>
                <w:vertAlign w:val="superscript"/>
                <w:rtl w:val="0"/>
              </w:rPr>
              <w:t xml:space="preserve">9</w:t>
            </w:r>
            <w:r w:rsidR="00000000" w:rsidRPr="00000000" w:rsidDel="00000000">
              <w:rPr>
                <w:rtl w:val="0"/>
              </w:rPr>
              <w:t xml:space="preserve">1.8. pret konkurenci vērsto rīcību ir atļāvušas vai veicinājušas valsts iestādes vai tiesiskais regulējums;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Ja Eiropas Komisija saņem pilnu pieteikumu un Konkurences padome saņem pieteikuma kopsavilkumu par iecietības programmas vienošanos, Eiropas Komisija laikposmā, kamēr tiek izlemts, vai Eiropas Komisija rīkosies attiecībā uz visu lietu vai tās daļu, ir galvenā iestāde saziņai ar pieteikuma iesniedzēju, jo īpaši sniedzot pieteikuma iesniedzējam norādījumus par to, kā veicama turpmāka iekšējā izmeklēšana. Šajā laikposmā Eiropas Komisija pēc Konkurences padomes pieprasījuma to informē par pieteikuma virzību.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nodrošināt korektu </w:t>
            </w:r>
            <w:r w:rsidR="00000000" w:rsidRPr="00000000" w:rsidDel="00000000">
              <w:rPr>
                <w:i w:val="1"/>
                <w:rtl w:val="0"/>
              </w:rPr>
              <w:t xml:space="preserve">Eiropas Parlamenta un Padomes 2018. gada 11. decembra direktīvas 2019/1/ES par apstākļu nodrošināšanu nolūkā dot dalībvalstu konkurences iestādēm iespēju efektīvāk izpildīt konkurences noteikumus un par iekšējā tirgus pienācīgas darbības nodrošināšanu</w:t>
            </w:r>
            <w:r w:rsidR="00000000" w:rsidRPr="00000000" w:rsidDel="00000000">
              <w:rPr>
                <w:rtl w:val="0"/>
              </w:rPr>
              <w:t xml:space="preserve"> 22. panta 3.punkta pirmās rindkopas pārņemšanu. Saskaņā ar minēto direktīvas normu, “</w:t>
            </w:r>
            <w:r w:rsidR="00000000" w:rsidRPr="00000000" w:rsidDel="00000000">
              <w:rPr>
                <w:i w:val="1"/>
                <w:rtl w:val="0"/>
              </w:rPr>
              <w:t xml:space="preserve">Ja Komisija saņem pilnu pieteikumu un valsts konkurences iestādes saņem kopsavilkuma pieteikumus attiecībā uz iespējamo slepeno karteli, Komisija laikposmā, kamēr noskaidrojas, vai Komisija rīkosies attiecībā uz visu šo lietu vai tās daļu, ir galvenā iestāde saziņai ar pieteikuma iesniedzēju, jo īpaši sniedzot viņam norādījumus par to, kā jāveic jebkāda turpmāka iekšējā izmeklēšana. Šajā laikposmā Komisija pēc attiecīgo valsts konkurences iestāžu pieprasījuma informē tās par pašreizējo stāvokli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šī direktīvas norma nosaka </w:t>
            </w:r>
            <w:r w:rsidR="00000000" w:rsidRPr="00000000" w:rsidDel="00000000">
              <w:rPr>
                <w:u w:val="single"/>
                <w:rtl w:val="0"/>
              </w:rPr>
              <w:t xml:space="preserve">Eiropas Komisijas</w:t>
            </w:r>
            <w:r w:rsidR="00000000" w:rsidRPr="00000000" w:rsidDel="00000000">
              <w:rPr>
                <w:rtl w:val="0"/>
              </w:rPr>
              <w:t xml:space="preserve"> kompetenci un rīcību ar pieteikumiem par iespējamu slepeno karteli (iecietības programmas vienošanos), un šādas Eiropas Komisijas tiesības vai pienākumi nav nosakāmi nacionālajos normatīvajos aktos. Ievērojot minēto, lūdzam precizēt projektu, ietverot tajā tikai tādu direktīvas 22. panta trešā punkta pirmās rindkopas pārņemšanai nepieciešamu regulējumu, kas attiecas uz Konkurences padomes vai pieteikuma iesniedzēja darbību.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43.</w:t>
            </w:r>
            <w:r w:rsidR="00000000" w:rsidRPr="00000000" w:rsidDel="00000000">
              <w:rPr>
                <w:vertAlign w:val="superscript"/>
                <w:rtl w:val="0"/>
              </w:rPr>
              <w:t xml:space="preserve">2</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43.</w:t>
            </w:r>
            <w:r w:rsidR="00000000" w:rsidRPr="00000000" w:rsidDel="00000000">
              <w:rPr>
                <w:i w:val="1"/>
                <w:vertAlign w:val="superscript"/>
                <w:rtl w:val="0"/>
              </w:rPr>
              <w:t xml:space="preserve">2</w:t>
            </w:r>
            <w:r w:rsidR="00000000" w:rsidRPr="00000000" w:rsidDel="00000000">
              <w:rPr>
                <w:i w:val="1"/>
                <w:rtl w:val="0"/>
              </w:rPr>
              <w:t xml:space="preserve"> Ja Eiropas Komisija saņem pilnu pieteikumu un Konkurences padome saņem pieteikuma kopsavilkumu par iecietības programmas vienošanos, Eiropas Komisija laikposmā, kamēr tiek izlemts, vai Eiropas Komisija rīkosies attiecībā uz visu lietu vai tās daļu, ir galvenā iestāde saziņai ar pieteikuma iesniedzēju</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r w:rsidR="00000000" w:rsidRPr="00000000" w:rsidDel="00000000">
              <w:rPr>
                <w:vertAlign w:val="superscript"/>
                <w:rtl w:val="0"/>
              </w:rPr>
              <w:t xml:space="preserve">2</w:t>
            </w:r>
            <w:r w:rsidR="00000000" w:rsidRPr="00000000" w:rsidDel="00000000">
              <w:rPr>
                <w:rtl w:val="0"/>
              </w:rPr>
              <w:t xml:space="preserve"> Ja Eiropas Komisija saņem pilnu pieteikumu un Konkurences padome saņem pieteikuma kopsavilkumu par iecietības programmas vienošanos, Eiropas Komisija laikposmā, kamēr tiek izlemts, vai Eiropas Komisija rīkosies attiecībā uz visu lietu vai tās daļu, ir galvenā iestāde saziņai ar pieteikuma iesniedzēju.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Izteikt 3.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9. punktā ietvertajā Noteikumu 3. punktā ietverta atsauce uz Noteikumu 1.1., 1.2., 1.2.</w:t>
            </w:r>
            <w:r w:rsidR="00000000" w:rsidRPr="00000000" w:rsidDel="00000000">
              <w:rPr>
                <w:vertAlign w:val="superscript"/>
                <w:rtl w:val="0"/>
              </w:rPr>
              <w:t xml:space="preserve">1</w:t>
            </w:r>
            <w:r w:rsidR="00000000" w:rsidRPr="00000000" w:rsidDel="00000000">
              <w:rPr>
                <w:rtl w:val="0"/>
              </w:rPr>
              <w:t xml:space="preserve">, 1.3. un 1.5. apakšpunktā minētajiem pārkāpumiem. Vēršam uzmanību, ka uzskaitītajos Noteikumu apakšpunktos nav minēti pārkāpumi, tajos ir ietverta atsauce uz Konkurences likuma un Negodīgas tirdzniecības prakses aizlieguma likuma pantos minētajiem pārkāpumiem. Ņemot vērā minēto, lūdzam projekta 9. punktā ietvertajā Noteikumu 3. punktā paredzēt atsauces uz Konkurences likuma un Negodīgas tirdzniecības prakses aizlieguma likuma attiecīgajiem pantiem vai nosaukt konkrētus pārkāpumus.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3. Naudas sodu par Konkurences likuma 9.</w:t>
            </w:r>
            <w:r w:rsidR="00000000" w:rsidRPr="00000000" w:rsidDel="00000000">
              <w:rPr>
                <w:i w:val="1"/>
                <w:vertAlign w:val="superscript"/>
                <w:rtl w:val="0"/>
              </w:rPr>
              <w:t xml:space="preserve">4</w:t>
            </w:r>
            <w:r w:rsidR="00000000" w:rsidRPr="00000000" w:rsidDel="00000000">
              <w:rPr>
                <w:i w:val="1"/>
                <w:rtl w:val="0"/>
              </w:rPr>
              <w:t xml:space="preserve"> panta pirmajā daļā, 11. panta pirmajā daļā, 13. un 14.</w:t>
            </w:r>
            <w:r w:rsidR="00000000" w:rsidRPr="00000000" w:rsidDel="00000000">
              <w:rPr>
                <w:i w:val="1"/>
                <w:vertAlign w:val="superscript"/>
                <w:rtl w:val="0"/>
              </w:rPr>
              <w:t xml:space="preserve">1</w:t>
            </w:r>
            <w:r w:rsidR="00000000" w:rsidRPr="00000000" w:rsidDel="00000000">
              <w:rPr>
                <w:i w:val="1"/>
                <w:rtl w:val="0"/>
              </w:rPr>
              <w:t xml:space="preserve"> pantā un Negodīgas tirdzniecības prakses aizlieguma likuma 5. un 6. pantā paredzēto pārkāpumu aprēķina procentos no tirgus dalībnieka pēdējā noslēgtā pārskata (finanšu) gada neto apgrozījuma pirms pārkāpuma konstatēšanas dienas.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Papildināt ar 3.</w:t>
            </w:r>
            <w:r w:rsidR="00000000" w:rsidRPr="00000000" w:rsidDel="00000000">
              <w:rPr>
                <w:vertAlign w:val="superscript"/>
                <w:rtl w:val="0"/>
              </w:rPr>
              <w:t xml:space="preserve">1</w:t>
            </w:r>
            <w:r w:rsidR="00000000" w:rsidRPr="00000000" w:rsidDel="00000000">
              <w:rPr>
                <w:rtl w:val="0"/>
              </w:rPr>
              <w:t xml:space="preserve"> 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10. punktā ietvertajā Noteikumu 3.</w:t>
            </w:r>
            <w:r w:rsidR="00000000" w:rsidRPr="00000000" w:rsidDel="00000000">
              <w:rPr>
                <w:vertAlign w:val="superscript"/>
                <w:rtl w:val="0"/>
              </w:rPr>
              <w:t xml:space="preserve">1</w:t>
            </w:r>
            <w:r w:rsidR="00000000" w:rsidRPr="00000000" w:rsidDel="00000000">
              <w:rPr>
                <w:rtl w:val="0"/>
              </w:rPr>
              <w:t xml:space="preserve"> punktā ietverta atsauce uz Noteikumu 1.1., 1.2. un 1.5. apakšpunktā minētajiem pārkāpumiem. Vēršam uzmanību, ka uzskaitītajos Noteikumu apakšpunktos nav minēti pārkāpumi, tajos ir ietverta atsauce uz Konkurences likuma pantos minētajiem pārkāpumiem. Ņemot vērā minēto, lūdzam projekta 10. punktā ietvertajā Noteikumu 3.</w:t>
            </w:r>
            <w:r w:rsidR="00000000" w:rsidRPr="00000000" w:rsidDel="00000000">
              <w:rPr>
                <w:vertAlign w:val="superscript"/>
                <w:rtl w:val="0"/>
              </w:rPr>
              <w:t xml:space="preserve">1</w:t>
            </w:r>
            <w:r w:rsidR="00000000" w:rsidRPr="00000000" w:rsidDel="00000000">
              <w:rPr>
                <w:rtl w:val="0"/>
              </w:rPr>
              <w:t xml:space="preserve"> punktā paredzēt atsauces uz Konkurences likuma attiecīgajiem pantiem vai nosaukt konkrētus pārkāpumus.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3.</w:t>
            </w:r>
            <w:r w:rsidR="00000000" w:rsidRPr="00000000" w:rsidDel="00000000">
              <w:rPr>
                <w:i w:val="1"/>
                <w:vertAlign w:val="superscript"/>
                <w:rtl w:val="0"/>
              </w:rPr>
              <w:t xml:space="preserve">1</w:t>
            </w:r>
            <w:r w:rsidR="00000000" w:rsidRPr="00000000" w:rsidDel="00000000">
              <w:rPr>
                <w:i w:val="1"/>
                <w:rtl w:val="0"/>
              </w:rPr>
              <w:t xml:space="preserve"> Ja Konkurences likuma 9.</w:t>
            </w:r>
            <w:r w:rsidR="00000000" w:rsidRPr="00000000" w:rsidDel="00000000">
              <w:rPr>
                <w:i w:val="1"/>
                <w:vertAlign w:val="superscript"/>
                <w:rtl w:val="0"/>
              </w:rPr>
              <w:t xml:space="preserve">4</w:t>
            </w:r>
            <w:r w:rsidR="00000000" w:rsidRPr="00000000" w:rsidDel="00000000">
              <w:rPr>
                <w:i w:val="1"/>
                <w:rtl w:val="0"/>
              </w:rPr>
              <w:t xml:space="preserve"> panta pirmajā daļā, 11. panta pirmajā daļā un 13. pantā paredzētais pārkāpums izdarīts lietā par iespējamo Eiropas Savienības konkurences tiesību pārkāpumu, naudas sodu aprēķina procentos no tirgus dalībnieka pēdējā noslēgtā pārskata (finanšu) gada neto apgrozījuma pasaulē pirms pārkāpuma konstatēšanas dienas</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Papildināt ar II</w:t>
            </w:r>
            <w:r w:rsidR="00000000" w:rsidRPr="00000000" w:rsidDel="00000000">
              <w:rPr>
                <w:vertAlign w:val="superscript"/>
                <w:rtl w:val="0"/>
              </w:rPr>
              <w:t xml:space="preserve">1</w:t>
            </w:r>
            <w:r w:rsidR="00000000" w:rsidRPr="00000000" w:rsidDel="00000000">
              <w:rPr>
                <w:rtl w:val="0"/>
              </w:rPr>
              <w:t xml:space="preserve">.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skaidrot anotācijā, kā tiks noteikts pārkāpuma ilgums, ja pārkāpuma ilgums pārsniedz vienu gadu. Proti, vai projekta 17. punktā ietvertais 25.</w:t>
            </w:r>
            <w:r w:rsidR="00000000" w:rsidRPr="00000000" w:rsidDel="00000000">
              <w:rPr>
                <w:vertAlign w:val="superscript"/>
                <w:rtl w:val="0"/>
              </w:rPr>
              <w:t xml:space="preserve">6</w:t>
            </w:r>
            <w:r w:rsidR="00000000" w:rsidRPr="00000000" w:rsidDel="00000000">
              <w:rPr>
                <w:rtl w:val="0"/>
              </w:rPr>
              <w:t xml:space="preserve"> punkts paredz, ka gadījumā, ja, piemēram, pārkāpuma ilgums būs 17 mēneši, tad pārkāpuma ilgums tiks noteikts pēc principa, ka tas ir viens gads, bet nav seši mēneši, tāpēc naudas soda aprēķināšanā tiks uzskatīts, ka pārkāpuma ilgums ir viens gads un seši mēneši, savukārt ja, piemēram, pārkāpuma ilgums būtu 20 mēneši – tiktu uzskatīts, ka pārkāpuma ilgums ir divi gadi.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ir ietverts skaidrojums, kā tiks noteikts pārkāpuma ilgums, ja tas pārsniedz vienu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i w:val="1"/>
                <w:rtl w:val="0"/>
              </w:rPr>
              <w:t xml:space="preserve">MK projektā paredzētajā Noteikumu 25.</w:t>
            </w:r>
            <w:r w:rsidR="00000000" w:rsidRPr="00000000" w:rsidDel="00000000">
              <w:rPr>
                <w:i w:val="1"/>
                <w:vertAlign w:val="superscript"/>
                <w:rtl w:val="0"/>
              </w:rPr>
              <w:t xml:space="preserve">6</w:t>
            </w:r>
            <w:r w:rsidR="00000000" w:rsidRPr="00000000" w:rsidDel="00000000">
              <w:rPr>
                <w:i w:val="1"/>
                <w:rtl w:val="0"/>
              </w:rPr>
              <w:t xml:space="preserve"> punktā ir noteikts, ka, nosakot pārkāpuma ilgumu, ievēro turpmāk minētos nosacījumus: ja pārkāpuma ilgums nepārsniedz sešus mēnešus, to aprēķina par sešiem mēnešiem, savukārt, ja pārkāpums ilgst vairāk par sešiem mēnešiem, bet nepārsniedz gadu, to aprēķina par gadu.</w:t>
            </w:r>
            <w:r w:rsidR="00000000" w:rsidRPr="00000000" w:rsidDel="00000000">
              <w:rPr>
                <w:i w:val="1"/>
                <w:rtl w:val="0"/>
              </w:rPr>
              <w:t xml:space="preserve">Lai arī Noteikumos nav reglamentēta kārtībā, kā būtu nosakāms (aprēķināms) pārkāpuma ilgums situācijās, kur konstatētais pārkāpums ilgst vairāk par gadu, norādāms, ka Noteikumu 25.</w:t>
            </w:r>
            <w:r w:rsidR="00000000" w:rsidRPr="00000000" w:rsidDel="00000000">
              <w:rPr>
                <w:i w:val="1"/>
                <w:vertAlign w:val="superscript"/>
                <w:rtl w:val="0"/>
              </w:rPr>
              <w:t xml:space="preserve">6 </w:t>
            </w:r>
            <w:r w:rsidR="00000000" w:rsidRPr="00000000" w:rsidDel="00000000">
              <w:rPr>
                <w:i w:val="1"/>
                <w:rtl w:val="0"/>
              </w:rPr>
              <w:t xml:space="preserve">punktā minētie nosacījumi pārkāpuma ilguma noteikšanai sistēmiski pēc analoģiska principa būtu piemērojami arī gadījumos, kur pārkāpums konstatēts par ilgāku laika periodu. Proti, naudas soda aprēķināšanai nosakāmais pārkāpuma ilgums tiek pārskatīts un palielināts ik pēc sešiem mēnešiem, ievērojot Noteikumu 25.</w:t>
            </w:r>
            <w:r w:rsidR="00000000" w:rsidRPr="00000000" w:rsidDel="00000000">
              <w:rPr>
                <w:i w:val="1"/>
                <w:vertAlign w:val="superscript"/>
                <w:rtl w:val="0"/>
              </w:rPr>
              <w:t xml:space="preserve">6</w:t>
            </w:r>
            <w:r w:rsidR="00000000" w:rsidRPr="00000000" w:rsidDel="00000000">
              <w:rPr>
                <w:i w:val="1"/>
                <w:rtl w:val="0"/>
              </w:rPr>
              <w:t xml:space="preserve"> punktā minēto nosacījumu par mēnešu skaita noapaļošanu uz augšu. Piemēram, ja konstatētais pārkāpums ilgs 17 mēnešus (gads un pieci mēneši), tad naudas soda aprēķināšanā tiks uzskatīts, ka pārkāpuma ilgums ir viens gads un seši mēneši, savukārt ja, piemēram, konstatētais pārkāpuma ilgums būtu 20 mēneši – tiktu uzskatīts, ka pārkāpuma ilgums ir divi gadi.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likuma 12.</w:t>
            </w:r>
            <w:r w:rsidR="00000000" w:rsidRPr="00000000" w:rsidDel="00000000">
              <w:rPr>
                <w:vertAlign w:val="superscript"/>
                <w:rtl w:val="0"/>
              </w:rPr>
              <w:t xml:space="preserve">1</w:t>
            </w:r>
            <w:r w:rsidR="00000000" w:rsidRPr="00000000" w:rsidDel="00000000">
              <w:rPr>
                <w:rtl w:val="0"/>
              </w:rPr>
              <w:t xml:space="preserve"> panta septītā daļa pilnvaro Ministru kabinetu noteikt kārtību, kādā Konkurences padome iecietības programmas ietvaros atbrīvo no naudas soda un samazina naudas sodu, kā arī prasības iecietības programmas dalībniekiem. Atbilstoši pilnvarojumam noformulēts arī Noteikumu 1.4. apakšpunkts, kurš saturiski ar Projektu netiek grozīts. Vienlaikus Likumprojekta 14. pants paredz grozījumus Konkurences likuma 12.</w:t>
            </w:r>
            <w:r w:rsidR="00000000" w:rsidRPr="00000000" w:rsidDel="00000000">
              <w:rPr>
                <w:vertAlign w:val="superscript"/>
                <w:rtl w:val="0"/>
              </w:rPr>
              <w:t xml:space="preserve">1</w:t>
            </w:r>
            <w:r w:rsidR="00000000" w:rsidRPr="00000000" w:rsidDel="00000000">
              <w:rPr>
                <w:rtl w:val="0"/>
              </w:rPr>
              <w:t xml:space="preserve"> pantā, lietojot vārdu savienojumu "iecietības programmas vienošanās", taču pilnvarojošā norma netiek grozīta. Ņemot vērā minēto, lūdzam izvērtēt nepieciešamību precizēt Likumprojekta 14. pantu, ja precīzāk ir lietot vārdus "iecietības programmas vienošanās", nevis vārdus "iecietības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Projekta 19. punktā ietvertajā Noteikumu III nodaļā tiek lietots termins "pieteikums", "pilnais pieteikums", "pieteikuma kopsavilkums". Pilnais pieteikums un pieteikuma kopsavilkums ir noteikts dokuments un par tā lietojumu un nozīmi ir skaidrība, taču projekta 19. punktā ietvertajā Noteikumu III nodaļā ir ietverts regulējums par pieteikumu par atbrīvošanu no naudas soda un pieteikumu par naudas soda samazināšanu. Attiecībā uz pieteikumu par atbrīvošanu no naudas soda un pieteikumu par naudas soda samazināšanu ne vienmēr ir skaidrs, kurš pieteikuma veids ir domāts, ņemot vērā to, ka projekta 19. punktā ietvertās Noteikumu III nodaļas tekstā vairākkārtīgi tiek lietots termins "pieteikums". Ņemot vērā minēto, lūdzam pārskatīt projekta 19. punktā ietvertās Noteikumu III nodaļas tekstu, precizējot termina "pieteikums" lietojumu.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Sagatavojot Likumprojektu izskatīšanai 3.lasījumā, EM ir iesniegusi priekšlikumu, kas paredz  papildināt Konkurences likuma 12.</w:t>
            </w:r>
            <w:r w:rsidR="00000000" w:rsidRPr="00000000" w:rsidDel="00000000">
              <w:rPr>
                <w:vertAlign w:val="superscript"/>
                <w:rtl w:val="0"/>
              </w:rPr>
              <w:t xml:space="preserve">1</w:t>
            </w:r>
            <w:r w:rsidR="00000000" w:rsidRPr="00000000" w:rsidDel="00000000">
              <w:rPr>
                <w:rtl w:val="0"/>
              </w:rPr>
              <w:t xml:space="preserve"> panta septīto daļu pēc vārdiem “prasības iecietības programmas” ar vārdu “vienošanās”, tādējādi nodrošinot vienotas terminoloģijas izmantošanu Konkurences likumā (visā 12.</w:t>
            </w:r>
            <w:r w:rsidR="00000000" w:rsidRPr="00000000" w:rsidDel="00000000">
              <w:rPr>
                <w:vertAlign w:val="superscript"/>
                <w:rtl w:val="0"/>
              </w:rPr>
              <w:t xml:space="preserve">1</w:t>
            </w:r>
            <w:r w:rsidR="00000000" w:rsidRPr="00000000" w:rsidDel="00000000">
              <w:rPr>
                <w:rtl w:val="0"/>
              </w:rPr>
              <w:t xml:space="preserve"> pantā), t.i., “iecietības programmas vienošanās”. Attiecīgi precizēts ir arī Noteikumu 1.4.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Pārskatīts ir arī Projektā ietvertās Noteikumu III nodaļas teksts, precizējot termina "pieteikums" lietojumu.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ietvertajā Noteikumu 31. punktā lūdzam vārdu "rakstisku" aizstāt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ietvertajā Noteikumu 37.</w:t>
            </w:r>
            <w:r w:rsidR="00000000" w:rsidRPr="00000000" w:rsidDel="00000000">
              <w:rPr>
                <w:vertAlign w:val="superscript"/>
                <w:rtl w:val="0"/>
              </w:rPr>
              <w:t xml:space="preserve">1</w:t>
            </w:r>
            <w:r w:rsidR="00000000" w:rsidRPr="00000000" w:rsidDel="00000000">
              <w:rPr>
                <w:rtl w:val="0"/>
              </w:rPr>
              <w:t xml:space="preserve"> punktā ietverta atsauce uz Noteikumu 31. punktā minēto pieprasījumu. Vēršam uzmanību, ka Noteikumu 31. punktā ir minēts pieteikums, savukārt pieprasījums minēts Noteikumu 31.</w:t>
            </w:r>
            <w:r w:rsidR="00000000" w:rsidRPr="00000000" w:rsidDel="00000000">
              <w:rPr>
                <w:vertAlign w:val="superscript"/>
                <w:rtl w:val="0"/>
              </w:rPr>
              <w:t xml:space="preserve">1</w:t>
            </w:r>
            <w:r w:rsidR="00000000" w:rsidRPr="00000000" w:rsidDel="00000000">
              <w:rPr>
                <w:rtl w:val="0"/>
              </w:rPr>
              <w:t xml:space="preserve"> punktā. Ņemot vērā minēto, lūdzam precizēt projekta 19. punktā ietvertajā Noteikumu 37.</w:t>
            </w:r>
            <w:r w:rsidR="00000000" w:rsidRPr="00000000" w:rsidDel="00000000">
              <w:rPr>
                <w:vertAlign w:val="superscript"/>
                <w:rtl w:val="0"/>
              </w:rPr>
              <w:t xml:space="preserve">1</w:t>
            </w:r>
            <w:r w:rsidR="00000000" w:rsidRPr="00000000" w:rsidDel="00000000">
              <w:rPr>
                <w:rtl w:val="0"/>
              </w:rPr>
              <w:t xml:space="preserve"> punktā paredzēto atsauci uz Noteikumu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Izteikt III nodaļu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ietvertajā Noteikumu 42. punktā lūdzam vārdu "rakstisku" aizstāt ar vārdu "rakstveida".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1.1. apakšsadaļu, ņemot vērā to, ka projekta izstrādes pamatojums ir arī Konkurences likuma 14.</w:t>
            </w:r>
            <w:r w:rsidR="00000000" w:rsidRPr="00000000" w:rsidDel="00000000">
              <w:rPr>
                <w:vertAlign w:val="superscript"/>
                <w:rtl w:val="0"/>
              </w:rPr>
              <w:t xml:space="preserve">3</w:t>
            </w:r>
            <w:r w:rsidR="00000000" w:rsidRPr="00000000" w:rsidDel="00000000">
              <w:rPr>
                <w:rtl w:val="0"/>
              </w:rPr>
              <w:t xml:space="preserve"> panta piektā daļa.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4.1. apakšsadaļu "Saistītie tiesību aktu projekti". Vēršam uzmanību, ka Ministru kabineta noteikumos ietveramais regulējums izriet no likumos noteiktā, tādējādi vispirms ir veicami grozījumi attiecīgajā likumā un tikai tad izrietošie grozījumi Ministru kabineta noteikumos. Tādējādi grozījumi likumā nevar būt saistītais tiesību akta projekts grozījumiem Ministru kabineta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4.1.apakšsadaļa ir precizēta.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nosaka naudas sodu par konkurences tiesību un negodīgas tirdzniecības prakses aizlieguma pārkāpumiem un piespiedu naudu par Konkurences padomes noteiktā tiesiskā pienākuma nepildīšanu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2022. gada 12. jūlija sanāksmē panākto vienošanos, Tieslietu ministrija neizteiks iebildumus par šā projekta tālāku virzību, neskatoties uz turpmāk norādītajiem apsvērumiem par Ministru kabineta kompetenci sodu tiesību jomā. Tomēr lūdzam Ekonomikas ministriju izvērtēt grozījumu nepieciešamību Konkurences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pats attiecas arī uz spēkā esošajiem Ministru kabineta 2014. gada 23. decembra noteikumiem Nr. 839 "Kārtība, kādā nosaka soda naudas apmēru elektroenerģijas un dabasgāzes apgādē", Elektroenerģijas tirgus likumu un Enerģētikas likumu.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Naudas sods par konkurences tiesību vai negodīgas tirdzniecības prakses aizlieguma pārkāpumiem ir administratīvajai atbildībai līdzīgs piespiedu ietekmēšanas līdzeklis (</w:t>
            </w:r>
            <w:r w:rsidR="00000000" w:rsidRPr="00000000" w:rsidDel="00000000">
              <w:rPr>
                <w:i w:val="1"/>
                <w:rtl w:val="0"/>
              </w:rPr>
              <w:t xml:space="preserve">Briede J., Danovskis E., Kovaļevska A. Administratīvās tiesības. Rīga: Tiesu namu aģentūra, 2021, 215.</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 jeb krimināltiesiska (sodoša) rakstura administratīva sankcija.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šim Satversmes tiesas judikatūrā nav vērtēts jautājums, vai administratīvos sodus un tiem pielīdzināmus sodus (sankcijas) ir jānosaka tieši likumdevējam. Tomēr Satversmes tiesa ir atzinusi, ka sankciju noteikšana par noziedzīgu nodarījumu ir saistīta ar demokrātijas un tiesiskuma izpratni valstī, tādējādi sankciju noteikšana kā politisks jautājums ir likumdevēja kompetencē (</w:t>
            </w:r>
            <w:r w:rsidR="00000000" w:rsidRPr="00000000" w:rsidDel="00000000">
              <w:rPr>
                <w:i w:val="1"/>
                <w:rtl w:val="0"/>
              </w:rPr>
              <w:t xml:space="preserve">sk.: Satversmes tiesas 2015.</w:t>
            </w:r>
            <w:r w:rsidR="00000000" w:rsidRPr="00000000" w:rsidDel="00000000">
              <w:rPr>
                <w:rtl w:val="0"/>
              </w:rPr>
              <w:t xml:space="preserve"> </w:t>
            </w:r>
            <w:r w:rsidR="00000000" w:rsidRPr="00000000" w:rsidDel="00000000">
              <w:rPr>
                <w:i w:val="1"/>
                <w:rtl w:val="0"/>
              </w:rPr>
              <w:t xml:space="preserve">gada 8.</w:t>
            </w:r>
            <w:r w:rsidR="00000000" w:rsidRPr="00000000" w:rsidDel="00000000">
              <w:rPr>
                <w:rtl w:val="0"/>
              </w:rPr>
              <w:t xml:space="preserve"> </w:t>
            </w:r>
            <w:r w:rsidR="00000000" w:rsidRPr="00000000" w:rsidDel="00000000">
              <w:rPr>
                <w:i w:val="1"/>
                <w:rtl w:val="0"/>
              </w:rPr>
              <w:t xml:space="preserve">aprīļa sprieduma lietā Nr.</w:t>
            </w:r>
            <w:r w:rsidR="00000000" w:rsidRPr="00000000" w:rsidDel="00000000">
              <w:rPr>
                <w:rtl w:val="0"/>
              </w:rPr>
              <w:t xml:space="preserve"> </w:t>
            </w:r>
            <w:r w:rsidR="00000000" w:rsidRPr="00000000" w:rsidDel="00000000">
              <w:rPr>
                <w:i w:val="1"/>
                <w:rtl w:val="0"/>
              </w:rPr>
              <w:t xml:space="preserve">2014-34-01 11.3.</w:t>
            </w:r>
            <w:r w:rsidR="00000000" w:rsidRPr="00000000" w:rsidDel="00000000">
              <w:rPr>
                <w:rtl w:val="0"/>
              </w:rPr>
              <w:t xml:space="preserve"> </w:t>
            </w:r>
            <w:r w:rsidR="00000000" w:rsidRPr="00000000" w:rsidDel="00000000">
              <w:rPr>
                <w:i w:val="1"/>
                <w:rtl w:val="0"/>
              </w:rPr>
              <w:t xml:space="preserve">punkts; Satversmes tiesas 2003.</w:t>
            </w:r>
            <w:r w:rsidR="00000000" w:rsidRPr="00000000" w:rsidDel="00000000">
              <w:rPr>
                <w:rtl w:val="0"/>
              </w:rPr>
              <w:t xml:space="preserve"> </w:t>
            </w:r>
            <w:r w:rsidR="00000000" w:rsidRPr="00000000" w:rsidDel="00000000">
              <w:rPr>
                <w:i w:val="1"/>
                <w:rtl w:val="0"/>
              </w:rPr>
              <w:t xml:space="preserve">gada 29.</w:t>
            </w:r>
            <w:r w:rsidR="00000000" w:rsidRPr="00000000" w:rsidDel="00000000">
              <w:rPr>
                <w:rtl w:val="0"/>
              </w:rPr>
              <w:t xml:space="preserve"> </w:t>
            </w:r>
            <w:r w:rsidR="00000000" w:rsidRPr="00000000" w:rsidDel="00000000">
              <w:rPr>
                <w:i w:val="1"/>
                <w:rtl w:val="0"/>
              </w:rPr>
              <w:t xml:space="preserve">oktobra sprieduma lietā Nr.</w:t>
            </w:r>
            <w:r w:rsidR="00000000" w:rsidRPr="00000000" w:rsidDel="00000000">
              <w:rPr>
                <w:rtl w:val="0"/>
              </w:rPr>
              <w:t xml:space="preserve"> </w:t>
            </w:r>
            <w:r w:rsidR="00000000" w:rsidRPr="00000000" w:rsidDel="00000000">
              <w:rPr>
                <w:i w:val="1"/>
                <w:rtl w:val="0"/>
              </w:rPr>
              <w:t xml:space="preserve">2003-05-01 29.</w:t>
            </w:r>
            <w:r w:rsidR="00000000" w:rsidRPr="00000000" w:rsidDel="00000000">
              <w:rPr>
                <w:rtl w:val="0"/>
              </w:rPr>
              <w:t xml:space="preserve"> </w:t>
            </w:r>
            <w:r w:rsidR="00000000" w:rsidRPr="00000000" w:rsidDel="00000000">
              <w:rPr>
                <w:i w:val="1"/>
                <w:rtl w:val="0"/>
              </w:rPr>
              <w:t xml:space="preserve">punkts</w:t>
            </w:r>
            <w:r w:rsidR="00000000" w:rsidRPr="00000000" w:rsidDel="00000000">
              <w:rPr>
                <w:rtl w:val="0"/>
              </w:rPr>
              <w:t xml:space="preserve">). Turklāt Latvijas tiesību sistēmā sodi par noziedzīgiem nodarījumiem, administratīvajiem pārkāpumiem un tiem pielīdzināmiem pārkāpumiem un to piemērošanas kritēriji pamatā tiek noteikti tieši likumos (izņēmums ir administratīvie pārkāpumi pašvaldību saistošajos noteikumos likumā noteiktajos gadījumos). Likumā ir skaidri noteikti piemērojamo sodu veidi, ierobežots to apmērs un noteikti citi piemērošanas kritēriji, bet pašvaldību saistošajos noteikumos likumā noteiktajos gadījumos ir pieļaujams paredzēt administratīvos pārkāpumus un konkrētus par tiem piemērojamos sodus. Arī Vācijas Federālā konstitucionālā tiesa ir atzinusi, ka tieši likumdevējam ir jānosaka, par kādu rīcību personu var sodīt un kāds sods var tikt noteikts. Ar izpildvaras izdotiem normatīviem aktiem šo regulējumu drīkst tikai precizēt. Ievērojot iepriekš minētos argumentus, Augstākā tiesa ir atzinusi, ka atbilstoši Latvijas Republikas Satversmes 1. un 64. pantam Ministru kabineta noteikumos sodu noteikt varētu tikai tad, ja likumā ir noteikts skaidrs deleģējums tam, turklāt likumdevējs pats ir izlēmis gan to, par ko personu var sodīt, gan arī to, kādus sodus var paredzēt (</w:t>
            </w:r>
            <w:r w:rsidR="00000000" w:rsidRPr="00000000" w:rsidDel="00000000">
              <w:rPr>
                <w:i w:val="1"/>
                <w:rtl w:val="0"/>
              </w:rPr>
              <w:t xml:space="preserve">Augstākās tiesas Administratīvo lietu departamenta 2017.</w:t>
            </w:r>
            <w:r w:rsidR="00000000" w:rsidRPr="00000000" w:rsidDel="00000000">
              <w:rPr>
                <w:rtl w:val="0"/>
              </w:rPr>
              <w:t xml:space="preserve"> </w:t>
            </w:r>
            <w:r w:rsidR="00000000" w:rsidRPr="00000000" w:rsidDel="00000000">
              <w:rPr>
                <w:i w:val="1"/>
                <w:rtl w:val="0"/>
              </w:rPr>
              <w:t xml:space="preserve">gada 5.</w:t>
            </w:r>
            <w:r w:rsidR="00000000" w:rsidRPr="00000000" w:rsidDel="00000000">
              <w:rPr>
                <w:rtl w:val="0"/>
              </w:rPr>
              <w:t xml:space="preserve"> </w:t>
            </w:r>
            <w:r w:rsidR="00000000" w:rsidRPr="00000000" w:rsidDel="00000000">
              <w:rPr>
                <w:i w:val="1"/>
                <w:rtl w:val="0"/>
              </w:rPr>
              <w:t xml:space="preserve">jūlija sprieduma lietā Nr.</w:t>
            </w:r>
            <w:r w:rsidR="00000000" w:rsidRPr="00000000" w:rsidDel="00000000">
              <w:rPr>
                <w:rtl w:val="0"/>
              </w:rPr>
              <w:t xml:space="preserve"> </w:t>
            </w:r>
            <w:r w:rsidR="00000000" w:rsidRPr="00000000" w:rsidDel="00000000">
              <w:rPr>
                <w:i w:val="1"/>
                <w:rtl w:val="0"/>
              </w:rPr>
              <w:t xml:space="preserve">SKA-48/2017 9.</w:t>
            </w:r>
            <w:r w:rsidR="00000000" w:rsidRPr="00000000" w:rsidDel="00000000">
              <w:rPr>
                <w:rtl w:val="0"/>
              </w:rPr>
              <w:t xml:space="preserve"> </w:t>
            </w:r>
            <w:r w:rsidR="00000000" w:rsidRPr="00000000" w:rsidDel="00000000">
              <w:rPr>
                <w:i w:val="1"/>
                <w:rtl w:val="0"/>
              </w:rPr>
              <w:t xml:space="preserve">punkts</w:t>
            </w:r>
            <w:r w:rsidR="00000000" w:rsidRPr="00000000" w:rsidDel="00000000">
              <w:rPr>
                <w:rtl w:val="0"/>
              </w:rPr>
              <w:t xml:space="preserve">). Šajā Augstākās tiesas spriedumā gan nebija nepieciešams vērtēt, vai konkrētajā gadījumā šādu pilnvarojumu, ievērojot Latvijas tiesību sistēmas tradīcijas, likumdevējs vispār varētu paredzēt.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Normas adresātam jābūt iespējai paredzēt valsts atbildes reakciju uz tiesību pārkāpumiem. Likumdevējs ir izpildījis savu pienākumu, ja normas adresāts var novērtēt draudošā soda apmēru, bet tiesību piemērotājs – noteikt atbilstošu sodu. Likumdevējam nepieciešams pieņemt lēmumu par iespējamo juridisko seku veidu un apmēru un iespējami precīzi noteikt ietvarus, kuros tiesību piemērotājam jārīkojas. Jo smagāks ir draudošais sods, jo vairāk likumdevējam ir pienākums sniegt vadlīnijas, kas padara sankciju paredzamu, un normas adresātu informēt par gaidāmo sodu. Jābūt noteiktām soda robežām, kurās parasti norādīts minimālais un maksimālais sods. Tāpat nepieciešams, lai likumdevējs norādītu kritērijus, pēc kuriem tiesību piemērotājam jāvadās, izvēloties soda veidu un apmēru (</w:t>
            </w:r>
            <w:r w:rsidR="00000000" w:rsidRPr="00000000" w:rsidDel="00000000">
              <w:rPr>
                <w:i w:val="1"/>
                <w:rtl w:val="0"/>
              </w:rPr>
              <w:t xml:space="preserve">sal. Leja M. Krimināltiesību aktuālie jautājumi un to risinājumi Latvijā, Austrijā, Šveicē, Vācijā. Noziedzīga nodarījuma uzbūve; cēloņsakarība; vaina; krimināltiesību normu interpretācija un spēks laikā. I daļa. Rīga: Tiesu namu aģentūra, 2019, 103.-104.</w:t>
            </w:r>
            <w:r w:rsidR="00000000" w:rsidRPr="00000000" w:rsidDel="00000000">
              <w:rPr>
                <w:rtl w:val="0"/>
              </w:rPr>
              <w:t xml:space="preserve"> </w:t>
            </w:r>
            <w:r w:rsidR="00000000" w:rsidRPr="00000000" w:rsidDel="00000000">
              <w:rPr>
                <w:i w:val="1"/>
                <w:rtl w:val="0"/>
              </w:rPr>
              <w:t xml:space="preserve">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Līdz ar to sodi un to piemērošanas jautājumi ir jāregulē likumdevējam. Soda regulējums nav skatāms atrauti no tā piemērošanas kritērijiem. Tieši soda piemērošanas kritēriji noteic faktiski piemēroto sodu. Gan soda veids un apmērs, gan soda piemērošanas kritēriji "kā politisks jautājums ir likumdevēja kompetencē". Šie regulējamie jautājumi ir vienlīdz nozīmīgi un ietilpst to svarīgāko valsts un sabiedrības dzīves jautājumu kategorijā, kuri jāizlemj pašam likumdevējam. Tam, ka šobrīd jau pastāv līdzīgs regulējums, nav izšķirošas nozīmes.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projektā un grozāmajos noteikumos esošais regulējums, kas skar naudas soda noteikšanas kritējus, atbrīvošanas no soda vai tā samazināšanas gadījumus, atbildību pastiprinošus vai mīkstinošus apstākļus un tamlīdzīgus soda piemērošanā būtiskus jautājumus, iespējams, neatbilst Ministru kabineta kompetencei. Ministru kabinets šādu noteikumus nedrīkstētu pieņemt, un attiecīgi arī likumdevējs nedrīkstētu ietvert attiecīgu pilnvarojumu likumā. Šie jautājumi jāizlemj likumdevējam pašam. Iestādei savukārt ir tiesības izdot iekšējos normatīvos aktus (ieteikumus, instrukcijas), ja tas nepieciešams, lai nodrošinātu likuma piemērošanu un vienveidīgu rīcību vienādos gadījumos.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Vēl viens izvērtējams jautājums ir noilguma regulējums Konkurences likumā. Pat ja likumā nav noteikti konkrētu sodoša rakstura administratīvo sankciju piemērošanas noilguma termiņi, tiesiskās drošības princips, neskatoties uz likuma regulējumu, ierobežo iestādes tiesības piemērot sankcijas. Vienlaikus tiesiskās noteiktības interesēs (jo sevišķi no tautsaimniecības dalībnieku skatpunkta) noilguma regulējumu ir svarīgi normatīvi noteikt (</w:t>
            </w:r>
            <w:r w:rsidR="00000000" w:rsidRPr="00000000" w:rsidDel="00000000">
              <w:rPr>
                <w:i w:val="1"/>
                <w:rtl w:val="0"/>
              </w:rPr>
              <w:t xml:space="preserve">Danovskis E. Sodu tiesību principu nozīme administratīvajās tiesībās. Grām.: Autoru kolektīvs. Juridisko personu publiski tiesiskā atbildība. Rīga: LU Akadēmiskais apgāds, 2018, 139. lpp.</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Iepriekš minētais jautājums ir apspriests ar TM pārstāvjiem 12.07. sanāksmes laikā un panākta vienošanās, ka šobrīd grozījumi Konkurences likumā netiks izstrādāti.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konceptuāls, bet Noteikumu projekts tiek virzīts, lai ieviestu ECN+ direktīvu, kuras regulējums neskar un mērķis nav radīt šādas izmaiņas. Attiecīgi konkrētajā gadījumā ir nevietā grozīt sistēmu, kas gadiem darbojas un nav radījusi konceptuālus sarežģījumus.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līdz šim Satversmes tiesas judikatūrā nav vērtēts jautājums, vai administratīvos sodus un tiem pielīdzināmus sodus (sankcijas) ir jānosaka tieši likumdevējam. Naudas sodi par konkurences tiesību pārkāpumiem jau šobrīd tiek noteikti Konkurences likumā, savukārt, ne Satversmes tiesa, ne Augstākā tiesa nav tieši norādījusi, ka sodu noteikšanas kārtībai būtu jābūt regulētai tieši likumdevēja pieņemtā normatīvā aktā. Tieši pretēji, Augstākā tiesa vairākkārtīgi ir vērtējusi KP lēmumus, piemērojot Ministru kabineta noteikumus, kas regulē kārtību, kādā nosakāms sods par konkurences tiesību pārkāpumu. Augstākā tiesa nav konstatējusi vai norādījusi, ka veids, kā regulēta sodu noteikšanas kārtība konkurences tiesībās, neatbilstu Latvijas tiesību sistēmai.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Ekonomikas ministrija turpinās sekot līdzi tiesību normu piemērošanas praksei un judikatūrai Tieslietu ministrijas aktualizētajā jautājumā un nepieciešamības gadījumā izvērtēs priekšlikumu sgaatvošanu grozījumiem Konkurences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nosaka naudas sodu par konkurences tiesību un negodīgas tirdzniecības prakses aizlieguma pārkāpumiem un piespiedu naudu par Konkurences padomes noteiktā tiesiskā pienākuma nepildīšanu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nosaka naudas sodu par konkurences tiesību un negodīgas tirdzniecības prakses aizlieguma pārkāpumiem un piespiedu naudu par Konkurences padomes noteiktā tiesiskā pienākuma nepildīšanu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- 27.07.2022.)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2022. gada 12. jūlija sanāksmē panākto vienošanos, Tieslietu ministrija neizteiks iebildumus par projekta tālāku virzību, vienlaikus atkārtoti norādot, ka gadījumos, kad pilnvarojošā norma zaudē spēku, spēku zaudē uz attiecīgās normas pamata izdotie Ministru kabineta noteikumi. Noteikumu viens no izdošanas tiesiskajiem pamatiem ir Negodīgas mazumtirdzniecības prakses aizlieguma likuma 9. panta ceturtā daļa. Negodīgas mazumtirdzniecības prakses aizlieguma likums zaudēja spēku 2021. gada 1. novembrī, kad spēkā stājās Negodīgas tirdzniecības prakses aizlieguma likums. Tādējādi Noteikumos ietvertais regulējums, kas izrietēja no Negodīgas mazumtirdzniecības prakses aizlieguma likuma, ir zaudējis spēku 2021. gada 1. novembrī.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norādām, ka Konkurences likuma pārejas noteikumu 24. punkts nosaka, ka Konkurences likuma 8.</w:t>
            </w:r>
            <w:r w:rsidR="00000000" w:rsidRPr="00000000" w:rsidDel="00000000">
              <w:rPr>
                <w:vertAlign w:val="superscript"/>
                <w:rtl w:val="0"/>
              </w:rPr>
              <w:t xml:space="preserve">1</w:t>
            </w:r>
            <w:r w:rsidR="00000000" w:rsidRPr="00000000" w:rsidDel="00000000">
              <w:rPr>
                <w:rtl w:val="0"/>
              </w:rPr>
              <w:t xml:space="preserve"> panta astotā daļa, 9.</w:t>
            </w:r>
            <w:r w:rsidR="00000000" w:rsidRPr="00000000" w:rsidDel="00000000">
              <w:rPr>
                <w:vertAlign w:val="superscript"/>
                <w:rtl w:val="0"/>
              </w:rPr>
              <w:t xml:space="preserve">4</w:t>
            </w:r>
            <w:r w:rsidR="00000000" w:rsidRPr="00000000" w:rsidDel="00000000">
              <w:rPr>
                <w:rtl w:val="0"/>
              </w:rPr>
              <w:t xml:space="preserve"> panta trešā daļa un 14.</w:t>
            </w:r>
            <w:r w:rsidR="00000000" w:rsidRPr="00000000" w:rsidDel="00000000">
              <w:rPr>
                <w:vertAlign w:val="superscript"/>
                <w:rtl w:val="0"/>
              </w:rPr>
              <w:t xml:space="preserve">3</w:t>
            </w:r>
            <w:r w:rsidR="00000000" w:rsidRPr="00000000" w:rsidDel="00000000">
              <w:rPr>
                <w:rtl w:val="0"/>
              </w:rPr>
              <w:t xml:space="preserve"> panta piektā daļa stājas spēkā 2022. gada 1. novembrī. Līdz šajās tiesību normās minēto Ministru kabineta noteikumu spēkā stāšanās dienai, bet ne ilgāk kā līdz 2022. gada 31. oktobrim piemērojami Noteikumi, ciktāl tie nav pretrunā ar Konkurences likumu. No minētā izriet, ka izstrādājami jauni Ministru kabineta noteikumi, nevis grozījumi Noteikumos, jo, ja Noteikumos tiks veikti grozījumi, tie būtu jāpiemēro arī pēc 2022. gada 31. oktobra, kas no minētā pārejas noteikumu punkta neizriet.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atkārtoti aicinām izstrādāt jaunu Ministru kabineta noteikumu projektu, nevis grozījumus Noteikumos.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Iepriekš minētais jautājums ir apspriests ar TM pārstāvjiem 12.07. sanāksmes laikā un panākta vienošanās, ka jauns MK noteikumu projekts netiks izstrādāts, bet gan tiks veikti grozījumi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Oficiālo publikāciju un tiesiskās informācijas likuma 9.panta (5) daļā noteikts, ka “Ja spēku zaudē normatīvā akta izdošanas tiesiskais pamats (augstāka juridiska spēka tiesību norma, uz kuras pamata izdots cits normatīvais akts), tad spēku zaudē arī uz šā pamata izdotais normatīvais akts vai tā daļa.” Ņemot vērā iepriekš minēto, nav pamats uzskatīt, ka  pārizdodami būtu visi MK noteikumi, jo spēku zaudē tikai tās atsevišķās tiesību normas, ar kurām tiek noteikta naudas soda aprēķināšanas kārtība negodīgas tirdzniecības prakses pārkāpumu gadījumā. Attiecīgi netiek plānots izstrādāt jaunu Ministru kabineta noteikumu projektu, bet gan veikt grozījumus jau esošajos noteikumos.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norādāms, ka Konkurences likuma pārejas noteikumu 24.punkts nekādā veidā neierobežo Ministru kabinetu attiecībā uz formu, kādā regulējums tiek izstrādāts (grozījumi vai jauni MK noteikumi), lai izpildītu deleģēto uzdevumu.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Kārtība, kādā nosaka naudas sodu par konkurences tiesību un negodīgas tirdzniecības prakses aizlieguma pārkāpumiem un piespiedu naudu par Konkurences padomes noteiktā tiesiskā pienākuma nepildīšanu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nosaka finanšu gada neto apgrozījumu, no kura aprēķina naudas sodu par Konkurences likuma 9.</w:t>
            </w:r>
            <w:r w:rsidR="00000000" w:rsidRPr="00000000" w:rsidDel="00000000">
              <w:rPr>
                <w:vertAlign w:val="superscript"/>
                <w:rtl w:val="0"/>
              </w:rPr>
              <w:t xml:space="preserve">4</w:t>
            </w:r>
            <w:r w:rsidR="00000000" w:rsidRPr="00000000" w:rsidDel="00000000">
              <w:rPr>
                <w:rtl w:val="0"/>
              </w:rPr>
              <w:t xml:space="preserve"> panta pirmajā daļā paredzētajiem pārkāpumiem, un naudas soda apmēra noteikšanas kritērijus;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K noteikumu projekts paredz papildināt noteikumu tvērumu, t.sk. ar 1.5. un 1.7.apakšpunktu, nosakot, ka noteikumos tiks ietverta arī kārtība, kādā nosaka  </w:t>
            </w:r>
            <w:r w:rsidR="00000000" w:rsidRPr="00000000" w:rsidDel="00000000">
              <w:rPr>
                <w:u w:val="single"/>
                <w:rtl w:val="0"/>
              </w:rPr>
              <w:t xml:space="preserve">finanšu gada neto apgrozījumu,</w:t>
            </w:r>
            <w:r w:rsidR="00000000" w:rsidRPr="00000000" w:rsidDel="00000000">
              <w:rPr>
                <w:rtl w:val="0"/>
              </w:rPr>
              <w:t xml:space="preserve"> no kura aprēķina naudas sodu par Konkurences likuma 9.4 panta pirmajā daļā paredzētajiem pārkāpumiem, un naudas soda apmēra noteikšanas kritērijus un  kārtību, kādā nosaka finanšu gada neto apgrozījumu, no kura aprēķina piespiedu naudu, un piespiedu naudas apmēra noteikšanas kritērijus. Arī Konkurences likumā ir noteikts, ka  Ministru kabinets izdod noteikumus par kārtību, kādā nosaka finanšu gada neto apgrozījumu, no kura aprēķina soda naudu un piespiedu naudu.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Lūdzam noteikumu projektā un anotācijā lietoto terminu “pārskata (finanšu) gada neto apgrozījums” un  “pārskata gada neto apgrozījums” saskaņot ar Ministru kabinetam doto deleģējumu  - noteikt f</w:t>
            </w:r>
            <w:r w:rsidR="00000000" w:rsidRPr="00000000" w:rsidDel="00000000">
              <w:rPr>
                <w:u w:val="single"/>
                <w:rtl w:val="0"/>
              </w:rPr>
              <w:t xml:space="preserve">inanšu gada neto apgrozījumu</w:t>
            </w:r>
            <w:r w:rsidR="00000000" w:rsidRPr="00000000" w:rsidDel="00000000">
              <w:rPr>
                <w:rtl w:val="0"/>
              </w:rPr>
              <w:t xml:space="preserve">, kā arī anotācijā skaidrot, kas ir finanšu gads.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Precizēti Noteikumu tekstā lietotie termini, aizstājot "pārskata (finanšu) neto apgrozījums" ar "finanšu gada neto apgrozījums". Papildus anotācijā ir sniegts arī skaidrojums, ka ar Noteikumos lietoto jēdzienu “finanšu gads”  tiek saprasts “pārskata gads” Gada pārskatu un konsolidēto gada pārskatu likuma izpratnē.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kārtību, kādā nosaka finanšu gada neto apgrozījumu, no kura aprēķina naudas sodu par Konkurences likuma 9.</w:t>
            </w:r>
            <w:r w:rsidR="00000000" w:rsidRPr="00000000" w:rsidDel="00000000">
              <w:rPr>
                <w:vertAlign w:val="superscript"/>
                <w:rtl w:val="0"/>
              </w:rPr>
              <w:t xml:space="preserve">4</w:t>
            </w:r>
            <w:r w:rsidR="00000000" w:rsidRPr="00000000" w:rsidDel="00000000">
              <w:rPr>
                <w:rtl w:val="0"/>
              </w:rPr>
              <w:t xml:space="preserve"> panta pirmajā daļā paredzētajiem pārkāpumiem, un naudas soda apmēra noteikšanas kritērijus;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vēlākais uzreiz pēc iecietības pieteikuma iesniegšanas ir izbeidzis dalību iecietības programmas vienošanās, ja Konkurences padome nav noteikusi citādi, uzskatot, ka turpmāka līdzdalība iecietības programmas vienošanās ir pamatoti nepieciešama izmeklēšanas nolūkos;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- 28.03.2022.)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19. punktā ietvertajā Noteikumu III nodaļā, tostarp, 30.1.apakšpunktā, pārņemtas</w:t>
            </w:r>
            <w:r w:rsidR="00000000" w:rsidRPr="00000000" w:rsidDel="00000000">
              <w:rPr>
                <w:i w:val="1"/>
                <w:rtl w:val="0"/>
              </w:rPr>
              <w:t xml:space="preserve"> Eiropas Parlamenta un Padomes 2018. gada 11.</w:t>
            </w:r>
            <w:r w:rsidR="00000000" w:rsidRPr="00000000" w:rsidDel="00000000">
              <w:rPr>
                <w:rtl w:val="0"/>
              </w:rPr>
              <w:t xml:space="preserve"> </w:t>
            </w:r>
            <w:r w:rsidR="00000000" w:rsidRPr="00000000" w:rsidDel="00000000">
              <w:rPr>
                <w:i w:val="1"/>
                <w:rtl w:val="0"/>
              </w:rPr>
              <w:t xml:space="preserve">decembra direktīvas 2019/1/ES par apstākļu nodrošināšanu nolūkā dot dalībvalstu konkurences iestādēm iespēju efektīvāk izpildīt konkurences noteikumus un par iekšējā tirgus pienācīgas darbības nodrošināšanu</w:t>
            </w:r>
            <w:r w:rsidR="00000000" w:rsidRPr="00000000" w:rsidDel="00000000">
              <w:rPr>
                <w:rtl w:val="0"/>
              </w:rPr>
              <w:t xml:space="preserve"> 17. un 19. - 22.panta normas. Tiesiskās skaidrības nolūkos ierosinām pārskatīt projekta 19. punktā ietverto Noteikumu III nodaļu un veikt nepieciešamos precizējumus, lai nodrošinātu gan to, ka direktīvas normas tiek pārņemtas korekti (t.i., sasniedzot to mērķi), gan ievērojot Sagatavošanas noteikumu, it īpaši, to 2. punkta, prasības. Tai skaitā, nepieciešamības gadījumā lūdzam direktīvas pārņemšanā izmantot pārformulēšanas metodi, nodrošinot, ka projekta normas ir skaidras un ka tajās noteiktie personu un iestāžu pienākumi un tiesības ir viennozīmīgi saprotami.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attiecas arī uz citām projekta 19. punktā ietvertajām Noteikumu III nodaļas normām, it īpaši, 30.2.2.apakšpunktu, kā arī 31.</w:t>
            </w:r>
            <w:r w:rsidR="00000000" w:rsidRPr="00000000" w:rsidDel="00000000">
              <w:rPr>
                <w:vertAlign w:val="superscript"/>
                <w:rtl w:val="0"/>
              </w:rPr>
              <w:t xml:space="preserve">3</w:t>
            </w:r>
            <w:r w:rsidR="00000000" w:rsidRPr="00000000" w:rsidDel="00000000">
              <w:rPr>
                <w:rtl w:val="0"/>
              </w:rPr>
              <w:t xml:space="preserve"> , 43.</w:t>
            </w:r>
            <w:r w:rsidR="00000000" w:rsidRPr="00000000" w:rsidDel="00000000">
              <w:rPr>
                <w:vertAlign w:val="superscript"/>
                <w:rtl w:val="0"/>
              </w:rPr>
              <w:t xml:space="preserve">2</w:t>
            </w:r>
            <w:r w:rsidR="00000000" w:rsidRPr="00000000" w:rsidDel="00000000">
              <w:rPr>
                <w:rtl w:val="0"/>
              </w:rPr>
              <w:t xml:space="preserve">un 43.</w:t>
            </w:r>
            <w:r w:rsidR="00000000" w:rsidRPr="00000000" w:rsidDel="00000000">
              <w:rPr>
                <w:vertAlign w:val="superscript"/>
                <w:rtl w:val="0"/>
              </w:rPr>
              <w:t xml:space="preserve">5</w:t>
            </w:r>
            <w:r w:rsidR="00000000" w:rsidRPr="00000000" w:rsidDel="00000000">
              <w:rPr>
                <w:rtl w:val="0"/>
              </w:rPr>
              <w:t xml:space="preserve">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pārskatīts tiesiskais regulējums Noteikumu III nodaļā un veikti vairāki redakcionāli precizējumi, lai nodrošinātu tiesību normu skaidrāku piemērošanu.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 vēlākais uzreiz pēc iecietības pieteikuma iesniegšanas ir izbeidzis dalību iecietības programmas vienošanās, ja Konkurences padome nav noteikusi citādi, uzskatot, ka turpmāka līdzdalība iecietības programmas vienošanās ir pamatoti nepieciešama izmeklēšanas nolūkos;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22-TA-731</w:t>
    </w:r>
    <w:r>
      <w:br/>
    </w:r>
    <w:r w:rsidR="00000000" w:rsidRPr="00000000" w:rsidDel="00000000">
      <w:rPr>
        <w:rtl w:val="0"/>
      </w:rPr>
      <w:t xml:space="preserve">04.08.2022. 18.30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22-TA-731</w:t>
    </w:r>
    <w:r>
      <w:br/>
    </w:r>
    <w:r w:rsidR="00000000" w:rsidRPr="00000000" w:rsidDel="00000000">
      <w:rPr>
        <w:rtl w:val="0"/>
      </w:rPr>
      <w:t xml:space="preserve">04.08.2022. 18.30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Izziņa_22-TA-731.docx</dc:title>
</cp:coreProperties>
</file>

<file path=docProps/custom.xml><?xml version="1.0" encoding="utf-8"?>
<Properties xmlns="http://schemas.openxmlformats.org/officeDocument/2006/custom-properties" xmlns:vt="http://schemas.openxmlformats.org/officeDocument/2006/docPropsVTypes"/>
</file>