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387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969"/>
        <w:gridCol w:w="410"/>
        <w:gridCol w:w="2206"/>
      </w:tblGrid>
      <w:tr w:rsidR="00ED19DC" w14:paraId="3C3D01C8" w14:textId="77777777" w:rsidTr="002F4027">
        <w:trPr>
          <w:trHeight w:val="357"/>
        </w:trPr>
        <w:tc>
          <w:tcPr>
            <w:tcW w:w="675" w:type="dxa"/>
          </w:tcPr>
          <w:p w14:paraId="58F69B3F" w14:textId="77777777" w:rsidR="00C27521" w:rsidRDefault="00111314" w:rsidP="00C27521">
            <w:pPr>
              <w:spacing w:before="20"/>
              <w:ind w:right="-108"/>
            </w:pPr>
            <w:r w:rsidRPr="00C27521">
              <w:rPr>
                <w:rFonts w:ascii="Times New Roman" w:hAnsi="Times New Roman"/>
                <w:sz w:val="20"/>
              </w:rPr>
              <w:t>Rīgā</w:t>
            </w:r>
            <w:r>
              <w:rPr>
                <w:sz w:val="20"/>
              </w:rPr>
              <w:t>,</w:t>
            </w:r>
          </w:p>
        </w:tc>
        <w:tc>
          <w:tcPr>
            <w:tcW w:w="1969" w:type="dxa"/>
          </w:tcPr>
          <w:p w14:paraId="07AEB36E" w14:textId="77777777" w:rsidR="00C27521" w:rsidRPr="00E80A25" w:rsidRDefault="00111314" w:rsidP="00C27521">
            <w:pPr>
              <w:pBdr>
                <w:bottom w:val="single" w:sz="4" w:space="1" w:color="auto"/>
              </w:pBdr>
              <w:ind w:hanging="108"/>
              <w:rPr>
                <w:rFonts w:ascii="Times New Roman" w:hAnsi="Times New Roman"/>
              </w:rPr>
            </w:pPr>
            <w:r>
              <w:rPr>
                <w:noProof/>
              </w:rPr>
              <w:t>24.03.2022</w:t>
            </w:r>
            <w:r>
              <w:t>.</w:t>
            </w:r>
          </w:p>
        </w:tc>
        <w:tc>
          <w:tcPr>
            <w:tcW w:w="410" w:type="dxa"/>
          </w:tcPr>
          <w:p w14:paraId="542639E2" w14:textId="77777777" w:rsidR="00C27521" w:rsidRDefault="00111314" w:rsidP="00C2375C">
            <w:pPr>
              <w:spacing w:before="20"/>
              <w:ind w:right="-187"/>
            </w:pPr>
            <w:r w:rsidRPr="00E80A25">
              <w:rPr>
                <w:rFonts w:ascii="Times New Roman" w:hAnsi="Times New Roman"/>
                <w:sz w:val="20"/>
              </w:rPr>
              <w:t>Nr</w:t>
            </w:r>
            <w:r w:rsidR="002F4027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206" w:type="dxa"/>
          </w:tcPr>
          <w:p w14:paraId="59877269" w14:textId="77777777" w:rsidR="00C27521" w:rsidRPr="00C2375C" w:rsidRDefault="00111314" w:rsidP="00304E27">
            <w:pPr>
              <w:pBdr>
                <w:bottom w:val="single" w:sz="4" w:space="1" w:color="auto"/>
              </w:pBdr>
              <w:rPr>
                <w:rFonts w:ascii="Times New Roman" w:hAnsi="Times New Roman"/>
              </w:rPr>
            </w:pPr>
            <w:r>
              <w:rPr>
                <w:noProof/>
              </w:rPr>
              <w:t>1-132/2295</w:t>
            </w:r>
          </w:p>
        </w:tc>
      </w:tr>
      <w:tr w:rsidR="00ED19DC" w14:paraId="0168273D" w14:textId="77777777" w:rsidTr="002F4027">
        <w:trPr>
          <w:trHeight w:val="351"/>
        </w:trPr>
        <w:tc>
          <w:tcPr>
            <w:tcW w:w="675" w:type="dxa"/>
          </w:tcPr>
          <w:p w14:paraId="0B7A351E" w14:textId="77777777" w:rsidR="00C27521" w:rsidRPr="00C27521" w:rsidRDefault="00111314" w:rsidP="00F132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Uz</w:t>
            </w:r>
          </w:p>
        </w:tc>
        <w:tc>
          <w:tcPr>
            <w:tcW w:w="1969" w:type="dxa"/>
          </w:tcPr>
          <w:p w14:paraId="6A54831B" w14:textId="77777777" w:rsidR="00F13218" w:rsidRDefault="00111314" w:rsidP="00F13218">
            <w:pPr>
              <w:pBdr>
                <w:bottom w:val="single" w:sz="4" w:space="1" w:color="auto"/>
              </w:pBdr>
              <w:spacing w:after="0" w:line="240" w:lineRule="auto"/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25.02.2022.</w:t>
            </w:r>
          </w:p>
          <w:p w14:paraId="4736A063" w14:textId="77777777" w:rsidR="00C27521" w:rsidRPr="00C27521" w:rsidRDefault="00111314" w:rsidP="00F13218">
            <w:pPr>
              <w:pBdr>
                <w:bottom w:val="single" w:sz="4" w:space="1" w:color="auto"/>
              </w:pBdr>
              <w:spacing w:after="0" w:line="240" w:lineRule="auto"/>
              <w:ind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16.03.2022.</w:t>
            </w:r>
          </w:p>
        </w:tc>
        <w:tc>
          <w:tcPr>
            <w:tcW w:w="410" w:type="dxa"/>
          </w:tcPr>
          <w:p w14:paraId="15B3E04A" w14:textId="77777777" w:rsidR="00C27521" w:rsidRPr="00C27521" w:rsidRDefault="00111314" w:rsidP="00F13218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</w:rPr>
            </w:pPr>
            <w:r w:rsidRPr="00C27521">
              <w:rPr>
                <w:rFonts w:ascii="Times New Roman" w:hAnsi="Times New Roman"/>
                <w:sz w:val="20"/>
              </w:rPr>
              <w:t>Nr.</w:t>
            </w:r>
          </w:p>
        </w:tc>
        <w:tc>
          <w:tcPr>
            <w:tcW w:w="2206" w:type="dxa"/>
          </w:tcPr>
          <w:p w14:paraId="30B0470F" w14:textId="77777777" w:rsidR="00F13218" w:rsidRDefault="00111314" w:rsidP="00F13218">
            <w:pPr>
              <w:pBdr>
                <w:bottom w:val="single" w:sz="4" w:space="1" w:color="auto"/>
              </w:pBdr>
              <w:spacing w:after="0" w:line="240" w:lineRule="auto"/>
              <w:ind w:left="-29" w:hanging="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04.2-02/684</w:t>
            </w:r>
          </w:p>
          <w:p w14:paraId="75A2CB8F" w14:textId="77777777" w:rsidR="00C27521" w:rsidRPr="00C27521" w:rsidRDefault="00111314" w:rsidP="00F13218">
            <w:pPr>
              <w:pBdr>
                <w:bottom w:val="single" w:sz="4" w:space="1" w:color="auto"/>
              </w:pBdr>
              <w:spacing w:after="0" w:line="240" w:lineRule="auto"/>
              <w:ind w:left="-29" w:hanging="7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2.2/202/2022/NOS</w:t>
            </w:r>
          </w:p>
        </w:tc>
      </w:tr>
    </w:tbl>
    <w:p w14:paraId="13B5ED0F" w14:textId="77777777" w:rsidR="00E80A25" w:rsidRDefault="00E80A25" w:rsidP="00F13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541E22" w14:textId="77777777" w:rsidR="00E80A25" w:rsidRPr="00E80A25" w:rsidRDefault="00E80A25" w:rsidP="00F13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14E0D8" w14:textId="77777777" w:rsidR="006E1219" w:rsidRDefault="006E1219" w:rsidP="00F1321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702A294" w14:textId="77777777" w:rsidR="00E80A25" w:rsidRDefault="00E80A25" w:rsidP="00F132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23AEA8" w14:textId="77777777" w:rsidR="00FE78FF" w:rsidRDefault="00111314" w:rsidP="00F1321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0307D">
        <w:rPr>
          <w:rFonts w:ascii="Times New Roman" w:hAnsi="Times New Roman"/>
          <w:b/>
          <w:bCs/>
          <w:sz w:val="24"/>
          <w:szCs w:val="24"/>
        </w:rPr>
        <w:t>Satiksmes ministrijai</w:t>
      </w:r>
    </w:p>
    <w:p w14:paraId="72F020EB" w14:textId="77777777" w:rsidR="00E33663" w:rsidRPr="00E0307D" w:rsidRDefault="00111314" w:rsidP="00F1321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03A47">
        <w:rPr>
          <w:rFonts w:ascii="Times New Roman" w:hAnsi="Times New Roman"/>
          <w:i/>
          <w:iCs/>
          <w:sz w:val="24"/>
          <w:szCs w:val="24"/>
        </w:rPr>
        <w:t>Informācijai: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307D">
        <w:rPr>
          <w:rFonts w:ascii="Times New Roman" w:hAnsi="Times New Roman"/>
          <w:b/>
          <w:bCs/>
          <w:sz w:val="24"/>
          <w:szCs w:val="24"/>
        </w:rPr>
        <w:t>Valsts sabiedrībai ar ierobežotu atbildību</w:t>
      </w:r>
    </w:p>
    <w:p w14:paraId="012BD8ED" w14:textId="77777777" w:rsidR="00F13218" w:rsidRPr="00E0307D" w:rsidRDefault="00111314" w:rsidP="00F13218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0307D">
        <w:rPr>
          <w:rFonts w:ascii="Times New Roman" w:hAnsi="Times New Roman"/>
          <w:b/>
          <w:bCs/>
          <w:sz w:val="24"/>
          <w:szCs w:val="24"/>
        </w:rPr>
        <w:t>“Autotransporta direkcija”</w:t>
      </w:r>
    </w:p>
    <w:p w14:paraId="0A2DB1D3" w14:textId="77777777" w:rsidR="00E0307D" w:rsidRPr="00E0307D" w:rsidRDefault="00E0307D" w:rsidP="00F1321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60BA833" w14:textId="77777777" w:rsidR="00F13218" w:rsidRPr="00E0307D" w:rsidRDefault="00111314" w:rsidP="00F13218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0307D">
        <w:rPr>
          <w:rFonts w:ascii="Times New Roman" w:hAnsi="Times New Roman"/>
          <w:i/>
          <w:iCs/>
          <w:sz w:val="24"/>
          <w:szCs w:val="24"/>
        </w:rPr>
        <w:t xml:space="preserve">Par </w:t>
      </w:r>
      <w:r w:rsidR="00EE00EB">
        <w:rPr>
          <w:rFonts w:ascii="Times New Roman" w:hAnsi="Times New Roman"/>
          <w:i/>
          <w:iCs/>
          <w:sz w:val="24"/>
          <w:szCs w:val="24"/>
        </w:rPr>
        <w:t>apstiprinājuma</w:t>
      </w:r>
      <w:r w:rsidRPr="00E0307D">
        <w:rPr>
          <w:rFonts w:ascii="Times New Roman" w:hAnsi="Times New Roman"/>
          <w:i/>
          <w:iCs/>
          <w:sz w:val="24"/>
          <w:szCs w:val="24"/>
        </w:rPr>
        <w:t xml:space="preserve"> sniegšanu</w:t>
      </w:r>
    </w:p>
    <w:p w14:paraId="58406283" w14:textId="77777777" w:rsidR="00F13218" w:rsidRPr="00E0307D" w:rsidRDefault="00F13218" w:rsidP="00F132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1023B4" w14:textId="77777777" w:rsidR="00E33663" w:rsidRPr="00E0307D" w:rsidRDefault="00111314" w:rsidP="006571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307D">
        <w:rPr>
          <w:rFonts w:ascii="Times New Roman" w:hAnsi="Times New Roman"/>
          <w:sz w:val="24"/>
          <w:szCs w:val="24"/>
        </w:rPr>
        <w:tab/>
        <w:t xml:space="preserve">Vides </w:t>
      </w:r>
      <w:r w:rsidRPr="00E0307D">
        <w:rPr>
          <w:rFonts w:ascii="Times New Roman" w:hAnsi="Times New Roman"/>
          <w:sz w:val="24"/>
          <w:szCs w:val="24"/>
        </w:rPr>
        <w:t>aizsardzības un reģionālās attīstības ministrija (turpmāk – VARAM) 2022. gada 16. martā saņēma Valsts sabiedrības ar ierobežotu atbildību “Autotransporta direkcija” (turpmāk – Autotransporta direkcija) vēstuli (Nr. 2.2/202/2022/NOS) ar apkopotu informāciju</w:t>
      </w:r>
      <w:r w:rsidRPr="00E0307D">
        <w:rPr>
          <w:rFonts w:ascii="Times New Roman" w:hAnsi="Times New Roman"/>
          <w:sz w:val="24"/>
          <w:szCs w:val="24"/>
        </w:rPr>
        <w:t xml:space="preserve"> par </w:t>
      </w:r>
      <w:proofErr w:type="spellStart"/>
      <w:r w:rsidRPr="00E0307D">
        <w:rPr>
          <w:rFonts w:ascii="Times New Roman" w:hAnsi="Times New Roman"/>
          <w:sz w:val="24"/>
          <w:szCs w:val="24"/>
        </w:rPr>
        <w:t>valstspilsētu</w:t>
      </w:r>
      <w:proofErr w:type="spellEnd"/>
      <w:r w:rsidRPr="00E0307D">
        <w:rPr>
          <w:rFonts w:ascii="Times New Roman" w:hAnsi="Times New Roman"/>
          <w:sz w:val="24"/>
          <w:szCs w:val="24"/>
        </w:rPr>
        <w:t xml:space="preserve"> pašvaldību izdevumiem saistībā ar piesardzības pasākumu ieviešanu sabiedriskajā transportā par laika periodu no 2021. gada 1. jūlija līdz 2021. gada 31. decembrim.</w:t>
      </w:r>
    </w:p>
    <w:p w14:paraId="3B3685F6" w14:textId="77777777" w:rsidR="00657117" w:rsidRPr="00E0307D" w:rsidRDefault="00111314" w:rsidP="006571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307D">
        <w:rPr>
          <w:rFonts w:ascii="Times New Roman" w:hAnsi="Times New Roman"/>
          <w:sz w:val="24"/>
          <w:szCs w:val="24"/>
        </w:rPr>
        <w:tab/>
        <w:t xml:space="preserve">Minētajā vēstulē Autotransporta direkcija vērš uzmanību, ka atsevišķas </w:t>
      </w:r>
      <w:proofErr w:type="spellStart"/>
      <w:r w:rsidRPr="00E0307D">
        <w:rPr>
          <w:rFonts w:ascii="Times New Roman" w:hAnsi="Times New Roman"/>
          <w:sz w:val="24"/>
          <w:szCs w:val="24"/>
        </w:rPr>
        <w:t>v</w:t>
      </w:r>
      <w:r w:rsidRPr="00E0307D">
        <w:rPr>
          <w:rFonts w:ascii="Times New Roman" w:hAnsi="Times New Roman"/>
          <w:sz w:val="24"/>
          <w:szCs w:val="24"/>
        </w:rPr>
        <w:t>alstspilsētu</w:t>
      </w:r>
      <w:proofErr w:type="spellEnd"/>
      <w:r w:rsidRPr="00E0307D">
        <w:rPr>
          <w:rFonts w:ascii="Times New Roman" w:hAnsi="Times New Roman"/>
          <w:sz w:val="24"/>
          <w:szCs w:val="24"/>
        </w:rPr>
        <w:t xml:space="preserve"> pašvaldības (Rīgas, Ventspils, Valmieras un Rēzeknes) pie izdevumiem Covid-19 pandēmijas ierobežošanai 2021. gada oktobra, novembra un decembra mēnešos ir norādījušas arī izmaksas par SARS-Cov-2 (Covid-19) vīrusa antigēna testiem. Autotranspor</w:t>
      </w:r>
      <w:r w:rsidRPr="00E0307D">
        <w:rPr>
          <w:rFonts w:ascii="Times New Roman" w:hAnsi="Times New Roman"/>
          <w:sz w:val="24"/>
          <w:szCs w:val="24"/>
        </w:rPr>
        <w:t>ta direkcija norāda, ka tās rīcībā nav informācija</w:t>
      </w:r>
      <w:r w:rsidR="00C44564">
        <w:rPr>
          <w:rFonts w:ascii="Times New Roman" w:hAnsi="Times New Roman"/>
          <w:sz w:val="24"/>
          <w:szCs w:val="24"/>
        </w:rPr>
        <w:t>s</w:t>
      </w:r>
      <w:r w:rsidRPr="00E0307D">
        <w:rPr>
          <w:rFonts w:ascii="Times New Roman" w:hAnsi="Times New Roman"/>
          <w:sz w:val="24"/>
          <w:szCs w:val="24"/>
        </w:rPr>
        <w:t xml:space="preserve"> par to, kādā situācijā izmantoti Covid-19 vīrusa antigēna testi, kā arī vai ir pastāvējusi vienošanās par Covid-19 testu izmaksu segšanu no darba devēja vai pašvaldības līdzekļiem. </w:t>
      </w:r>
      <w:r w:rsidR="006429A7" w:rsidRPr="00E0307D">
        <w:rPr>
          <w:rFonts w:ascii="Times New Roman" w:hAnsi="Times New Roman"/>
          <w:sz w:val="24"/>
          <w:szCs w:val="24"/>
        </w:rPr>
        <w:t>Līdz ar to</w:t>
      </w:r>
      <w:r w:rsidRPr="00E0307D">
        <w:rPr>
          <w:rFonts w:ascii="Times New Roman" w:hAnsi="Times New Roman"/>
          <w:sz w:val="24"/>
          <w:szCs w:val="24"/>
        </w:rPr>
        <w:t xml:space="preserve"> Autotransporta direkcija nevar sniegt vērtējumu, vai izmaksas par Covid-19 vīrusa antigēna testiem ir iekļaujamas pie kopējiem izdevumiem Covid-19 pandēmijas ierobežošanai un vai ir kompensējamas no valsts budžeta līdzekļiem.</w:t>
      </w:r>
    </w:p>
    <w:p w14:paraId="35BDF27A" w14:textId="77777777" w:rsidR="006429A7" w:rsidRDefault="00111314" w:rsidP="006571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307D">
        <w:rPr>
          <w:rFonts w:ascii="Times New Roman" w:hAnsi="Times New Roman"/>
          <w:sz w:val="24"/>
          <w:szCs w:val="24"/>
        </w:rPr>
        <w:t>Ņemot vērā iepriekš minēto</w:t>
      </w:r>
      <w:r w:rsidR="00E0307D">
        <w:rPr>
          <w:rFonts w:ascii="Times New Roman" w:hAnsi="Times New Roman"/>
          <w:sz w:val="24"/>
          <w:szCs w:val="24"/>
        </w:rPr>
        <w:t>,</w:t>
      </w:r>
      <w:r w:rsidRPr="00E0307D">
        <w:rPr>
          <w:rFonts w:ascii="Times New Roman" w:hAnsi="Times New Roman"/>
          <w:sz w:val="24"/>
          <w:szCs w:val="24"/>
        </w:rPr>
        <w:t xml:space="preserve"> V</w:t>
      </w:r>
      <w:r w:rsidRPr="00E0307D">
        <w:rPr>
          <w:rFonts w:ascii="Times New Roman" w:hAnsi="Times New Roman"/>
          <w:sz w:val="24"/>
          <w:szCs w:val="24"/>
        </w:rPr>
        <w:t>ARAM aicina Satiksmes ministriju</w:t>
      </w:r>
      <w:r w:rsidR="000F3D33">
        <w:rPr>
          <w:rFonts w:ascii="Times New Roman" w:hAnsi="Times New Roman"/>
          <w:sz w:val="24"/>
          <w:szCs w:val="24"/>
        </w:rPr>
        <w:t xml:space="preserve"> vai Autotransporta direkciju apstiprināt, ka </w:t>
      </w:r>
      <w:r w:rsidRPr="00E0307D">
        <w:rPr>
          <w:rFonts w:ascii="Times New Roman" w:hAnsi="Times New Roman"/>
          <w:sz w:val="24"/>
          <w:szCs w:val="24"/>
        </w:rPr>
        <w:t xml:space="preserve"> izmaksas par Covid-19 vīrusa antigēna testiem ir iekļaujamas pie kopējiem izdevumiem Covid-19 pandēmijas ierobežošanai par laika periodu no 2021. gada 1. jūlija līdz 2021. gada </w:t>
      </w:r>
      <w:r w:rsidRPr="00E0307D">
        <w:rPr>
          <w:rFonts w:ascii="Times New Roman" w:hAnsi="Times New Roman"/>
          <w:sz w:val="24"/>
          <w:szCs w:val="24"/>
        </w:rPr>
        <w:t xml:space="preserve">31. decembrim un kompensējamas no valsts budžeta </w:t>
      </w:r>
      <w:proofErr w:type="spellStart"/>
      <w:r w:rsidRPr="00E0307D">
        <w:rPr>
          <w:rFonts w:ascii="Times New Roman" w:hAnsi="Times New Roman"/>
          <w:sz w:val="24"/>
          <w:szCs w:val="24"/>
        </w:rPr>
        <w:t>progammas</w:t>
      </w:r>
      <w:proofErr w:type="spellEnd"/>
      <w:r w:rsidRPr="00E0307D">
        <w:rPr>
          <w:rFonts w:ascii="Times New Roman" w:hAnsi="Times New Roman"/>
          <w:sz w:val="24"/>
          <w:szCs w:val="24"/>
        </w:rPr>
        <w:t xml:space="preserve"> “Līdzekļi neparedzētiem gadījumiem”, atbilstoši Ministru kabineta 2021. gada 9. marta </w:t>
      </w:r>
      <w:proofErr w:type="spellStart"/>
      <w:r w:rsidRPr="00E0307D">
        <w:rPr>
          <w:rFonts w:ascii="Times New Roman" w:hAnsi="Times New Roman"/>
          <w:sz w:val="24"/>
          <w:szCs w:val="24"/>
        </w:rPr>
        <w:t>protokollēmuma</w:t>
      </w:r>
      <w:proofErr w:type="spellEnd"/>
      <w:r w:rsidRPr="00E0307D">
        <w:rPr>
          <w:rFonts w:ascii="Times New Roman" w:hAnsi="Times New Roman"/>
          <w:sz w:val="24"/>
          <w:szCs w:val="24"/>
        </w:rPr>
        <w:t xml:space="preserve"> (prot. Nr. 24 6. §) “Informatīvais  ziņojums “Par epidemioloģiskās drošības prasībām sabiedriska</w:t>
      </w:r>
      <w:r w:rsidRPr="00E0307D">
        <w:rPr>
          <w:rFonts w:ascii="Times New Roman" w:hAnsi="Times New Roman"/>
          <w:sz w:val="24"/>
          <w:szCs w:val="24"/>
        </w:rPr>
        <w:t>jā transportā, to ievērošanu un kontroli””</w:t>
      </w:r>
      <w:r w:rsidR="00E0307D" w:rsidRPr="00E030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F3D33">
        <w:rPr>
          <w:rFonts w:ascii="Times New Roman" w:hAnsi="Times New Roman"/>
          <w:sz w:val="24"/>
          <w:szCs w:val="24"/>
        </w:rPr>
        <w:t>noteitkajam</w:t>
      </w:r>
      <w:proofErr w:type="spellEnd"/>
      <w:r w:rsidR="000F3D33">
        <w:rPr>
          <w:rFonts w:ascii="Times New Roman" w:hAnsi="Times New Roman"/>
          <w:sz w:val="24"/>
          <w:szCs w:val="24"/>
        </w:rPr>
        <w:t xml:space="preserve"> mērķim</w:t>
      </w:r>
      <w:r w:rsidR="00E0307D" w:rsidRPr="00E0307D">
        <w:rPr>
          <w:rFonts w:ascii="Times New Roman" w:hAnsi="Times New Roman"/>
          <w:sz w:val="24"/>
          <w:szCs w:val="24"/>
        </w:rPr>
        <w:t>.</w:t>
      </w:r>
      <w:r w:rsidR="000F3D33">
        <w:rPr>
          <w:rFonts w:ascii="Times New Roman" w:hAnsi="Times New Roman"/>
          <w:sz w:val="24"/>
          <w:szCs w:val="24"/>
        </w:rPr>
        <w:t xml:space="preserve"> Ja šādu apstiprinājumu nevar sniegt, lūdzam Autotransporta direkciju precizēt aprēķinus un izslēgt izmaksas par </w:t>
      </w:r>
      <w:r w:rsidR="000F3D33" w:rsidRPr="00E0307D">
        <w:rPr>
          <w:rFonts w:ascii="Times New Roman" w:hAnsi="Times New Roman"/>
          <w:sz w:val="24"/>
          <w:szCs w:val="24"/>
        </w:rPr>
        <w:t>Covid-19 vīrusa antigēna testiem</w:t>
      </w:r>
      <w:r w:rsidR="000F3D33">
        <w:rPr>
          <w:rFonts w:ascii="Times New Roman" w:hAnsi="Times New Roman"/>
          <w:sz w:val="24"/>
          <w:szCs w:val="24"/>
        </w:rPr>
        <w:t>.</w:t>
      </w:r>
    </w:p>
    <w:p w14:paraId="530C106E" w14:textId="77777777" w:rsidR="00E0307D" w:rsidRDefault="00E0307D" w:rsidP="006571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DF2B33" w14:textId="77777777" w:rsidR="00E0307D" w:rsidRPr="00060070" w:rsidRDefault="00111314" w:rsidP="00E0307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0070">
        <w:rPr>
          <w:rFonts w:ascii="Times New Roman" w:hAnsi="Times New Roman"/>
          <w:sz w:val="24"/>
          <w:szCs w:val="24"/>
        </w:rPr>
        <w:t>Ar cieņu</w:t>
      </w:r>
      <w:r w:rsidRPr="00060070">
        <w:rPr>
          <w:rFonts w:ascii="Times New Roman" w:hAnsi="Times New Roman"/>
          <w:sz w:val="24"/>
          <w:szCs w:val="24"/>
        </w:rPr>
        <w:br/>
        <w:t>valsts sekretāra vietniece</w:t>
      </w:r>
      <w:r w:rsidRPr="00060070">
        <w:rPr>
          <w:rFonts w:ascii="Times New Roman" w:hAnsi="Times New Roman"/>
          <w:sz w:val="24"/>
          <w:szCs w:val="24"/>
        </w:rPr>
        <w:tab/>
      </w:r>
      <w:r w:rsidRPr="00060070">
        <w:rPr>
          <w:rFonts w:ascii="Times New Roman" w:hAnsi="Times New Roman"/>
          <w:sz w:val="24"/>
          <w:szCs w:val="24"/>
        </w:rPr>
        <w:tab/>
      </w:r>
      <w:r w:rsidRPr="00060070">
        <w:rPr>
          <w:rFonts w:ascii="Times New Roman" w:hAnsi="Times New Roman"/>
          <w:sz w:val="24"/>
          <w:szCs w:val="24"/>
        </w:rPr>
        <w:tab/>
      </w:r>
      <w:r w:rsidRPr="00060070">
        <w:rPr>
          <w:rFonts w:ascii="Times New Roman" w:hAnsi="Times New Roman"/>
          <w:sz w:val="24"/>
          <w:szCs w:val="24"/>
        </w:rPr>
        <w:tab/>
      </w:r>
      <w:r w:rsidRPr="00060070">
        <w:rPr>
          <w:rFonts w:ascii="Times New Roman" w:hAnsi="Times New Roman"/>
          <w:sz w:val="24"/>
          <w:szCs w:val="24"/>
        </w:rPr>
        <w:tab/>
      </w:r>
      <w:r w:rsidRPr="00060070">
        <w:rPr>
          <w:rFonts w:ascii="Times New Roman" w:hAnsi="Times New Roman"/>
          <w:sz w:val="24"/>
          <w:szCs w:val="24"/>
        </w:rPr>
        <w:tab/>
      </w:r>
      <w:r w:rsidRPr="00060070">
        <w:rPr>
          <w:rFonts w:ascii="Times New Roman" w:hAnsi="Times New Roman"/>
          <w:sz w:val="24"/>
          <w:szCs w:val="24"/>
        </w:rPr>
        <w:tab/>
      </w:r>
      <w:r w:rsidRPr="00060070">
        <w:rPr>
          <w:rFonts w:ascii="Times New Roman" w:hAnsi="Times New Roman"/>
          <w:sz w:val="24"/>
          <w:szCs w:val="24"/>
        </w:rPr>
        <w:tab/>
        <w:t>I. </w:t>
      </w:r>
      <w:r w:rsidRPr="00060070">
        <w:rPr>
          <w:rFonts w:ascii="Times New Roman" w:hAnsi="Times New Roman"/>
          <w:sz w:val="24"/>
          <w:szCs w:val="24"/>
        </w:rPr>
        <w:t>Oša</w:t>
      </w:r>
    </w:p>
    <w:p w14:paraId="5C88F1D5" w14:textId="77777777" w:rsidR="00E0307D" w:rsidRPr="00060070" w:rsidRDefault="00E0307D" w:rsidP="00E030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CB25BF6" w14:textId="77777777" w:rsidR="00E0307D" w:rsidRPr="00060070" w:rsidRDefault="00111314" w:rsidP="00E030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60070">
        <w:rPr>
          <w:rFonts w:ascii="Times New Roman" w:hAnsi="Times New Roman"/>
          <w:sz w:val="20"/>
          <w:szCs w:val="20"/>
        </w:rPr>
        <w:t>Vaivode 66016749</w:t>
      </w:r>
    </w:p>
    <w:p w14:paraId="317EAF34" w14:textId="77777777" w:rsidR="00E0307D" w:rsidRPr="00C27521" w:rsidRDefault="00111314" w:rsidP="00E0307D">
      <w:pPr>
        <w:rPr>
          <w:rFonts w:ascii="Times New Roman" w:hAnsi="Times New Roman"/>
          <w:sz w:val="24"/>
          <w:szCs w:val="24"/>
        </w:rPr>
      </w:pPr>
      <w:hyperlink r:id="rId7" w:history="1">
        <w:r w:rsidRPr="00060070">
          <w:rPr>
            <w:rStyle w:val="Hyperlink"/>
            <w:rFonts w:ascii="Times New Roman" w:hAnsi="Times New Roman"/>
            <w:sz w:val="20"/>
            <w:szCs w:val="20"/>
          </w:rPr>
          <w:t>solvita.vaivode@varam.gov.lv</w:t>
        </w:r>
      </w:hyperlink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222"/>
      </w:tblGrid>
      <w:tr w:rsidR="00ED19DC" w14:paraId="76CD510D" w14:textId="77777777" w:rsidTr="00796CFC">
        <w:trPr>
          <w:cantSplit/>
          <w:trHeight w:val="579"/>
        </w:trPr>
        <w:tc>
          <w:tcPr>
            <w:tcW w:w="8222" w:type="dxa"/>
          </w:tcPr>
          <w:p w14:paraId="641438A0" w14:textId="77777777" w:rsidR="00E80A25" w:rsidRDefault="00111314" w:rsidP="00E0307D">
            <w:pPr>
              <w:pStyle w:val="BodyTextIndent"/>
              <w:ind w:left="0"/>
              <w:jc w:val="center"/>
            </w:pPr>
            <w:bookmarkStart w:id="0" w:name="edoc_info" w:colFirst="0" w:colLast="0"/>
            <w:r>
              <w:t>ŠIS DOKUMENTS IR ELEKTRONISKI PARAKSTĪTS AR DROŠU ELEKTRONISKO PARAKSTU UN SATUR LAIKA ZĪMOGU</w:t>
            </w:r>
          </w:p>
        </w:tc>
      </w:tr>
      <w:bookmarkEnd w:id="0"/>
    </w:tbl>
    <w:p w14:paraId="3DAB5463" w14:textId="77777777" w:rsidR="002E1474" w:rsidRPr="00C27521" w:rsidRDefault="002E1474" w:rsidP="00954D5A">
      <w:pPr>
        <w:rPr>
          <w:rFonts w:ascii="Times New Roman" w:hAnsi="Times New Roman"/>
          <w:sz w:val="24"/>
          <w:szCs w:val="24"/>
        </w:rPr>
      </w:pPr>
    </w:p>
    <w:sectPr w:rsidR="002E1474" w:rsidRPr="00C27521" w:rsidSect="00B82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20" w:h="16840"/>
      <w:pgMar w:top="1134" w:right="851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86732" w14:textId="77777777" w:rsidR="00000000" w:rsidRDefault="00111314">
      <w:pPr>
        <w:spacing w:after="0" w:line="240" w:lineRule="auto"/>
      </w:pPr>
      <w:r>
        <w:separator/>
      </w:r>
    </w:p>
  </w:endnote>
  <w:endnote w:type="continuationSeparator" w:id="0">
    <w:p w14:paraId="0ABFE8D9" w14:textId="77777777" w:rsidR="00000000" w:rsidRDefault="00111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1DB10" w14:textId="77777777" w:rsidR="005D2CFC" w:rsidRDefault="005D2C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C5EA3" w14:textId="77777777" w:rsidR="005D2CFC" w:rsidRDefault="005D2C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9ABE2" w14:textId="77777777" w:rsidR="005D2CFC" w:rsidRDefault="005D2C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2CC2" w14:textId="77777777" w:rsidR="00000000" w:rsidRDefault="00111314">
      <w:pPr>
        <w:spacing w:after="0" w:line="240" w:lineRule="auto"/>
      </w:pPr>
      <w:r>
        <w:separator/>
      </w:r>
    </w:p>
  </w:footnote>
  <w:footnote w:type="continuationSeparator" w:id="0">
    <w:p w14:paraId="0C2C6DE6" w14:textId="77777777" w:rsidR="00000000" w:rsidRDefault="00111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3C7FB" w14:textId="77777777" w:rsidR="005D2CFC" w:rsidRDefault="005D2C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6459F" w14:textId="77777777" w:rsidR="005D2CFC" w:rsidRDefault="005D2C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E5F7F" w14:textId="77777777" w:rsidR="00B82CCF" w:rsidRDefault="00B82CCF" w:rsidP="00B82CCF">
    <w:pPr>
      <w:pStyle w:val="Header"/>
      <w:rPr>
        <w:rFonts w:ascii="Times New Roman" w:hAnsi="Times New Roman"/>
      </w:rPr>
    </w:pPr>
  </w:p>
  <w:p w14:paraId="05422943" w14:textId="77777777" w:rsidR="00B82CCF" w:rsidRDefault="00B82CCF" w:rsidP="00B82CCF">
    <w:pPr>
      <w:pStyle w:val="Header"/>
      <w:rPr>
        <w:rFonts w:ascii="Times New Roman" w:hAnsi="Times New Roman"/>
      </w:rPr>
    </w:pPr>
  </w:p>
  <w:p w14:paraId="5635A391" w14:textId="77777777" w:rsidR="00B82CCF" w:rsidRDefault="00B82CCF" w:rsidP="00B82CCF">
    <w:pPr>
      <w:pStyle w:val="Header"/>
      <w:rPr>
        <w:rFonts w:ascii="Times New Roman" w:hAnsi="Times New Roman"/>
      </w:rPr>
    </w:pPr>
  </w:p>
  <w:p w14:paraId="62D0C7CD" w14:textId="77777777" w:rsidR="00B82CCF" w:rsidRDefault="00B82CCF" w:rsidP="00B82CCF">
    <w:pPr>
      <w:pStyle w:val="Header"/>
      <w:rPr>
        <w:rFonts w:ascii="Times New Roman" w:hAnsi="Times New Roman"/>
      </w:rPr>
    </w:pPr>
  </w:p>
  <w:p w14:paraId="7E8DE10E" w14:textId="77777777" w:rsidR="00B82CCF" w:rsidRDefault="00B82CCF" w:rsidP="00B82CCF">
    <w:pPr>
      <w:pStyle w:val="Header"/>
      <w:rPr>
        <w:rFonts w:ascii="Times New Roman" w:hAnsi="Times New Roman"/>
      </w:rPr>
    </w:pPr>
  </w:p>
  <w:p w14:paraId="23FFD145" w14:textId="77777777" w:rsidR="00B82CCF" w:rsidRDefault="00B82CCF" w:rsidP="00B82CCF">
    <w:pPr>
      <w:pStyle w:val="Header"/>
      <w:rPr>
        <w:rFonts w:ascii="Times New Roman" w:hAnsi="Times New Roman"/>
      </w:rPr>
    </w:pPr>
  </w:p>
  <w:p w14:paraId="280C0F39" w14:textId="77777777" w:rsidR="00B82CCF" w:rsidRDefault="00B82CCF" w:rsidP="00B82CCF">
    <w:pPr>
      <w:pStyle w:val="Header"/>
      <w:rPr>
        <w:rFonts w:ascii="Times New Roman" w:hAnsi="Times New Roman"/>
      </w:rPr>
    </w:pPr>
  </w:p>
  <w:p w14:paraId="71B0B84C" w14:textId="77777777" w:rsidR="00B82CCF" w:rsidRDefault="00B82CCF" w:rsidP="00B82CCF">
    <w:pPr>
      <w:pStyle w:val="Header"/>
      <w:rPr>
        <w:rFonts w:ascii="Times New Roman" w:hAnsi="Times New Roman"/>
      </w:rPr>
    </w:pPr>
  </w:p>
  <w:p w14:paraId="239B3D76" w14:textId="77777777" w:rsidR="00B82CCF" w:rsidRDefault="00B82CCF" w:rsidP="00B82CCF">
    <w:pPr>
      <w:pStyle w:val="Header"/>
      <w:rPr>
        <w:rFonts w:ascii="Times New Roman" w:hAnsi="Times New Roman"/>
      </w:rPr>
    </w:pPr>
  </w:p>
  <w:p w14:paraId="1591A978" w14:textId="77777777" w:rsidR="00B82CCF" w:rsidRDefault="00B82CCF" w:rsidP="00B82CCF">
    <w:pPr>
      <w:pStyle w:val="Header"/>
      <w:rPr>
        <w:rFonts w:ascii="Times New Roman" w:hAnsi="Times New Roman"/>
      </w:rPr>
    </w:pPr>
  </w:p>
  <w:p w14:paraId="101F0CA8" w14:textId="77777777" w:rsidR="00B82CCF" w:rsidRPr="00815277" w:rsidRDefault="00111314" w:rsidP="00B82CCF">
    <w:pPr>
      <w:pStyle w:val="Header"/>
      <w:rPr>
        <w:rFonts w:ascii="Times New Roman" w:hAnsi="Times New Roman"/>
      </w:rPr>
    </w:pPr>
    <w:r>
      <w:rPr>
        <w:noProof/>
        <w:lang w:eastAsia="lv-LV"/>
      </w:rPr>
      <w:drawing>
        <wp:anchor distT="0" distB="0" distL="114300" distR="114300" simplePos="0" relativeHeight="251658240" behindDoc="1" locked="0" layoutInCell="1" allowOverlap="1" wp14:anchorId="2B7E4ECA" wp14:editId="27A1615E">
          <wp:simplePos x="0" y="0"/>
          <wp:positionH relativeFrom="page">
            <wp:posOffset>1217930</wp:posOffset>
          </wp:positionH>
          <wp:positionV relativeFrom="page">
            <wp:posOffset>742950</wp:posOffset>
          </wp:positionV>
          <wp:extent cx="5671820" cy="1033145"/>
          <wp:effectExtent l="0" t="0" r="5080" b="0"/>
          <wp:wrapNone/>
          <wp:docPr id="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182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lv-LV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5211FA6" wp14:editId="12C80E9B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E1491" w14:textId="77777777" w:rsidR="00B82CCF" w:rsidRDefault="00111314" w:rsidP="00B82CCF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Peldu iela 25, Rīga, LV-1494, tālr. </w:t>
                          </w:r>
                          <w:r w:rsidR="00E928E8" w:rsidRPr="00E928E8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66016740</w:t>
                          </w:r>
                          <w:r w:rsidRPr="00222A7A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, e-pasts pasts@varam.gov.lv, www.varam.gov.lv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4144" filled="f" stroked="f">
              <v:textbox inset="0,0,0,0">
                <w:txbxContent>
                  <w:p w:rsidR="00B82CCF" w:rsidP="00B82CCF" w14:paraId="53580DDA" w14:textId="77777777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Peldu iela 25, Rīga, LV-1494, tālr. </w:t>
                    </w:r>
                    <w:r w:rsidRPr="00E928E8" w:rsidR="00E928E8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66016740</w:t>
                    </w:r>
                    <w:r w:rsidRPr="00222A7A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, e-pasts pasts@varam.gov.lv, www.varam.gov.lv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FE507FC" wp14:editId="30700073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14:paraId="12353504" w14:textId="77777777" w:rsidR="00B82CCF" w:rsidRDefault="00B82C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1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1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1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1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1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1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1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1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1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6726675">
    <w:abstractNumId w:val="10"/>
  </w:num>
  <w:num w:numId="2" w16cid:durableId="1711145262">
    <w:abstractNumId w:val="8"/>
  </w:num>
  <w:num w:numId="3" w16cid:durableId="2018775940">
    <w:abstractNumId w:val="7"/>
  </w:num>
  <w:num w:numId="4" w16cid:durableId="553081314">
    <w:abstractNumId w:val="6"/>
  </w:num>
  <w:num w:numId="5" w16cid:durableId="1046949459">
    <w:abstractNumId w:val="5"/>
  </w:num>
  <w:num w:numId="6" w16cid:durableId="1649288749">
    <w:abstractNumId w:val="9"/>
  </w:num>
  <w:num w:numId="7" w16cid:durableId="29040485">
    <w:abstractNumId w:val="4"/>
  </w:num>
  <w:num w:numId="8" w16cid:durableId="1013264970">
    <w:abstractNumId w:val="3"/>
  </w:num>
  <w:num w:numId="9" w16cid:durableId="2130514384">
    <w:abstractNumId w:val="2"/>
  </w:num>
  <w:num w:numId="10" w16cid:durableId="1915620497">
    <w:abstractNumId w:val="1"/>
  </w:num>
  <w:num w:numId="11" w16cid:durableId="319584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0F2"/>
    <w:rsid w:val="00060070"/>
    <w:rsid w:val="000F3D33"/>
    <w:rsid w:val="00111314"/>
    <w:rsid w:val="001E7097"/>
    <w:rsid w:val="00222A7A"/>
    <w:rsid w:val="0024412F"/>
    <w:rsid w:val="002B5E14"/>
    <w:rsid w:val="002E1474"/>
    <w:rsid w:val="002F4027"/>
    <w:rsid w:val="002F6AC8"/>
    <w:rsid w:val="00303A47"/>
    <w:rsid w:val="00304E27"/>
    <w:rsid w:val="00321AF3"/>
    <w:rsid w:val="00430562"/>
    <w:rsid w:val="004742DA"/>
    <w:rsid w:val="004C5EC4"/>
    <w:rsid w:val="005D2CFC"/>
    <w:rsid w:val="006429A7"/>
    <w:rsid w:val="00657117"/>
    <w:rsid w:val="006714D2"/>
    <w:rsid w:val="006C6A69"/>
    <w:rsid w:val="006E1219"/>
    <w:rsid w:val="00705E88"/>
    <w:rsid w:val="00722171"/>
    <w:rsid w:val="00815277"/>
    <w:rsid w:val="0082050D"/>
    <w:rsid w:val="008E2ADA"/>
    <w:rsid w:val="00954D5A"/>
    <w:rsid w:val="00960E88"/>
    <w:rsid w:val="00990362"/>
    <w:rsid w:val="00AA3199"/>
    <w:rsid w:val="00B0461A"/>
    <w:rsid w:val="00B82CCF"/>
    <w:rsid w:val="00C06A07"/>
    <w:rsid w:val="00C2375C"/>
    <w:rsid w:val="00C27521"/>
    <w:rsid w:val="00C44564"/>
    <w:rsid w:val="00D92A72"/>
    <w:rsid w:val="00DA7526"/>
    <w:rsid w:val="00E0307D"/>
    <w:rsid w:val="00E33663"/>
    <w:rsid w:val="00E80A25"/>
    <w:rsid w:val="00E928E8"/>
    <w:rsid w:val="00ED19DC"/>
    <w:rsid w:val="00ED6121"/>
    <w:rsid w:val="00EE00EB"/>
    <w:rsid w:val="00F13218"/>
    <w:rsid w:val="00F7215C"/>
    <w:rsid w:val="00F950F2"/>
    <w:rsid w:val="00FE78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ABFAC"/>
  <w15:docId w15:val="{00BB09A7-C1D3-42A5-AB8C-F8196AE98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unhideWhenUsed/>
    <w:rsid w:val="00E80A25"/>
    <w:pPr>
      <w:widowControl/>
      <w:spacing w:before="120" w:after="120" w:line="240" w:lineRule="auto"/>
      <w:ind w:left="283"/>
    </w:pPr>
    <w:rPr>
      <w:rFonts w:ascii="Times New Roman" w:eastAsia="Times New Roman" w:hAnsi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80A25"/>
    <w:rPr>
      <w:rFonts w:ascii="Times New Roman" w:eastAsia="Times New Roman" w:hAnsi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21A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1A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1AF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A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1AF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lvita.vaivode@varam.gov.l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Solvita Vaivode</cp:lastModifiedBy>
  <cp:revision>2</cp:revision>
  <dcterms:created xsi:type="dcterms:W3CDTF">2022-05-31T07:51:00Z</dcterms:created>
  <dcterms:modified xsi:type="dcterms:W3CDTF">2022-05-31T07:51:00Z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