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24-TA-415: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īpaši aizsargājamām dabas teritorijām"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īpaši aizsargājamām dabas teritorijām"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- 21.07.2025.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šāda likumprojekta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grozījums izslēdz iespēju nodrošināt publisko apspriešanu un saskaņošanas procesu aizsargājamo teritoriju noteikšanā, kas pēc būtības ir būtisks sabiedrības līdzdalības mehānisms. Aizsargājamo teritoriju mērķis tieši nosaka, kādas saimnieciskās un citas darbības konkrētajā teritorijā nākotnē būs atļautas vai aizliegtas. Līdz ar to šo mērķu noteikšanai ir būtiska ietekme uz īpašnieku tiesībām un saimnieciskās darbības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aizsargājamo teritoriju mērķiem ir jābūt noteiktiem tikai ar augstāka līmeņa normatīvajiem aktiem – proti, ar Ministru kabineta noteikumiem vai likumu, nodrošinot pilnvērtīgu publisko apspriešanu un starpinstitūciju saskaņošanas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šo normu no likumprojekta.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īpaši aizsargājamām dabas teritorijām"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autora sniegtajiem paskaidrojumiem priekšlikumu tabulā (Sabiedrības iebildumi un priekšlikumi: “Pamatojums, ja iebildums / priekšlikums nav ņemts vērā,”) – konkrēti “Natura 2000 teritorijas tiek noteiktas balstoties vienīgi uz zinātnisko informāciju, izvērtējot valsts līmenī katras teritoriju nozīmīguma attiecībā uz katru biotopu veidu un katru sugu.Turklāt atbilstoši vadlīnijām Natura 2000 teritorijas parasti uzskata par pietiekamām attiecībā uz konkrētu biotopu veidu vai sugu, ja Natura 2000 tīkls aptver vairāk nekā 60 % no konkrētā biotopa kopplatības vai sugas kopējās populācijas. Savukārt, plaši izplatītiem biotopiem un sugām Natura 2000 teritorijām jāaptver vismaz 20 %,” jānorāda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tiesiskais regulējums vides jomā neparedz pilnīgu harmonizāciju, un dalībvalstis ir tiesīgas paredzēt arī stingrākas prasības nekā paredz Eiropas Savienības tiesību normas.16 (Eiropas Savienības dabas direktīvu prasību pārņemšanas izvērtējums, Gala nodevums, 2017. gada aprīlis)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EST 2005.gada 14.aprīļa sprieduma lietā C-6/03 27.punkts: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Iesākumā jānorāda, ka attiecībā uz Kopienu tiesisko regulējumu vides jomā nav paredzēta pilnīga harmonizācija. Kaut arī EKL 174. pantā paredzēti noteikti Kopienām sasniedzami mērķi, EKL 176. pantā tomēr paredzēta iespēja dalībvalstīm pieņemt stingrākus aizsargpasākumus (2000. gada 22. jūnija spriedums lietā C-318/98 Fomasar u.c., Recueil, I-4785. lpp., 46. punkts). EKL 176. pantā attiecībā uz šādiem pasākumiem tiek izvirzīts tikai tāds nosacījums, ka tiem jābūt saderīgiem ar EK līgumu un tie jādara zināmi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w:t>
            </w:r>
            <w:r w:rsidR="00000000" w:rsidRPr="00000000" w:rsidDel="00000000">
              <w:rPr>
                <w:b w:val="1"/>
                <w:rtl w:val="0"/>
              </w:rPr>
              <w:t xml:space="preserve">biedrība “Latvijas ainavas” uztur spēkā 18.10.2024 sabiedriskajā apspriešanā sniegtos iebildumus/priekšlikumus VARAM likumprojektam.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nav sniegts pierādījums, ka piem. mērķsugai – brūnajam lācim Natura 2000 tīkls aptvertu vairāk nekā 60 % no sugas kopējās populācijas.  Vienlaikus, minot, ka Natura 2000 teritorijas tiek noteiktas balstoties vienīgi uz zinātnisko informāciju, izvērtējot valsts līmenī katras teritoriju nozīmīguma attiecībā uz katru biotopu veidu un katru sugu, VARAM skaidrojumā nav norādīts, ka attiecībā uz LVMI “Silava” Lāču monitoringa (2023-2025) pārskatā par 2023.gadu minētajām lāču apdzīvotajām teritorijām (“Augšdaugava,” “Lielpurvs,” “Korģes meži” Limbažu novads, kur tika konstatēta lācenes hibernācija un miga ar lācēniem, un kur traucējuma rezultātā stingri aizsargājamas sugas indivīdi aizgāja bojā, u.c. iepriekš priekšlikumos minētās teritorijas), būtu sniegts attiecīgs zinātnieku atzinums, ka šīs teritorijas saskaņā ar “Silavas” zinātniskā monitronga datiem būtu atzītas par nepiemērotām lācim kā Natura teritorijas mērķsugai.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pielikumu “Sabiedrības iebildumi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Virknē jaunizveidoto aizsargājamo dabas teritoriju aizsargājamo sugu saraksts neatbilst DAP mājas lapā sniegtajam konkrētās teritorijas īpaši aizsargājamo sugu uzskaitījumam.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Pārbaudīt brūnā lāča zinātniskā monitoringa datus “Lāču monitorings 2023 – 2025” (LVMI Silava) pārsaktu par 2023.gadu. Pārskatā uzskatāmi norādītas šī stingri aizsargājamās lielā plēsēja apdzīvotas teritorijas gan Staiceles pagastā, gan Viļķenes, gan Salacgrīvas pagastos konstatētas pēdējos 3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tabulu “Eiropas nozīmes aizsargājamo dabas teritoriju saraksts”- Dabas liegums nr. 116 </w:t>
            </w:r>
            <w:r w:rsidR="00000000" w:rsidRPr="00000000" w:rsidDel="00000000">
              <w:rPr>
                <w:b w:val="1"/>
                <w:rtl w:val="0"/>
              </w:rPr>
              <w:t xml:space="preserve">“Lielpurvs</w:t>
            </w:r>
            <w:r w:rsidR="00000000" w:rsidRPr="00000000" w:rsidDel="00000000">
              <w:rPr>
                <w:rtl w:val="0"/>
              </w:rPr>
              <w:t xml:space="preserve">” - lācis nav atzīmēts. Turpretī DAP mājas lapā teritorijas aprakstā minēts: “Varētu būt nozīmīga vieta arī lielo plēsēju (lācis/ vilks) aizsardzībai. </w:t>
            </w:r>
            <w:r w:rsidR="00000000" w:rsidRPr="00000000" w:rsidDel="00000000">
              <w:rPr>
                <w:b w:val="1"/>
                <w:rtl w:val="0"/>
              </w:rPr>
              <w:t xml:space="preserve">“Silavas” monitoringā minēts šajā Salacgrīvas teritorijā konstatēti vismaz 3 lāču klātbūtne. </w:t>
            </w:r>
            <w:r w:rsidR="00000000" w:rsidRPr="00000000" w:rsidDel="00000000">
              <w:rPr>
                <w:rtl w:val="0"/>
              </w:rPr>
              <w:t xml:space="preserve">Piem. skat.sarakstā nr.297. Aizsargājamo ainavu apvidus “Augšdaugava”, Silavas Lāču monitoringā minēta šī teritorija – nosaukto pagastu vidū, kur konstatēts lācis – Skrudelienes, Kaplavas pagasti. Taču tabulā šajās teritorijās kā mērķsuga lācis nav minēts. Tāpat nr. 98 Dabas liegums “Rožu purvs,” Sēlpils pagasts, Jēkabpils novads, par kuru DAP mājas lapā minēts – “potenciāli piemērota vieta lielo zīdītāju sugām”. Tomēr neviena lielo zīdītāju suga sarakstā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 Dabas liegums “Ābeļi” – Jēkabpils novads, Ābeļu, Dignājas, Leimaņu pagasti. DAP mājas lapā minēts – Nozīmīgākā vieta lielo zīdītāju (lūsis/ vilks, u.c.) uzturēšanās vieta visa Sēlijā! Ļoti daudz retu augu un dzīvnieku (tostarp mazais ērglis, urālpūce, meža cauna) apdzīvota vieta. Tomēr neviena no lielo zīdītāju sugām pielikuma sarakstā nav minēta.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nr.200 – </w:t>
            </w:r>
            <w:r w:rsidR="00000000" w:rsidRPr="00000000" w:rsidDel="00000000">
              <w:rPr>
                <w:b w:val="1"/>
                <w:rtl w:val="0"/>
              </w:rPr>
              <w:t xml:space="preserve">Dabas liegums “Gruzdovas meži”</w:t>
            </w:r>
            <w:r w:rsidR="00000000" w:rsidRPr="00000000" w:rsidDel="00000000">
              <w:rPr>
                <w:rtl w:val="0"/>
              </w:rPr>
              <w:t xml:space="preserve">, Susāju pagasts, Balvu novads.Skat DAP mājas lapā – Izcils dabisko mežu biotops – vienīgā lidvāveres atradne Latvijā! </w:t>
            </w:r>
            <w:r w:rsidR="00000000" w:rsidRPr="00000000" w:rsidDel="00000000">
              <w:rPr>
                <w:b w:val="1"/>
                <w:rtl w:val="0"/>
              </w:rPr>
              <w:t xml:space="preserve">Dabas liegumā šādā izcilā meža biotopā konstatējamas arī lielo plēsēju sugas – lūši, vilki, lāči.</w:t>
            </w:r>
            <w:r w:rsidR="00000000" w:rsidRPr="00000000" w:rsidDel="00000000">
              <w:rPr>
                <w:rtl w:val="0"/>
              </w:rPr>
              <w:t xml:space="preserve"> Tomēr sarakstā neviena no šīm sugām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nr.345 “Davelnīša ezera meži”, Ērgļu pagasts, Staignāju meži. Sarakstā nav iekļauta neviena dzīvnieku suga. Tāpat nr.347 Dabas liegums “Dunalkas meži”. DAP mājas lapā [ar šo teritoriju minēts- tertorijā konstatētas retas, aizsargājamas putnu, kukaiņu, augu, mikroliegumu sugas.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Nr.351 “Gardenes meži”, Dobeles novads. Auru pagasts. DAP mājas lapā minēts- teritorijā novērots Jūras ērglis. Taču tabulā sugu uzskaitījumā šī suga vispār nav minēta.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358. “Jūgupes meži”. DAP mājas lapā minēts – teritorijā mikroliegumi, kas veidoti medņa aizsardzībai. Taču tabulā neviena dzīvnieku – ne putnu, ne zīdītāju suga vispār nav iekļauta. Tāpat nr. 372 “Medņu kalni”, kas DAP mājas lapā norādīta kā mikroliegums medņa aizsardzībai, bet tabulā mednis vispār nav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Nr.361 </w:t>
            </w:r>
            <w:r w:rsidR="00000000" w:rsidRPr="00000000" w:rsidDel="00000000">
              <w:rPr>
                <w:b w:val="1"/>
                <w:rtl w:val="0"/>
              </w:rPr>
              <w:t xml:space="preserve">“Korģes meži”, Limbažu novads, Alojas, Pāles pagasti. Saskaņā ar “Silavas” pētījuma rezultātiem, teritoriju apdzīvo lāči, kam attiecīgi vajadzētu būt iekļautam sarakstā.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sniegts Izziņas 3.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īpaši aizsargājamām dabas teritorijām"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īpaši aizsargājamām dabas teritorijām"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funkcijas ir saistītas ar Dabas atjaunošanas Regulu (ES) 2024/1991 un ES Biodaudzveidības stratēģiju 2030.gadam.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savas kompetences ietvaros jau vairāk kā 20 gadus biotopu (g.k. zālāju) uzturēšanas nolūkos atsevišķās īpaši aizsargājamās dabas teritorijās (turpmāk – ĪADT) ar panākumiem izmanto taurgovis un konikus.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dzīvnieku izmantošana neatbilst lauksaimniecības dzīvnieku turēšanas mērķiem un nosacījumiem, bet tieši attiecas uz tādu biotopu veidošanu un uzturēšanu par kuriem Latvijai ir ierosināta pārkāpumu procedūra, bet pašu dzīvnieku statuss līdzinās „savvaļas dzīvnieki” atbilstoši Regulas Nr.2016/429 definīcijas skaidrojumam. Līdz ar to arī normatīvais regulējums attiecībā uz šiem dzīvniekiem kļūst vairāk atbilstošs VARAM kompetencei saistībā ar sugu un biotopu aizsardzību. Ir nepieciešamas jaunas likuma normas, kuru izstrāde būtu jāveic VARAM, saskaņojot ar 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jautājums ir tieši saistīts ar specifisku teritoriju (ĪADT) noteikšanu un atbilst šī Likuma tvērumam. Uz šāda „jumta panta” bāzes turpmāk būtu izstrādājami citi normatīvie regulējumi, kas saistīti ar minēto biotopu apsaimniekošanas veidu (savvaļas ganībām).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likuma 43.panta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īpaši aizsargājamās dabas teritorijas, kurās Eiropas nozīmes biotopu uzturēšanas nolūkos izlaistiem zirgiem un liellopiem un viņu pēcnācējiem tiek noteikts statuss „savvaļas dzīvnieki” atbilstoši Regulas Nr.2016/429 definīcijas skaidrojumam".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sniegts Izziņas 4.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īpaši aizsargājamām dabas teritorijām"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īpaši aizsargājamām dabas teritorijām"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autora sniegtajiem paskaidrojumiem priekšlikumu tabulā (“Pamatojums, ja iebildums / priekšlikums nav ņemts vērā,”) – konkrēti “Natura 2000 teritorijas tiek noteiktas balstoties vienīgi uz zinātnisko informāciju, izvērtējot valsts līmenī katras teritoriju nozīmīguma attiecībā uz katru biotopu veidu un katru sugu.Turklāt atbilstoši vadlīnijām Natura 2000 teritorijas parasti uzskata par pietiekamām attiecībā uz konkrētu biotopu veidu vai sugu, ja Natura 2000 tīkls aptver vairāk nekā 60 % no konkrētā biotopa kopplatības vai sugas kopējās populācijas. Savukārt, plaši izplatītiem biotopiem un sugām Natura 2000 teritorijām jāaptver vismaz 20 %,” jānorāda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tiesiskais regulējums vides jomā neparedz pilnīgu harmonizāciju, un dalībvalstis ir tiesīgas paredzēt arī stingrākas prasības nekā paredz Eiropas Savienības tiesību normas.</w:t>
            </w:r>
            <w:r w:rsidR="00000000" w:rsidRPr="00000000" w:rsidDel="00000000">
              <w:rPr>
                <w:vertAlign w:val="superscript"/>
                <w:rtl w:val="0"/>
              </w:rPr>
              <w:t xml:space="preserve">16</w:t>
            </w:r>
            <w:r w:rsidR="00000000" w:rsidRPr="00000000" w:rsidDel="00000000">
              <w:rPr>
                <w:rtl w:val="0"/>
              </w:rPr>
              <w:t xml:space="preserve"> (Eiropas Savienības dabas direktīvu prasību pārņemšanas izvērtējums, Gala nodevums, 2017. gada aprīlis)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vertAlign w:val="superscript"/>
                <w:rtl w:val="0"/>
              </w:rPr>
              <w:t xml:space="preserve">16</w:t>
            </w:r>
            <w:r w:rsidR="00000000" w:rsidRPr="00000000" w:rsidDel="00000000">
              <w:rPr>
                <w:rtl w:val="0"/>
              </w:rPr>
              <w:t xml:space="preserve"> EST 2005.gada 14.aprīļa sprieduma lietā C-6/03 27.punkts: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Iesākumā jānorāda, ka attiecībā uz Kopienu tiesisko regulējumu vides jomā nav paredzēta pilnīga harmonizācija. Kaut arī EKL 174. pantā paredzēti noteikti Kopienām sasniedzami mērķi, EKL 176. pantā tomēr paredzēta iespēja dalībvalstīm pieņemt stingrākus aizsargpasākumus (2000. gada 22. jūnija spriedums lietā C-318/98 Fomasar u.c., Recueil, I-4785. lpp., 46. punkts). EKL 176. pantā attiecībā uz šādiem pasākumiem tiek izvirzīts tikai tāds nosacījums, ka tiem jābūt saderīgiem ar EK līgumu un tie jādara zināmi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biedrība “Latvijas ainavas” uztur spēkā 4.09.2024 sabiedriskajā apspriešanā sniegtos iebildumus/priekšlikumus VARAM likumprojektam.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nav sniegts pierādījums, ka piem. mērķsugai – brūnajam lācim (Ursus arctos) Natura 2000 tīkls aptvertu vairāk nekā 60 % no sugas kopējās populācijas.  Vienlaikus, minot, ka Natura 2000 teritorijas tiek noteiktas balstoties vienīgi uz zinātnisko informāciju, izvērtējot valsts līmenī katras teritoriju nozīmīguma attiecībā uz katru biotopu veidu un katru sugu, VARAM skaidrojumā nav norādīts, ka attiecībā uz Silavas Lāču monitoringa (2023-2025) pārskatā par 2023.gadu minētajām brūnā lāču apdzīvotajām teritorijām (“Augšdaugava,” “Lielpurvs,” “Korģes meži” Limbažu novads, kur tika konstatēta lācenes ziemošana un miga ar lācēniem, un kur traucējuma rezultātā stingri aizsargājamas sugas indivīdi aizgāja bojā, u.c. iepriekš priekšlikumos minētās), būtu sniegts attiecīgs zinātnieku atzinums, ka šīs teritorijas saskaņā ar Silavas zinātniskā monitronga datiem būtu atzītas par nepiemērotām brūnajam lācim kā Natura teritorijas mērķsugai.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pielikumu “Sabiedrības iebildumi un priekšlikumi” 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Virknē jaunizveidoto aizsargājamo dabas teritoriju aizsargājamo sugu saraksts neatbilst DAP mājas lapā sniegtajam konkrētās teritorijas īpaši aizsargājamo sugu uzskaitījumam.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piem. Lāču monitoringa datus “Lāču monitorings 2023 – 2025” (LVMI Silava) pārsaktu par 2023.gadu. Pārskatā uzskatāmi norādītas šī aizsargājamās lielā plēsēja apdzīvotas teritorijas gan Staiceles pagastā, gan Viļķenes, gan Salacgrīvas pagastos konstatētas pēdējos 3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tabulu “Eiropas nozīmes aizsargājamo dabas teritoriju saraksts”- Dabas liegums nr. 116 “Lielpurvs” - lācis nav atzīmēts. Turpretī DAP mājas lapā teritorijas aprakstā minēts: “Varētu būt nozīmīga vieta arī lielo plēsēju (lācis/ vilks) aizsardzībai. “Silavas” monitoringā minēts šajā Salacgrīvas teritorijā konstatēti vismaz 3 lāču klātbūtne. Piem. skat.sarakstā nr.297. Aizsargājamo ainavu apvidus “Augšdaugava”, Silavas Lāču monitoringā minēta šī teritorija – nosaukto pagastu vidū, kur konstatēts lācis – Skrudelienes, Kaplavas pagasti. Taču tabulā šajās teritorijās kā mērķsuga lācis nav minēts. Tāpat nr. 98 Dabas liegums “Rožu purvs,” Sēlpils pagasts, Jēkabpils novads, par kuru DAP mājas lapā minēts – “potenciāli piemērota vieta lielo zīdītāju sugām”. Tomēr neviena lielo zīdītāju suga sarakstā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 Dabas liegums “Ābeļi” – Jēkabpils novads, Ābeļu, Dignājas, Leimaņu pagasti. DAP mājas lapā minēts – Nozīmīgākā vieta lielo zīdītāju (lūsis/ vilks, u.c.) uzturēšanās vita visa Sēlijā! Ļoti daudz retu augu un dzīvnieku (tostarp mazais ērglis, urālpūce, meža cauna) apdzīvota vieta. Tomēr neviena no lielo zīdītāju sugām pielikuma sarakstā nav minēta.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nr.200 – Dabas liegums “Gruzdovas meži”, Susāju pagasts, Balvu novads.Skat DAP mājas lapā – Izcils dabisko mežu biotops – vienīgā lidvāveres atradne Latvijā! Dabas liegumā šādā izcilā meža biotopā konstatējamas arī lielo plēsēju sugas – lūši, vilki, lāči. Tomēr sarakstā neviena no šīm sugām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nr.345 “Davelnīša ezera meži”, Ērgļu pagasts, Staignāju meži. Sarakstā nav iekļauta neviena dzīvnieku suga. Tāpat nr.347 Dabas liegums “Dunalkas meži”. DAP mājas lapā [ar šo teritoriju minēts- tertorijā konstatētas retas, aizsargājamas putnu, kukaiņu, augu, mikroliegumu sugas.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Nr.351 “Gardenes meži”, Dobeles novads. Auru pagasts. DAP mājas lapā minēts- teritorijā novērots Jūras ērglis. Taču tabulā sugu uzskaitījumā šī suga vispār nav minēta.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358. “Jūgupes meži”. DAP mājas lapā minēts – teritorijā mikroliegumi, kas veidoti medņa aizsardzībai. Taču tabulā neviena dzīvnieku – ne putnu, ne zīdītāju suga vispār nav iekļauta. Tāpat nr. 372 “Medņu kalni”, kas DAP mājas lapā norādīta kā mikroliegums medņa aizsardzībai, bet tabulā mednis vispār nav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Nr.361 “Korģes meži”, Limbažu novads, Alojas, Pāles pagasti. Saskaņā ar “Silavas” pētījuma rezultātiem, teritoriju apdzīvo lāči, kam attiecīgi vajadzētu būt iekļautam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Biotopu direktīvā noteiktajam, Natura 2000 teritorijas tiek veidotas, lai nodrošinātu tās I pielikumā uzskaitīto biotopu veidu un II pielikumā uzskaitīto sugu labvēlīgo aizsardzības statusu. Biotopu direktīvas II pielikumā ir noteikts izņēmums attiecībā uz Latviju sekojošām sugām: Eirāzijas bebrs </w:t>
            </w:r>
            <w:r w:rsidR="00000000" w:rsidRPr="00000000" w:rsidDel="00000000">
              <w:rPr>
                <w:i w:val="1"/>
                <w:rtl w:val="0"/>
              </w:rPr>
              <w:t xml:space="preserve">Castor fiber</w:t>
            </w:r>
            <w:r w:rsidR="00000000" w:rsidRPr="00000000" w:rsidDel="00000000">
              <w:rPr>
                <w:rtl w:val="0"/>
              </w:rPr>
              <w:t xml:space="preserve">, Eirāzijas lūsis </w:t>
            </w:r>
            <w:r w:rsidR="00000000" w:rsidRPr="00000000" w:rsidDel="00000000">
              <w:rPr>
                <w:i w:val="1"/>
                <w:rtl w:val="0"/>
              </w:rPr>
              <w:t xml:space="preserve">Lynx lynx</w:t>
            </w:r>
            <w:r w:rsidR="00000000" w:rsidRPr="00000000" w:rsidDel="00000000">
              <w:rPr>
                <w:rtl w:val="0"/>
              </w:rPr>
              <w:t xml:space="preserve">, Pelēkais vilks </w:t>
            </w:r>
            <w:r w:rsidR="00000000" w:rsidRPr="00000000" w:rsidDel="00000000">
              <w:rPr>
                <w:i w:val="1"/>
                <w:rtl w:val="0"/>
              </w:rPr>
              <w:t xml:space="preserve">Canis lupus</w:t>
            </w:r>
            <w:r w:rsidR="00000000" w:rsidRPr="00000000" w:rsidDel="00000000">
              <w:rPr>
                <w:rtl w:val="0"/>
              </w:rPr>
              <w:t xml:space="preserve">. Savukārt Meža cauna </w:t>
            </w:r>
            <w:r w:rsidR="00000000" w:rsidRPr="00000000" w:rsidDel="00000000">
              <w:rPr>
                <w:i w:val="1"/>
                <w:rtl w:val="0"/>
              </w:rPr>
              <w:t xml:space="preserve">Martes martes</w:t>
            </w:r>
            <w:r w:rsidR="00000000" w:rsidRPr="00000000" w:rsidDel="00000000">
              <w:rPr>
                <w:rtl w:val="0"/>
              </w:rPr>
              <w:t xml:space="preserve"> Biotopu direktīvas II pielikumā nav iekļauta. Līdz ar to šīs sugas nav Latvijas Natura 2000 teritoriju izveides mērķis.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 pēc kuriem atlasa teritorijas, ir izklāstīti Biotopu direktīvas III pielikumā. Natura 2000 teritorijas tiek noteiktas balstoties vienīgi uz zinātnisko informāciju, izvērtējot valsts līmenī katras teritoriju nozīmīguma attiecībā uz katru biotopu veidu un katru sugu.Turklāt atbilstoši vadlīnijām[1]  Natura 2000 teritorijas parasti uzskata par pietiekamām attiecībā uz konkrētu biotopu veidu vai sugu, ja Natura 2000 tīkls aptver vairāk nekā 60 % no konkrētā biotopa kopplatības vai sugas kopējās populācijas. Savukārt, plaši izplatītiem biotopiem un sugām Natura 2000 teritorijām jāaptver vismaz 20 %.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Sugu un biotopu veidu uzskaitījums, kuru dēļ Natura 2000  teritorijas statuss piešķirts, ir norādīts katras Natura 2000 teritorijas datu standartveidlapā (turpmāk – SDF) atbilstoši Komisijas 1996. gada 18. decembra lēmumam 97/266/EK par formu, kādā sniedzama informācija par Natura 2000 ierosinātajām teritorijām[2]. Likuma Pielikumā tiek noteikti katras teritorijas izveidošanas mērķi, kas atbilst tās izveidošanas kritērijiem, proti, tiek uzskaitītas tās sugas un biotopi, kas ir kvalificējošās sugas šo teritoriju izveidei. Brūnais lācis </w:t>
            </w:r>
            <w:r w:rsidR="00000000" w:rsidRPr="00000000" w:rsidDel="00000000">
              <w:rPr>
                <w:i w:val="1"/>
                <w:rtl w:val="0"/>
              </w:rPr>
              <w:t xml:space="preserve">Ursus arctos</w:t>
            </w:r>
            <w:r w:rsidR="00000000" w:rsidRPr="00000000" w:rsidDel="00000000">
              <w:rPr>
                <w:rtl w:val="0"/>
              </w:rPr>
              <w:t xml:space="preserve"> ir viens no izveidošanas mērķiem 15 Natura 2000 teritorijām.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Monitoringa dati ir uzskatāmi par zinātnisko informāciju, kuru izmanto, lai noteiktu aizsargājamās teritorijas konkrētu sugu aizsardzībai, taču monitoringa dati paši par sevi nav pamats, lai visas dzīvnieku sugas, kas konstatēta kādā aizsargājamā teritorijā, automātiski noteiktu par Natura 2000 izveidošanas mērķa sugām.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SDF papildus informācijai par sugām un biotopiem, kuru aizsardzībai ir noteikta Natura 2000 teritorija, ir uzskaitītas arī citas teritorijā satopamās sugas. SDF ir publiski pieejamas[3].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Criteria for assessing sufficiency of sites designation for habitats listed in annex I and species listed in annex II of the Habitats Directive (2016)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Pieejams: https://eur-lex.europa.eu/legal-content/LV/TXT/PDF/?uri=CELEX:31997D0266&amp;from=EN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 https://natura2000.eea.europa.eu/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īpaši aizsargājamām dabas teritorijām"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īpaši aizsargājamām dabas teritorijām"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jau iepriekš (publiskā apspriešanā) izteikto priekšlikumu papildināt likumprojektu ar jaunu punktu un nepiekrītot VARAM izteiktajam apgalvojumam par neatbilstību, paskaidroju sekojošo, jo jautājums ir starpdisciplinārs: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funkcijās ir Latvijas normatīvo aktu izstrāde saistībā ar jomu, kas izriet no Dzīvnieku veselības tiesību akta (Regula Nr.2016/429), savukārt VARAM, - saistībā ar Dabas atjaunošanas Regulu (ES) 2024/1991 un ES Biodaudzveidības stratēģiju 2030.gadam.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savas kompetences ietvaros jau vairāk kā 20 gadus biotopu (g.k. zālāju) uzturēšanas nolūkos atsevišķās īpaši aizsargājamās dabas teritorijās (turpmāk – ĪADT) ar panākumiem izmanto Heck govis (taurgovis) un Konik zirgus (konikus), kuru šķirnes ir apzināti selekcionētas ar mērķi nostiprināt dzīvnieku pielāgotību dzīvei savvaļā.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izveidojusies situācija, kurā šādi dzīvnieki vairs neatbilst lauksaimniecības dzīvnieku turēšanas mērķiem un nosacījumiem, kā arī praksē nav izpildāmas uz lauksaimniecības dzīvniekiem attiecināmās prasības. Līdz ar to arī normatīvais regulējums attiecībā uz šiem dzīvniekiem kļūst vairāk atbilstošs VARAM kompetencei saistībā ar sugu un biotopu aizsardzību. Ir nepieciešamas jaunas likuma normas, kuru izstrāde būtu jāveic VARAM, saskaņojot ar 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jautājums ir tieši saistīts ar specifisku teritoriju (ĪADT) noteikšanu un atbilst šī Likuma tvērumam. Uz šāda „jumta panta” bāzes turpmāk būtu izstrādājami citi normatīvie regulējumi, kas saistīti ar minēto biotopu apsaimniekošanas veidu (savvaļas ganībām).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43.pantu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MK nosaka teritorijas, kurās Eiropas nozīmes biotopu uzturēšanas nolūkos izlaistiem lauksaimniecības dzīvniekiem un viņu pēcnācējiem tiek noteikts statuss „savvaļas dzīvnieki " atbilstoši Regulas Nr.2016/429 definīcijām.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1. pantā ir noteikti likuma uzdevumi. Jautājumi, kas saistīti ar dzīvnieku izmantošanas un turēšanas nosacījumiem, neatbilst Likuma tvērumam un nav tajā iekļaujami.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īpaši aizsargājamām dabas teritorijām"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40. pantu ar ceturto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pārkāpjot aizsargājamā koka aizsardzību un izmantošanu regulējošos normatīvos aktus, aizsargājamais koks ir bojāts vai iznīcināts, aizsargājamam kokam statusa maiņa (koks bojāts vai iznīcināts) tiek reģistrēta aizsargājamo teritoriju valsts reģistrā, nedzēšot to no aizsargājamo teritoriju valsts reģistra. Uz bojātā vai iznīcinātā aizsargājamā koka teritoriju attiecas aizsargājamo koku teritorijai normatīvajos aktos noteiktie ierobežojumi. Ieraksts aizsargājamo teritoriju valsts reģistrā saglabājams 20 gadus no pārkāpuma konstatēšanas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aizsargājamam kokam netiek reģistrēta nemainīga aizsargājamā teritorija. Saskaņā ar likuma 6.panta otro daļu, lai nodrošinātu aizsargājamo koku  saglabāšanu un to apskates iespēju, aizsargāta tiek  teritorija zem koku vainagiem, kā arī 10 metru rādiusā ap tiem, skaitot no koka vainaga projekcijas. Aizsargājamā koka teritorija netiek noteikta ne ar likumu, ne MK noteikumiem. Aizsargājams koks pat var nebūt reģistrēts aizsargājamo teritoriju reģistrā, bet tā atbilstība aizsargājam koka statusam var tikt atzīta jau pēc koka nociršanas. Likuma mērķis ir aizsargāt koku nevis tā teritoriju pēc koka bojā ejas.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būs ļoti grūti 20 gadu periodā pierādīt bijušā aizsargājamā koka aizsardzības teritoriju, ja tā nav bijusi iepriekš fiksēta.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Ņemot vērā, ka nelikumīgi iznīcināta aizsargājamā koka vainaga projekcija var nebūt zināma, likumprojekts paredz noteikt ierobežojumus 15 metru rādiusā ap iznīcinātā koka celmu. Likumprojektā iekļautās normas mērķis ir preventīvi aizsargāt augošu koku no ļaunprātīgas iznīcināšanas.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40. pantu ar ceturto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pārkāpjot aizsargājamā koka aizsardzību un izmantošanu regulējošos normatīvos aktus, aizsargājamais koks ir bojāts vai iznīcināts, aizsargājamam kokam statusa maiņa (koks bojāts vai iznīcināts) tiek reģistrēta aizsargājamo teritoriju valsts reģistrā, nedzēšot to no aizsargājamo teritoriju valsts reģistra. Uz bojātā vai iznīcinātā aizsargājamā koka teritoriju attiecas aizsargājamo koku teritorijai normatīvajos aktos noteiktie ierobežojumi. Ieraksts aizsargājamo teritoriju valsts reģistrā saglabājams 20 gadus no pārkāpuma konstatēšanas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pēdējā laikā ir novēroti vairāki gadījumi, kad aizsargājami koki tīši tiek iznicināti vai bojāti, LPS ieskatā šī norma var pasargāt aizsargājamos kokus no iznicināšanas, tādēļ to konceptuāli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rūpīgi jāizvērtē, vai šī norma faktiski strādās.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dabā vairs nepastāvēs aizsargājamais objekts, līdz ar to nepastāvēs acīmredzamas šaubas, ka īpašums kaut kādā veidā ir papildus apgrūtināts no dabas aizsardzības viedokļa, kas liktu veikt papildu pārbaudes aizsargājamo teritoriju valsts reģistrā gan potenciālajiem nekustamā īpašuma īpašniekiem, gan valsts pārvaldes iestādēm, gan jebkurai citai trešajai personai, kurai ir kādā interese par konkrēto nekustamo īpašumu. Latvijas sabiedrībā nav visiem vispārīgi zināms, ka pirms nekustamā īpašuma iegādes jāveic ne tikai zemesgrāmatā izdarīto ierakstu pārbaude, vai zemes gabala izmantošanas veida pārbaude atbilstoši vietējās pašvaldības teritorijas plānošanas dokumentiem, bet arī jāieskatās aizsargājamo teritoriju valsts reģistrā. Līdz ar to aicinām rūpīgi izvērtēt, vai izvēlētais īpašuma tiesību ierobežojuma noteikšanas veids ir formulēts pietiekami skaidri. Ieraksts zemesgrāmatā un sasaiste ar apgrūtināto teritoriju informācijas sistēmu būtu vislabākais veids, kā padarītu šo aprobežojumu vispārzināmu. Pretējā gadījumā tas var radīt lielus zaudējumus gan privātpersonām, gan publiskām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dabas datu pārvaldības sistēmā “Ozols” iezīmētā aizsargājamā koka (dižkoka) teritorija (10 metru rādiuss ap tiem, skaitot no koka vainaga projekcijas) netiek norādīta ar precīzām koordinātām, līdz ar to, brīdī, kad koks tiek nozāģēts vai citādi iznīcināts, arī dabā vairs nebūs iespējams identificēt koka vainagu un tā projekciju, savukārt, piemēram, izvērtējot būvniecības ieceri īpašumā, kura teritorijā koks ir iznīcināts, faktiski nebūs iespējams noteikt precīzu teritoriju, kurā piemērojami Ministru kabineta 2010.gada 16.marta noteikumos Nr.264 “Īpaši aizsargājamo dabas teritoriju vispārējie aizsardzības un izmantošanas noteikumi” (turpmāk – Noteikumi Nr.264) noteiktie ierobežojumi. Jāuzsver, ka, piemēram, Saulkrastu novada teritorijā esošajā pilsētā un ciemos, kur apbūve pieļaujama īpašumos, kuru platība vēsturiski ir pat tikai 600 m2, jautājums par viena vai divu metru robežas neprecizitāti var būt ļoti būtisks un radīt nepamatotu īpašumtiesību aizskārumu zemes īpašniekam. Turklāt, blīvas apbūves teritorijās nereti aizsargājamais koks atrodas tuvu vai pat uz īpašumu robežas, līdz ar to aizsargājamā koka teritorija skar arī blakus esošos īpašumus, kas, savukārt, nozīmē, ka lai gan dižkoks tiek iznīcināts vienā īpašumā, aprobežojumi tiks saglabāti arī blakus esošajiem īpašumiem, kas nav atbildīgi par dižkoka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izvērtējot Noteikumos Nr.264 noteiktos aprobežojumus aizsargājamā koka teritorijā, nav saprotams, kādas darbības būs aizliegtas iznīcinātā koka teritorijā, jo minēto noteikumu 44.1.apakšpunktā noteiktais regulējums paredz tādu darbību aizliegumu, kas var negatīvi ietekmēt aizsargājamā koka augšanu un dabisko attīstību, kas pēc savas jēgas un būtības nav piemērojams gadījumos, kad koks ir iznīcināts.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var būt gadījumi, kad dižkoks ļaunprātīgi tiek iznīcināts cita īpašumā. Šādas normas piemērošana sodīs zemes īpašnieku, kurš jau ir cietušais, nevis faktisko pārkāpēju.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Ņemot vērā, ka nelikumīgi iznīcināta aizsargājamā koka vainaga projekcija var nebūt zināma, likumprojekts paredz noteikt ierobežojumus 15 metru rādiusā ap iznīcinātā koka celmu. Vienlaikus precizēti ierobežojumi, nosakot aizliegumu veikt jaunu būvniecību, izņemot inženierbūvju būvniecību ar Dabas aizsardzības pārvaldes rakstisku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Ieraksta saglabāšana dabas datu pārvaldības sistēmā nodrošina sabiedrībai informāciju par nelikumīgi iznīcinātiem aizsargājamiem kokiem. Zemesgrāmatā iekļautā informtīvā atsauce nodrošina, ka jebkura persona ieskatoties Zemesgrāmatā saņem informāciju par nepieciešamību pārliecināties par īpašuma atrašanos aizsargājamā teritorijā.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40. pantu ar ceturto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pārkāpjot aizsargājamā koka aizsardzību un izmantošanu regulējošos normatīvos aktus, aizsargājamais koks ir bojāts vai iznīcināts, aizsargājamam kokam statusa maiņa (koks bojāts vai iznīcināts) tiek reģistrēta aizsargājamo teritoriju valsts reģistrā, nedzēšot to no aizsargājamo teritoriju valsts reģistra. Uz bojātā vai iznīcinātā aizsargājamā koka teritoriju attiecas aizsargājamo koku teritorijai normatīvajos aktos noteiktie ierobežojumi. Ieraksts aizsargājamo teritoriju valsts reģistrā saglabājams 20 gadus no pārkāpuma konstatēšanas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1.3. sadaļā ietverto skaidrojumu par likumprojekta 3. pantā paredzētā regulējuma nepieciešamību un mērķi. Proti, nepieciešams skaidrot, vai gadījumā, ja aizsargājamais koks ir bojāts vai iznīcināts, tam piemīt vērtība, kas atbilst likuma "Par īpaši aizsargājamām dabas teritorijām" (turpmāk - Likums) 40. pantā noteiktajam, savukārt, ja šādas vērtības nav (kas varētu būt iemesls, kādēļ likumprojekta 3. pantā attiecīgais regulējums ietverts), tad nepieciešams skaidrot aizsargājamo koku teritorijai normatīvajos aktos (tostarp norādot konkrētus normatīvos aktus) noteikto ierobežojumu mērķi, tostarp vai šos mērķus var sasniegt, veicot arī bojātā vai iznīcinātā aizsargājamā koka teritorijas aizsardzību. Kā arī nepieciešams anotācijā skaidrot ieraksta saglabāšanas termiņa - 20 gadi - pamatojumu un samērīgumu, tostarp norādot, vai ir samērīgi paredzēt šādu ierobežojumu papildus jau indivīdam likumā paredzētajai atbildībai par aizsargājamā koka bojāšanu vai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ir preventīvi pasargāt aizsargājamos kokus no iznīcināšanas. Iznīcinātam kokam vairs nepiemīt vērtība, dēļ kuras tam noteikts aizsargājama koka statuss, tāpēc tam tiek atcelts statuss, bet ieraksts saglabājams dabas datu pārvaldības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izvērtēts termiņš 20 gadi un nosacījumi, kādi jāievēro zemes īpašniekam, ja nelikumīgi iznīcināts aizsargājams koks. Ministrijas ieskatā 20 gadi ir samērīgs termiņš, lai atturētu no nelikumīgas rīcības un lai īpašnieka maiņa netiktu ļaunprātīgi izmantota un neveidotos situācija, ka mainoties īpašniekam, ierobežojumi tiek atcelti. 20 gadi uzskatāmi par samērīgu termiņu arī salīdzinot ar pašvaldības teritorijas attīstības plānošanu (teritorijas plānojums tiek izstrādāts laikam posmam līdz 25 gadiem).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jaunu 3.</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Dabas aizsardzības pārvalde apstiprina katras Eiropas nozīmes aizsargājamās dabas teritorijas (Natura 2000) aizsardzības mērķus, balstoties uz tās izveidošanas mērķiem un ņemot vērā katra Eiropas nozīmes biotopa un sugas ekoloģiskās prasības un Eiropas nozīmes biotopu un sugu aizsardzības stāvokli.";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joprojām atturīgi raugās uz to, ka  Dabas aizsardzības pārvalde apstiprinās aizsardzības mērķus Natura 2000 teritorijām, ņemot vērā, ka no tiem var izrietēt saimnieciskās darbības aprobežojumi. Šī likuma IV nodaļā ir noteikta aizsargājamo teritoriju saglabāšanas  kārtība, tostarp, ka Ministru kabinets nosaka aizsargājamo teritoriju aizsardzības un izmantošanas noteikumus, kuros reglamentēti tajās pieļaujamo un aizliegto darbību veidi. Uzskatām, ka saimnieciskās darbības aprobežojumus nevar noteikt Dabas aizsardzības pārvalde, tādēļ aicinām papildināt normu, paredzot , ka nosacījumus (pieļaujamos un aizliegto darbību veidus) Eiropas nozīmes aizsargājamās dabas teritorijas (Natura 2000) aizsardzības mērķu sasniegšanai nosaka  atbilstoši šī likuma  IV nodaļā noteiktajai aizsargājamo teritoriju saglabāšanas kārtībai vai aizsargājamo teritoriju aizsardzības un izmantošanas noteikumos.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3.1.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Dabas aizsardzības pārvalde apstiprina katras Eiropas nozīmes aizsargājamās dabas teritorijas (Natura 2000) aizsardzības mērķus, balstoties uz tās izveidošanas mērķiem un ņemot vērā katra Eiropas nozīmes biotopa un sugas ekoloģiskās prasības un Eiropas nozīmes biotopu un sugu aizsardzības stāvokli. Nosacījumus Eiropas nozīmes aizsargājamās dabas teritorijas (Natura 2000) aizsardzības mērķu sasniegšanai nosaka  atbilstoši šī likuma  IV nodaļā noteiktajai aizsargājamo teritoriju saglabāšanas  kārtībai.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norādot, ka arī pēc aizsardzības mērķu noteikšanas Natura 2000 teritorijās tāpat kā līdz šim ir spēkā vispārējie vai individuālie aizsardzības un izmantošanas noteikumi. Aizsardzības mērķi paši par sevi neuzliek zemes īpašniekam saimnieciskās darbības ierobežojumus, tie var tik noteikti tikai ar normatīvajiem aktiem.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jaunu 3.</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Dabas aizsardzības pārvalde apstiprina katras Eiropas nozīmes aizsargājamās dabas teritorijas (Natura 2000) aizsardzības mērķus, balstoties uz tās izveidošanas mērķiem un ņemot vērā katra Eiropas nozīmes biotopa un sugas ekoloģiskās prasības un Eiropas nozīmes biotopu un sugu aizsardzības stāvokli.";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šādu normas projektu, jo tas izslēdz iespēju nodrošināt publisko apspriešanu un saskaņošanas procesu. Aizsargājamo teritoriju mērķis, pēc būtības nozīmē to, kādas darbības ar sekojošu normatīvo regulējumu tiks atļautas vai aizliegtas konkrētajā teritorijā.  Tāpēc,  aizsargājamo teritoriju mērķim jābūt noteiktam ar augstāka līmeņa normatīvo aktu- Ministru kabineta noteikumiem vai likumu un izejot publiskās apspriešanas un saskaņošanas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normu no normatīvā akta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Natura 2000 teritoriju aizsardzības mērķi tiek noteikti balstoties uz zinātniskiem kritērijiem atbilstoši Eiropas Komisijas vadlīnijām. Mērķi paši par sevi neuzliek jaunus aizliegumus vai pienākumus zemes īpašniekam. Aizsardzības mērķu galvenā funkcija ir noteikt vēlamo aizsardzības stāvokli teritorijā un tie tiek izmantoti teritorijas apsaimniekošanas plānošanai, kā arī ietekmes uz vidi novērtējuma procesā.  Dokumenti, ar kuriem aizsardzības mērķi tiek "iedzīvināti", ietver publiskās apspriešanas procesu - dabas aizsardzības plāni, ministru kabineta noteikumi, kā arī ietekmes uz vidi novērtējuma process.  Aizsardzības mērķu noteikšana ar Ministru kabineta noteikumiem vai likumu nav lietderīga, ņemot vērā, aizsardzības mērķu datu struktūru un apjomu, kā arī to, ka ar noteikšana ar normatīvo aktu, to padarītu neelastīgu.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40. pantu ar ceturto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pārkāpjot aizsargājamā koka aizsardzību un izmantošanu regulējošos normatīvos aktus, aizsargājamais koks ir iznīcināts, aizsargājamam kokam statusa maiņa (iznīcināts) tiek reģistrēta aizsargājamo teritoriju valsts reģistrā, nedzēšot to no aizsargājamo teritoriju valsts reģistra. Ieraksts aizsargājamo teritoriju valsts reģistrā saglabājams 20 gadus no pārkāpuma konstatēšanas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 15 metru rādiusā, mērot no iznīcinātā aizsargājamā koka celma, aizliegts veikt jaunu būvniecību, izņemot inženierbūvju būvniecību ar Dabas aizsardzības pārvaldes rakstisku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izvērtēt, vai 20 gadi ir samērīgs laiks un vai šāds ierobežojums neradīs riskus, piemēram - vai neveidosies degradēta vide, teritorija, kuras attīstība, t.sk. uzturēšana un atbilstoša apsaimniekošana, ievērojami tiks apgrūtināta vai vispār netiks veicināta. Aizsargājamā koka iznīcināšanas gadījumā teritorijas vērtība, no aizsargājamās teritorijas noteikšanas viedokļa (mērķa), jebkurā gadījumā būs zudusi, taču tiek paaugstināti riski teritorijas atbilstošai apsaimniekošanai un uzturēšanai turpmāk. Tāpat izvērtējams vai noteiktais termiņš ir samērīgs attiecībā uz būtiskiem ierobežojumiem īpašumam īpašnieku maiņas gadījumā, kas savukārt, visdrīzāk, arī neveicinās konkrētā īpašuma atbilstošu uzturēšanu, sakārtošanu. Kā arī, ņemot vērā, ka ir gadījumi, kad aizsargājamā koka aizsardzības zona atrodas vairāku īpašumu robežās, izvērtējams kā tas ietekmēs blakus esošos īpašniekus, kuri nav atbildīgi par regulējošo normatīvo aktu pārkāpumu konkrētajā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skaidrojums, ja aizsargājamais koks ir iznīcināts, vai tā celms vai bijusī atrašanās vieta saglabā īpaši aizsargājamās teritorijas statusu šī likuma izpratnē un arī faktiski dabā, lai noteiktu šādu turpmāku teritorijas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skaidrojums ne par iznīcināta koka teritorijas - 15 m rādiusā no celma, ne ieraksta saglabāšanas valsts reģistrā termiņa – 20 gadi, noteikto ierobežojumu pamatojumu un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personai likumā jau ir noteikta atbildība par aizsargājama koka bojāšanu vai iznīcināšanu, anotācijā nepieciešams skaidrot plānoto papildu ierobežojumu pamatojumu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ir vērtēti citi iespējamie pasākumi situācijās, kad apzinātu darbību dēļ iznīcināts aizsargājamais koks, kas, iespējams, izslēgtu iepriekš minētos riskus un būtu efektīvāki, arī teritoriju uzturēšanas un apsaimniekošanas kontekstā, piemēram, paredzot noteiktus teritorijas apsaimniekošanas, uzturēšanas veidus dabiskās vides atjaunošanā un veicināšanā, kā arī nosakot lielākus piemērojamos naudas sodus gadījumos, kad pārkāpti aizsargājamā koka aizsardzību un izmantošanu regulējošie normatīvie akti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izvērtēts, vai 20 gadi ir samērīgs laiks.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40. pantu ar ceturto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pārkāpjot aizsargājamā koka aizsardzību un izmantošanu regulējošos normatīvos aktus, aizsargājamais koks ir iznīcināts, aizsargājamam kokam statusa maiņa (iznīcināts) tiek reģistrēta aizsargājamo teritoriju valsts reģistrā, nedzēšot to no aizsargājamo teritoriju valsts reģistra. Ieraksts aizsargājamo teritoriju valsts reģistrā saglabājams 20 gadus no pārkāpuma konstatēšanas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 15 metru rādiusā, mērot no iznīcinātā aizsargājamā koka celma, aizliegts veikt jaunu būvniecību, izņemot inženierbūvju būvniecību ar Dabas aizsardzības pārvaldes rakstisku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Dažādām koku sugām ir dažāds koksnes sadalīšanās laiks, tādēļ ne visu sugu koku celmi saglabāsies 20 gadus. Līdz ar to nebūs nosakāma teritorija, kas mērāma 15 metru rādiusā no aizsargājamā koka celma.  Jāņem vērā arī fakts, ka koka celms var būt iznīcināts. Šādos gadījumos norma faktiski nebūs izpildāma. Vēršam uzmanību arī uz to, ka dabas datu sistēmā “Ozols” aizsargājamā koka atrašanās vieta nav atzīmēta ar tādu precizitāti, lai to varētu izmantot apgrūtinājumu uzlikšanai 15m rādiusā.   Atkārtoti norādām, ka tad, dabā vairs nepastāvēs aizsargājamais objekts, līdz ar to nepastāvēs acīmredzamas šaubas, ka īpašums kaut kādā veidā ir papildus apgrūtināts no dabas aizsardzības viedokļa, kas liktu veikt papildu pārbaudes aizsargājamo teritoriju valsts reģistrā vai dabas datu pārvaldības sistēmā gan potenciālajiem nekustamā īpašuma īpašniekiem, gan valsts pārvaldes iestādēm, gan jebkurai citai trešajai personai, kurai ir kādā interese par konkrēto nekustamo īpašumu. Latvijas sabiedrībā nav visiem vispārīgi zināms, ka pirms nekustamā īpašuma iegādes jāveic ne tikai zemesgrāmatā izdarīto ierakstu pārbaude, vai zemes gabala izmantošanas veida pārbaude atbilstoši vietējās pašvaldības teritorijas plānošanas dokumentiem, bet arī jāieskatās dabas datu pārvaldības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Līdz šim nav bijuši gadījumi, kad aizsargājams koks ir iznīcināts ar celmu, taču, pat ja celms nesaglabājas 20 gadus, tas  tiek fiksēts dabas datu pārvaldības sistēmā pārkāpuma konstatēšanas brīdī.  Līdz ar to gan valsts pārvaldes iestādēm, gan privātpersonām informācija par nelikumīgi iznīcināto koku būs pieejama. Par to var pārliecināties arī ieskatoties Valsts vienotajā datorizētajā zemesgrāmatā, jo pie katra nodalījuma redzams šāds ieraksts: "Informācija par apgrūtinājumiem, kas attiecas uz īpaši aizsargājamām dabas teritorijām vai mikroliegumiem – pieejama dabas datu pārvaldības sistēmā OZOLS https://ozols.gov.lv/pub".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40. pantu ar ceturto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pārkāpjot aizsargājamā koka aizsardzību un izmantošanu regulējošos normatīvos aktus, aizsargājamais koks ir iznīcināts, aizsargājamam kokam statusa maiņa (iznīcināts) tiek reģistrēta aizsargājamo teritoriju valsts reģistrā, nedzēšot to no aizsargājamo teritoriju valsts reģistra. Ieraksts aizsargājamo teritoriju valsts reģistrā saglabājams 20 gadus no pārkāpuma konstatēšanas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 15 metru rādiusā, mērot no iznīcinātā aizsargājamā koka celma, aizliegts veikt jaunu būvniecību, izņemot inženierbūvju būvniecību ar Dabas aizsardzības pārvaldes rakstisku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5. punktā minēto lūdzam papildināt likumprojekta anotācijas 1.3. sadaļā ietverto skaidrojumu par likumprojekta 4. pantā paredzētā regulējuma nepieciešamību un mērķi.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skaidrot attiecīgā ierobežojuma (tostarp tā apmēra - 20 gadi) atbilstību samērīguma principam, ievērojot arī normatīvajos aktos noteikto atbildību par aizsargājamā koka aizsardzību un izmantošanu regulējošo normatīvo aktu pārkāpumiem (nepieciešamības gadījumā izmantojot arī izziņā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skaidrot izņēmumu attiecībā uz inženierbūvju būvniecību, ko var veikt ar Dabas aizsardzības pārvaldes rakstisku atļauju, tostarp kādos gadījumos minētā atļauja būtu izdodama, tādējādi nodrošinot, ka atļauja netiek izsniegta patvaļīgi, ņemot vērā, ka likumprojektā paredzētajam ierobežojumiem ir atšķirīgs mērķis. Papildus nepieciešams skaidrot, kādēļ izņēmumi netiek paredzēti attiecībā uz citām darbībām, piemēram, ēku rekonstrukciju, ko šobrīd pieļauj Ministru kabineta 2010. gada 6. marta noteikumu Nr. 264 "Īpaši aizsargājamo dabas teritoriju vispārējie aizsardzības un izmantošanas noteikumi" 44.1.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nepieciešams anotācijā precizēt (skaidrot) ietverto norādi, ka "Ieraksts</w:t>
            </w:r>
            <w:r w:rsidR="00000000" w:rsidRPr="00000000" w:rsidDel="00000000">
              <w:rPr>
                <w:u w:val="single"/>
                <w:rtl w:val="0"/>
              </w:rPr>
              <w:t xml:space="preserve"> saglabājas aizsargājamo koku teritorijai normatīvajos aktos noteiktie ierobežojumi</w:t>
            </w:r>
            <w:r w:rsidR="00000000" w:rsidRPr="00000000" w:rsidDel="00000000">
              <w:rPr>
                <w:rtl w:val="0"/>
              </w:rPr>
              <w:t xml:space="preserve">  20 gadus no pārkāpuma konstatēšanas dienas", kura ir neskaidra. Proti, no likumprojekta anotācijas neizriet, kādi vēl ierobežojumi bez jaunas būvniecības saglabājas, kā arī pamatojums attiecīgo ierobežojumu saglabāšanai, ja ar ierobežojumiem nav iespējams sasniegt to sākotnējo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nepieciešams skaidrot ierobežojuma attiecināmību teritoriāli, proti, ierobežojuma, kas noteikts teritorijā 15 metru rādiusā, mērot no iznīcinātā aizsargājamā koka celma, atbilstību spēkā esoša aizsargājamā koka aizsardzībai noteiktai teritorijai, ko veido</w:t>
            </w:r>
            <w:r w:rsidR="00000000" w:rsidRPr="00000000" w:rsidDel="00000000">
              <w:rPr>
                <w:u w:val="single"/>
                <w:rtl w:val="0"/>
              </w:rPr>
              <w:t xml:space="preserve"> teritorija ap kokiem vainagu projekcijas platībā, kā arī 10 metru platā joslā no tās (mērot no aizsargājamā koka vainaga projekcijas ārējās malas)</w:t>
            </w:r>
            <w:r w:rsidR="00000000" w:rsidRPr="00000000" w:rsidDel="00000000">
              <w:rPr>
                <w:rtl w:val="0"/>
              </w:rPr>
              <w:t xml:space="preserve">. Proti, norādām, ka nebūtu pieļaujami un samērīgi minēto teritoriju paplašināt. Papildus lūdzam izvērtēt un skaidrot anotācijā, kā paredzēts noteikt 15 metru rādiusu gadījumā, ja koka celms koka iznīcināšanas gadījumā nav saglabājies.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attiecīgu skaidrojumu nav iespējams sniegt, lūdzam precizēt vai izslēgt likumprojekta 4.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Papildināta Anotācija, skaidrojot par 20 gadu termiņa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precizēta punkta redakcija, nosakot, ka aizliegta būvniecība, izņemot esošo ēku un būvju pārbūvi un atjaunošanu, kā arī izņemot inženierbūvju būvniecību, ko var veikt ar Dabas aizsardzības pārvaldes rakstisku atļauju. Attiecī</w:t>
            </w:r>
            <w:r w:rsidR="00000000" w:rsidRPr="00000000" w:rsidDel="00000000">
              <w:rPr>
                <w:rtl w:val="0"/>
              </w:rPr>
              <w:t xml:space="preserve">gi papildināta Anotācija, norādot, ka pieļaujam tādu inženierbūvju būvniecība, kas saistīta ar esošām ēkām un būvēm;</w:t>
            </w:r>
            <w:r w:rsidR="00000000" w:rsidRPr="00000000" w:rsidDel="00000000">
              <w:rPr>
                <w:rtl w:val="0"/>
              </w:rPr>
              <w:t xml:space="preserve">3) precizēta Anotācija, norādot, ka uz iznīcinātā koka teritoriju tiek saglabāts būvniecības aizliegums, taču netiek saglabāti ierobežojumi, kas saistīti ar labvēlīgu augšanas apstākļu nodrošināšanu esošam kokam; </w:t>
            </w:r>
            <w:r w:rsidR="00000000" w:rsidRPr="00000000" w:rsidDel="00000000">
              <w:rPr>
                <w:rtl w:val="0"/>
              </w:rPr>
              <w:t xml:space="preserve">4) precizēta Anotācija, 15 metru rādiuss izvēlēts ņemot vērā, ka aizsargājama koka vainags vidēji ir 5 metru rādiusā no koka stumbra.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jaunu 3.</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Dabas aizsardzības pārvalde nosaka katras Eiropas nozīmes aizsargājamās dabas teritorijas (Natura 2000) aizsardzības mērķus, balstoties uz tās izveidošanas mērķi un Eiropas nozīmes biotopu un sugu aizsardzības stāvokli.";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likuma papildināšanu 43.panta 3</w:t>
            </w:r>
            <w:r w:rsidR="00000000" w:rsidRPr="00000000" w:rsidDel="00000000">
              <w:rPr>
                <w:vertAlign w:val="superscript"/>
                <w:rtl w:val="0"/>
              </w:rPr>
              <w:t xml:space="preserve">1</w:t>
            </w:r>
            <w:r w:rsidR="00000000" w:rsidRPr="00000000" w:rsidDel="00000000">
              <w:rPr>
                <w:rtl w:val="0"/>
              </w:rPr>
              <w:t xml:space="preserve">. daļu, kas paredz, ka Dabas aizsardzības pārvalde nosaka Eiropas nozīmes aizsargājamās dabas teritorijas (Natura 2000) izveidošanas mērķi, jo tas ir pretrunā ar šī panta otro daļu. Likumprojekts paredz, ka  katras Eiropas nozīmes aizsargājamās dabas teritorijas (Natura 2000) izveidošanas mērķi, nosaka šā likuma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43.panta 3</w:t>
            </w:r>
            <w:r w:rsidR="00000000" w:rsidRPr="00000000" w:rsidDel="00000000">
              <w:rPr>
                <w:vertAlign w:val="superscript"/>
                <w:rtl w:val="0"/>
              </w:rPr>
              <w:t xml:space="preserve">1.</w:t>
            </w:r>
            <w:r w:rsidR="00000000" w:rsidRPr="00000000" w:rsidDel="00000000">
              <w:rPr>
                <w:rtl w:val="0"/>
              </w:rPr>
              <w:t xml:space="preserve"> daļa paredz, ka Dabas aizsardzības pārvalde nosaka Eiropas nozīmes aizsargājamās dabas teritorijas (Natura 2000) </w:t>
            </w:r>
            <w:r w:rsidR="00000000" w:rsidRPr="00000000" w:rsidDel="00000000">
              <w:rPr>
                <w:u w:val="single"/>
                <w:rtl w:val="0"/>
              </w:rPr>
              <w:t xml:space="preserve">aizsardzības mērķi</w:t>
            </w:r>
            <w:r w:rsidR="00000000" w:rsidRPr="00000000" w:rsidDel="00000000">
              <w:rPr>
                <w:rtl w:val="0"/>
              </w:rPr>
              <w:t xml:space="preserve">, nevis izveidošanas mērķus, kā norādīts iebildumā.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jaunu 3.</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Dabas aizsardzības pārvalde nosaka katras Eiropas nozīmes aizsargājamās dabas teritorijas (Natura 2000) aizsardzības mērķus, balstoties uz tās izveidošanas mērķi un Eiropas nozīmes biotopu un sugu aizsardzības stāvokli.";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anotācijā minēto, ka pieļaujami vienīgi konkrēti, izmērāmi un uzrādāmi Eiropas nozīmes aizsargājamās dabas teritorijas (Natura 2000) aizsardzības mērķi, lūdzam izvērtēt un nepieciešamības gadījumā attiecīgi papildināt likumprojekta 4. pantu ar atbilstošām prasībām attiecībā uz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likumprojekta 4. pantā ietvertie kritēriji Eiropas nozīmes aizsargājamās dabas teritorijas (Natura 2000) aizsardzības mērķa noteikšanai nav formulēti pārāk šauri, nepieciešamības gadījumā minēto pantu precizējot (papildinot). Proti, norādām, ka likumprojekta anotācijā minēts, ka aizsardzības mērķi nosakāmi, balstoties uz zinātniskiem kritērijiem, savukārt likumprojektā norādīts, ka minētos mērķus nosaka, balstoties vienīgi uz attiecīgās teritorijas izveidošanas mērķi un Eiropas nozīmes biotopu un sugu aizsardzības stāvokli.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piekto daļu ar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paredzētai darbībai nav nepieciešami Valsts vides dienesta izsniegti tehniskie noteikumi vai nav veikts šā panta ceturtajā daļā minētais novērtējums, atbildīgā iestāde paredzētas darbības atļauju izsniedz tikai tādām darbībām, kas nav pretrunā ar dabas datu pārvaldības sistēmā reģistrētajiem Eiropas nozīmes aizsargājamās dabas teritorijas (Natura 2000) aizsardzības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normas redakcija ir neskaidra, jo nav saprotams, kura institūcija veiks un kādām darbībām vajadzēs izvērtēt atbilstību Eiropas nozīmes aizsargājamās dabas teritorijas (Natura 2000) aizsardzības mērķiem. Nav saprotams kāda procedūra šādai izvērtēšanai būs piemērojama. Vai šāda procedūra būs nepieciešama koku ciršanai? Ja jā, tad tā nav Valsts meža dienesta kompetence. Savukārt, ja katrā administratīvajā procesā par apliecinājuma koku ciršanai izsniegšanu būtu nepieciešams DAP atzinums, tad tas būtu jānosaka šajā likumā vai citos normatīvajos aktos, vienlaicīgi izvērtējot administratīvā sloga palielināšanos un nepieciešamo finansējumu papildus darba apjoma pieaugumam Valsts meža dienestā. Turklāt būtu nepieciešams noteikt konkrēti tās darbības, kas ir pretrunā ar dabas datu pārvaldības sistēmā reģistrētajiem Eiropas nozīmes aizsargājamās dabas teritorijas (Natura 2000) aizsardzības mērķiem, lai regulējums būtu saprotams un viegli piemērojams gan iestādēm, gan privātpersonām un nebūtu atkarīgs no amatpersonas subjektīviem ieskatiem par pretrunu 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Papildinātais teikums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Natura 2000 teritoriju izveidošanas un aizsardzības mērķu sasniegšanu, kā arī ES nozīmes biotopu labvēlīga aizsardzības stāvokli, iekļauts aizliegums Natura 2000 teritorijās iznīcināt ES nozīmes biotopus.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jaunu 11.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nozīmes aizsargājamās dabas teritorijās (Natura 2000) valsts un pašvaldību īpašumā esošā zemē aizliegts bojāt vai iznīcināt (tajā skaitā uzart vai kultivēt, ieaudzēt mežu, veikt mežsaimniecisko darbību) Eiropas Savienības nozīmes biotopus, kas reģistrēti dabas datu pārvaldības sistēmā, izņemot šā panta sestajā daļā noteiktajos gadījumos, kā arī, ja tas nav pretrunā Eiropas nozīmes aizsargājamās dabas teritorijas (Natura 2000) izveidošanas un aizsardzības 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45.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nepieciešama un nav atbalstāma pieeja veidot atšķirīgu administratīvās atbildības regulējumu Saeimas vai Ministru kabineta izveidotās aizsargājamās teritorijās un pašvaldību izveidotās aizsargājamās teritorijās. Lai nodrošinātu efektīvāku administratīvā pārkāpuma procesu, nav izslēgta iespēja pārskatīt kompetences administratīvā pārkāpuma procesā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Likuma 13. panta trešās daļas izriet, ka dabas liegumus, dabas parkus un dabas pieminekļus, kuri ir nozīmīgi dabas vai kultūrvēsturiskā mantojuma saglabāšanai attiecīgajā teritorijā, var izveidot arī pašvaldības. Tāpat saskaņā ar šā likuma 17. panta trešo daļu pašvaldību izveidoto aizsargājamo teritoriju individuālos aizsardzības un izmantošanas noteikumus reglamentē attiecīgā pašvaldība. Tas, ka pašvaldība var izveidot noteiktas aizsargājamās teritorijas vai paredzēt šādu teritoriju individuālos aizsardzības un izmantošanas noteikumus, pats par sevi nav pamats veidot atšķirīgu administratīvās atbildības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Pašvaldību likuma 45. panta pirmās daļas 7. punkts noteic, ka dome ir tiesīga izdot saistošos noteikumus un paredzēt administratīvo atbildību par to pārkāpšanu, nosakot administratīvos pārkāpumus un par tiem piemērojamos administratīvos sodus, ja likumos nav noteikts citādi, par pašvaldības īpašumā esošu un publiskā lietošanā nodotu mežu un ūdeņu un pašvaldības īpaši aizsargājamo dabas un vietējo kultūras objektu aizsardzību un uzturēšanu. Tomēr arī šis regulējums nenozīmē, ka likumdevējs nevarētu paredzēt administratīvo atbildību ("ja likumos nav noteikts citādi"). Nav izslēgta situācija, ka Saeima noteic administratīvo atbildību par tādu pienākumu pārkāpumiem, kas detalizētāk ir regulēti pašvaldības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Likumdevējam ir pienākums nodrošināt tiesību sistēmas iekšējo saskaņotību un harmoniju. Likumdevējs pieņem savstarpēji saskaņotas tiesību normas, kas harmoniski darbojas visas tiesību sistēmas ietvaros, turklāt dažādos normatīvajos aktos ietvertas tiesību normas ir jāinterpretē kā vienotu tiesību sistēmu veidojošas (</w:t>
            </w:r>
            <w:r w:rsidR="00000000" w:rsidRPr="00000000" w:rsidDel="00000000">
              <w:rPr>
                <w:i w:val="1"/>
                <w:rtl w:val="0"/>
              </w:rPr>
              <w:t xml:space="preserve">sk., piemēram, Satversmes tiesas 2012. gada 3. februāra sprieduma lietā Nr. 2011-11-01 12. punktu, Satversmes tiesas 2017. gada 8. marta sprieduma lietā Nr. 2016-07-01 25.2.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administratīvās atbildības regulējumam ir jābūt savstarpēji saskaņotam un harmoniskam. Lai tiktu saglabāta administratīvā atbildība kā vienota sistēma, iespējami jānodrošina vienādas pārkāpumu definēšanas prasības (tostarp detalizācijas pakāpe), sabalansēta sodu bardzība par līdzīga smaguma pārkāpumiem, kā arī jānovērš pārkāpumu dublēšanās, kad dažādos likumos tiek ierakstīti līdzīgi vai pat vieni un tie paši pārkāpumi (</w:t>
            </w:r>
            <w:r w:rsidR="00000000" w:rsidRPr="00000000" w:rsidDel="00000000">
              <w:rPr>
                <w:i w:val="1"/>
                <w:rtl w:val="0"/>
              </w:rPr>
              <w:t xml:space="preserve">Kūtris G. Administratīvās atbildības reforma: būtiskākie jauninājumi. Jurista Vārds, 17.12.2019., Nr. 50/51/52</w:t>
            </w:r>
            <w:r w:rsidR="00000000" w:rsidRPr="00000000" w:rsidDel="00000000">
              <w:rPr>
                <w:rtl w:val="0"/>
              </w:rPr>
              <w:t xml:space="preserve">). Šāda pieeja vienlaikus ļauj izvairīties no neapzinātām vērtējuma pretrunām, proti, pārkāpuma vērtējuma likumdevēja skatījumā atšķirības no pārkāpuma sabiedriskā novērtējuma (</w:t>
            </w:r>
            <w:r w:rsidR="00000000" w:rsidRPr="00000000" w:rsidDel="00000000">
              <w:rPr>
                <w:i w:val="1"/>
                <w:rtl w:val="0"/>
              </w:rPr>
              <w:t xml:space="preserve">sal. Neimanis J. Ievads tiesībās. Rīga: zv. adv. J. Neimanis, 2004, 161. lpp.</w:t>
            </w:r>
            <w:r w:rsidR="00000000" w:rsidRPr="00000000" w:rsidDel="00000000">
              <w:rPr>
                <w:rtl w:val="0"/>
              </w:rPr>
              <w:t xml:space="preserve">). Citstarp vērtējuma pretrunas var radīt dažādu tiesisko līdzekļu izmantošana, lai aizsargātu līdzvērtīga svarīguma tiesiskās intereses (piemēram, vienā gadījumā izmantoti civiltiesiskie vai vispārīgie administratīvi tiesiskie aizsardzības līdzekļi, citā – paredzēta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Saeima noteic administratīvo atbildību aizsargājamo teritoriju aizsardzības un izmantošanas jomā, tad nav saskatāms pamatojums, kāpēc daļā gadījumu būtu nepieciešams pašvaldībai noteikt vēl īpašu administratīvās atbildības regulējumu tās teritorijā. Pretējā gadījumā ir sarežģīti nodrošināt administratīvās atbildības regulējuma saskaņotību. Prakse liecina, ka pašvaldības saistošajos noteikumos šādos gadījumos nereti tiek paredzēta administratīvā atbildība, nepietiekami izvērtējot administratīvās atbildības pieļaujamības un nepieciešamības kritērijus vai likumdevēja jau noteiktos ietekmēšanas līdzekļus attiecīgajās situācijās.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saglabājot administratīvās atbildības regulējumu</w:t>
            </w:r>
            <w:r w:rsidR="00000000" w:rsidRPr="00000000" w:rsidDel="00000000">
              <w:rPr>
                <w:rtl w:val="0"/>
              </w:rPr>
              <w:t xml:space="preserve"> attiecībā uz pašvaldību izveidotām aizsargājamām teritorijām šajā likumā, un nosakot, ka par pārkāpumiem  pašvaldību izveidotās aizsargājamās teritorijās administratīvā pārkāpuma lietu izskata pašvaldības policija, pašvaldības vides inspekcija vai pašvaldības vides kontroles amatpersona. Attiecīgi 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jaunu 11.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nozīmes aizsargājamās dabas teritorijās (Natura 2000) valsts un pašvaldību īpašumā esošā zemē aizliegts bojāt vai iznīcināt Eiropa Savienības nozīmes biotopus, kas reģistrēti dabas datu pārvaldības sistēmā, izņemot, ja tas nepieciešams, lai nodrošinātu sabiedrības veselības aizsardzības, drošības, nacionālās vai citas sevišķi svarīgas, arī sociāla vai ekonomiska rakstura, intereses vai videi primāri svarīgas labvēlīgas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zemes īpašniekiem un normatīvo aktu ievērošanu uzraugošajām institūcijām (tostarp Valsts meža dienestam, kas izdod aplicinājumus koku ciršanai mežā) būtu viennozīmīgi skaidrs, ko nozīmē "bojāt un iznīcināt", nepieciešams konkrēts definējums aizliegtajām darbībām vai kritērijiem, pēc kādiem konstatēt biotopa iznīcināšanu un  bojāšanu, un tam jābūt ietvertam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sniegtās informācijas nav skaidrs - tiks vai netiks izvērtēti ĪADT aizsardzības un izmantošanas noteikumi, lai novērstu pretrunas starp šo plānoto vispārīgo regulējumu un spēkā esošo, jo atsevišķos individuālajos noteikumos ir atšķirīgs (un precīzs) regulējums aizsargājamo biotopu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Gan īpaši aizsargājamo dabas teritoriju vispārējos, gan individuālajos aizsardzības un izmantošanas noteikumos ir lietots termins "bojāt vai iznīcināt" gan attiecībā uz p</w:t>
            </w:r>
            <w:r w:rsidR="00000000" w:rsidRPr="00000000" w:rsidDel="00000000">
              <w:rPr>
                <w:rtl w:val="0"/>
              </w:rPr>
              <w:t xml:space="preserve">alieņu un meža pļavām un laucēm, gan attiecībā uz īpaši aizsargājamiem biotopiem, un līdz šim tas nav radījis problēmas šīs normas piemērošanā.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jaunu 11.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nozīmes aizsargājamās dabas teritorijās (Natura 2000) valsts un pašvaldību īpašumā esošā zemē aizliegts bojāt vai iznīcināt (tajā skaitā uzart vai kultivēt, ieaudzēt mežu, veikt mežsaimniecisko darbību) Eiropas Savienības nozīmes biotopus, kas reģistrēti dabas datu pārvaldības sistēmā, izņemot šā panta sestajā daļā noteiktajos gadījumos, kā arī, ja tas nav pretrunā Eiropas nozīmes aizsargājamās dabas teritorijas (Natura 2000) izveidošanas un aizsardzības 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jaunu 11.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nozīmes aizsargājamās dabas teritorijās (Natura 2000) valsts un pašvaldību īpašumā esošā zemē aizliegts bojāt vai iznīcināt Eiropa Savienības nozīmes biotopus, kas reģistrēti dabas datu pārvaldības sistēmā, izņemot, ja tas nepieciešams, lai nodrošinātu sabiedrības veselības aizsardzības, drošības, nacionālās vai citas sevišķi svarīgas, arī sociāla vai ekonomiska rakstura, intereses vai videi primāri svarīgas labvēlīgas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dienests norāda, ka likumā kā izņēmuma gadījumu nepieciešams pievienot arī meža ugunsdrošību, lai vajadzības gadījumā ir iespējams izveidot un uzturēt attiecīgu mežu ugunsdrošības infrastruktūru, kas ir svarīga ugunsapsardzības nodrošināšanai un ugunsgrēku dzēšanai visās mežu platībās, tai skaitā arī īpaši aizsargājamās dabas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nozīmes aizsargājamās dabas teritorijās (Natura 2000) valsts un pašvaldību īpašumā esošā zemē aizliegts bojāt vai iznīcināt Eiropa Savienības nozīmes biotopus, kas reģistrēti dabas datu pārvaldības sistēmā, izņemot, ja tas nepieciešams, lai nodrošinātu sabiedrības veselības aizsardzības, drošības </w:t>
            </w:r>
            <w:r w:rsidR="00000000" w:rsidRPr="00000000" w:rsidDel="00000000">
              <w:rPr>
                <w:b w:val="1"/>
                <w:rtl w:val="0"/>
              </w:rPr>
              <w:t xml:space="preserve">(tai skaitā, meža ugunsdrošības)</w:t>
            </w:r>
            <w:r w:rsidR="00000000" w:rsidRPr="00000000" w:rsidDel="00000000">
              <w:rPr>
                <w:rtl w:val="0"/>
              </w:rPr>
              <w:t xml:space="preserve">, nacionālās vai citas sevišķi svarīgas, arī sociāla vai ekonomiska rakstura, intereses vai videi primāri svarīgas labvēlīgas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un 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jaunu 11.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nozīmes aizsargājamās dabas teritorijās (Natura 2000) valsts un pašvaldību īpašumā esošā zemē aizliegts bojāt vai iznīcināt (tajā skaitā uzart vai kultivēt, ieaudzēt mežu, veikt mežsaimniecisko darbību) Eiropas Savienības nozīmes biotopus, kas reģistrēti dabas datu pārvaldības sistēmā, izņemot šā panta sestajā daļā noteiktajos gadījumos, kā arī, ja tas nav pretrunā Eiropas nozīmes aizsargājamās dabas teritorijas (Natura 2000) izveidošanas un aizsardzības 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jaunu 11.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nozīmes aizsargājamās dabas teritorijās (Natura 2000) valsts un pašvaldību īpašumā esošā zemē aizliegts bojāt vai iznīcināt Eiropa Savienības nozīmes biotopus, kas reģistrēti dabas datu pārvaldības sistēmā, izņemot, ja tas nepieciešams, lai nodrošinātu sabiedrības veselības aizsardzības, drošības, nacionālās vai citas sevišķi svarīgas, arī sociāla vai ekonomiska rakstura, intereses vai videi primāri svarīgas labvēlīgas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Zemkopības ministrija kopumā neiebilst, ka saimnieciskā nolūkā Eiropas nozīmes aizsargājamās dabas teritorijās (Natura 2000) valsts un pašvaldību īpašumā esošā zemē nevajadzētu bojāt vai iznīcināt Eiropa Savienības nozīmes biotopus. Tomēr apzinoties dabas datu pārvaldības sistēmā reģistrēto biotopu datu kvalitāti un to, ka šos datus nav bijis iespējams apstrīdēt Administratīvā procesa likumā noteiktajā kārtībā, nevaram atbalstīt vispārēju normu, kas aizliedz veikt nepieciešamās darbības Eiropas nozīmes biotopus, tostarp meža ugunsdrošības profilaktiskos pasākumus, meža infrastruktūras uzturēšanu un citus. Ne vienmēr šie pasākumi atbildīs punktā minētajiem izņēmuma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aicina atbilstoši Ministru kabineta 21.01.2025. sēdes protokollēmuma (Nr.3 38. §) 4. punktā ir dotajam uzdevumam pakāpeniski izvērtēt, vai esošie aizsargājamo teritoriju aizsardzības un izmantošanas noteikumi nav pretrunā ar Natura 2000 teritorijās esošo biotopu labvēlīga aizsardzības statusa nodrošināšanu, nepieciešamības gadījumā sagatavojot priekšlikumus normatīvā regulējuma pilnveidošanai atbilstoši likumā "Par īpaši aizsargājamām dabas teritorijām" noteiktai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un papildināta Anotācija, norādot, ka ministrija turpinās pakāpeniski izvērtēt izvērtēt, vai esošie aizsargājamo teritoriju aizsardzības un izmantošanas noteikumi nav pretrunā ar Natura 2000 teritorijās esošo biotopu labvēlīga aizsardzības statusa nodrošināšanu, nepieciešamības gadījumā sagatavojot priekšlikumus normatīvā regulējuma pilnveidošanai atbilstoši likumā "Par īpaši aizsargājamām dabas teritorijām" noteiktai kārtībai.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jaunu 11.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nozīmes aizsargājamās dabas teritorijās (Natura 2000) valsts un pašvaldību īpašumā esošā zemē aizliegts bojāt vai iznīcināt (tajā skaitā uzart vai kultivēt, ieaudzēt mežu, veikt mežsaimniecisko darbību) Eiropas Savienības nozīmes biotopus, kas reģistrēti dabas datu pārvaldības sistēmā, izņemot šā panta sestajā daļā noteiktajos gadījumos, kā arī, ja tas nav pretrunā Eiropas nozīmes aizsargājamās dabas teritorijas (Natura 2000) izveidošanas un aizsardzības 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jaunu 11.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nozīmes aizsargājamās dabas teritorijās (Natura 2000) valsts un pašvaldību īpašumā esošā zemē aizliegts bojāt vai iznīcināt Eiropa Savienības nozīmes biotopus, kas reģistrēti dabas datu pārvaldības sistēmā, izņemot, ja tas nepieciešams, lai nodrošinātu sabiedrības veselības aizsardzības, drošības, nacionālās vai citas sevišķi svarīgas, arī sociāla vai ekonomiska rakstura, intereses vai videi primāri svarīgas labvēlīgas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 likumprojekta 6. panta un tā anotācijas neizriet minētā pantā ietvertā regulējuma vieta likuma "Par īpaši aizsargājamām dabas teritorijām" 43. panta sistēmā, tādēļ lūdzam papildināt anotāciju ar attiecīgu skaidrojumu (skaidrojot arī Padomes 1992.gada 21.maija Direktīvas 92/43/EEK par dabisko biotopu savvaļas faunas un floras aizsardzību (turpmāk - direktīva Nr. 92/43/EEK) 6. panta katra punkta pārņemšanu anotācijas 5. sadaļā) par minētā regulējuma nepieciešamību un mērķi, nepieciešamības gadījumā precizējot šo pantu. Proti,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 šobrīd minētā likuma 43. panta piektā un sestā daļa noteic, ka </w:t>
            </w:r>
            <w:r w:rsidR="00000000" w:rsidRPr="00000000" w:rsidDel="00000000">
              <w:rPr>
                <w:u w:val="single"/>
                <w:rtl w:val="0"/>
              </w:rPr>
              <w:t xml:space="preserve">paredzēto darbību atļauj</w:t>
            </w:r>
            <w:r w:rsidR="00000000" w:rsidRPr="00000000" w:rsidDel="00000000">
              <w:rPr>
                <w:rtl w:val="0"/>
              </w:rPr>
              <w:t xml:space="preserve"> veikt vai plānošanas dokumentu īstenot, ja tas negatīvi neietekmē Eiropas nozīmes aizsargājamās dabas teritorijas (Natura 2000) ekoloģiskās funkcijas, integritāti un nav pretrunā ar tās izveidošanas un aizsardzības mērķiem. Ja paredzētā darbība vai plānošanas dokumenta īstenošana negatīvi ietekmē Eiropas nozīmes aizsargājamo dabas teritoriju (Natura 2000), darbību atļauj veikt vai dokumentu īstenot tikai tādos gadījumos, kad tas ir vienīgais risinājums un nepieciešams sabiedrībai nozīmīgu interešu, arī sociālo vai ekonomisko interešu, apmierināšanai. Norādām, ka likumprojekta 6. pants, iespējams, dublē minēto regulējumu (gadījumos, kad biotopu bojāšana vai iznīcināšana varētu negatīvi ietekmēt Eiropas nozīmes aizsargājamo dabas teritoriju (Natura 2000)), tādēļ 6. pantā paredzēto aizliegumu būtu nepieciešams attiecināt vienīgi uz gadījumiem, kad nav minētās negatīvās ietekmes, kā arī skaidrot anotācijā, vai direktīvas Nr. 92/43/EEK 6. panta pārņemšanai ir pietiekami, ja aizliegums tiek noteikts vienīgi uz valsts un pašvaldību īpašumā esošām zemēm;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likumprojekta 6. panta izriet, ka tajā ietvertais aizliegums varētu būt plašāks, nekā likuma "Par īpaši aizsargājamām dabas teritorijām" 43. panta piektajā un sestajā daļā paredzētais, tomēr izņēmuma gadījumi no minēto normu piemērošanas formulēti striktāk, kas varētu nebūt loģiski (ņemot vērā, ka attiecīgā gadījumā nav negatīvas ietekmes uz Eiropas nozīmes aizsargājamo dabas teritoriju (Natura 2000)), jo paredz izņēmumus, nevis nozīmīgu, bet sevišķi svarīgu interešu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likumprojekta neizriet, kā likumprojekta 6. pantā paredzētajos gadījumos tiks noteikta sabiedrībai sevišķi nozīmīgu interešu esība. Salīdzinājumam 43. panta piektās un sestās daļas piemērošanas gadījumā atbilstoši 43. panta 11. daļai pieņemams Ministru kabineta rīkojums.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novēršot pretrunas ar Likuma 43. panta sesto daļu. Attiecīgi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jaunu 11.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nozīmes aizsargājamās dabas teritorijās (Natura 2000) valsts un pašvaldību īpašumā esošā zemē aizliegts bojāt vai iznīcināt (tajā skaitā uzart vai kultivēt, ieaudzēt mežu, veikt mežsaimniecisko darbību) Eiropas Savienības nozīmes biotopus, kas reģistrēti dabas datu pārvaldības sistēmā, izņemot šā panta sestajā daļā noteiktajos gadījumos, kā arī, ja tas nav pretrunā Eiropas nozīmes aizsargājamās dabas teritorijas (Natura 2000) izveidošanas un aizsardzības 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40. pantu ar ceturto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pārkāpjot aizsargājamā koka aizsardzību un izmantošanu regulējošos normatīvos aktus, aizsargājamais koks ir iznīcināts, aizsargājamam kokam statusa maiņa (iznīcināts) tiek reģistrēta aizsargājamo teritoriju valsts reģistrā. Ieraksts par aizsargājamā koka statusa maiņu (iznīcināts) aizsargājamo teritoriju valsts reģistrā saglabājams 20 gadus no pārkāpuma konstatēšanas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 15 metru rādiusā, mērot no iznīcinātā aizsargājamā koka celma, aizliegts veikt  būvniecību, izņemot esošu ēku un būvju atjaunošanu un pārbūvi un inženierbūvju būvniecību ar Dabas aizsardzības pārvaldes rakstisku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spēkā iepriekš izteikto iebildumu par to, ka, ņemot vērā pieredzi ar Dabas datu sistēmas “Ozols” datu izmantošanu pašvaldību vajadzībām, piemēram, teritorijas plānojumu izstrādē, aizsargjoslu noteikšanā u.c., nav pārliecības, ka dabas datu sistēmā “Ozols” aizsargājamā koka atrašanās vieta nav atzīmēta ar tādu precizitāti, lai to varētu izmantot apgrūtinājumu uzlikšanai 15m rādiusā. Ja aizsargājamā koka atrašanās vieta Ozolā ir kaut vai ar 5-10m nobīdi, tas var būtiski ietekmēt paredzētā apgrūtinājuma piemērošanu. Izziņā ir minēts, ka LPS iepriekšējais iebildums ir ņemts vērā un papildināta Anotācija, taču attiecībā uz datu precizitāti neatrodam nekādu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norādot, kā konstatēt iznīcinātā aizsargājamā koka atrašanās vietu, ja tas ir iznīcināts ar visu celmu.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40. pantu ar ceturto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pārkāpjot aizsargājamā koka aizsardzību un izmantošanu regulējošos normatīvos aktus, aizsargājamais koks ir iznīcināts, aizsargājamam kokam statusa maiņa (iznīcināts) tiek reģistrēta aizsargājamo teritoriju valsts reģistrā. Ieraksts par aizsargājamā koka statusa maiņu (iznīcināts) aizsargājamo teritoriju valsts reģistrā saglabājams 20 gadus no pārkāpuma konstatēšanas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 15 metru rādiusā, mērot no iznīcinātā aizsargājamā koka celma, aizliegts veikt  būvniecību, izņemot pilsētā vai apdzīvotā vietā inženiertīklu būvniecību un ēku atjaunošanu un pārbūvi, kā arī lai nodrošinātu sabiedrības veselības aizsardzības, drošības, nacionālās vai citas sevišķi svarīgas, arī sociāla vai ekonomiska rakstura, intereses vai videi primāri svarīgas labvēlīgas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jaunu 11.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nozīmes aizsargājamās dabas teritorijās (Natura 2000) valsts un pašvaldību īpašumā esošā zemē aizliegts bojāt vai iznīcināt Eiropa Savienības nozīmes biotopus, kas reģistrēti dabas datu pārvaldības sistēmā, izņemot šā panta sestajā daļā noteiktajos gadījumos, kā arī, ja tas nav pretrunā Eiropas nozīmes aizsargājamās dabas teritorijas (Natura 2000) izveidošanas un aizsardzības 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meža biotopiem svarīgi zināt, vai ar "bojāt un iznīcināt" domāts aizliegums mežsaimnieciskajai darbībai.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ieskatā, neliela saimnieciskās darbības ietekme uz ES nozīmes biotopiem Natura 2000 teritorijas, ņemot vērā, ka tās iekļauj arī infrastruktūras objektus un neitrālās zonas ir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lai novērtētu bojājuma vai iznīcināšanas faktu un pakāpi, tam nepieciešami reāli mērāmi parametri. Piedāvājam sekojošas ietekmes gradācijas un to novērtēšanas parametrus: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IETEKMĒTS - līdz 20 % biotopa teritorija nevēlamas darbības ietekmēta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BOJĀTS - 21 - 70 % biotopa teritorija nevēlamas darbības ietekmēta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IZNĪCINĀTS - 71 % un vairāk biotopa teritorija nevēlamas darbības ietekmēta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gradācijas pakāpi IETEKMĒTS saprotam nebūtisku ietekmi, kas nerada biotopam neatgriezeniskus bojājumus.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nepiekrīt, ka ar likumu tiek noteikts vispārējs aizliegums "bojāt un iznīcināt" Eiropas nozīmes biotopus, neparedzot tam pārejas periodu un neveicot izmaiņas gan īpaši aizsargājamo dabas teritoriju vispārējos, gan individuālajos aizsardzības un izmantošanas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Aizliegums bojāt un iznīcināt ES nozīmes biotopus  (piemēram, zālāju biotopus, konkrētus meža biotopus) tiek iekļauts gan vispārējos, gan individuālajos īpaši aizsargājamo dabas teritoriju aizsardzības un izmantošanas noteikumos. Līdz šim tā piemērošana praksē nav radījusi problēmas. Lai arī turpmāk nerastos neskaidrības ar minētā aizlieguma piemērošanu, papildināta redakcija, minot biotopu bojāšanas piemērus  - aizliegts bojāt vai iznīcināt (tajā skaitā uzart vai kultivēt, ieaudzēt mežu, veikt mežsaimniecisko darbību) Eiropas Savienības nozīmes biotopus.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jaunu 11.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nozīmes aizsargājamās dabas teritorijās (Natura 2000) valsts un pašvaldību īpašumā esošā zemē aizliegts bojāt vai iznīcināt (tajā skaitā uzart vai kultivēt, ieaudzēt mežu, veikt mežsaimniecisko darbību) Eiropas Savienības nozīmes biotopus, kas reģistrēti dabas datu pārvaldības sistēmā, izņemot šā panta sestajā daļā noteiktajos gadījumos, kā arī, ja tas nav pretrunā Eiropas nozīmes aizsargājamās dabas teritorijas (Natura 2000) izveidošanas un aizsardzības 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 pārkāpuma procesu par šā likuma 45. panta otrajā un trešajā daļā minētajiem pārkāpumiem Saeimas vai Ministru kabineta izveidotās aizsargājamās teritorijās veic Dabas aizsardzības pārvalde, bet pašvaldību izveidotās aizsargājamās teritorijās - pašvaldības policija, pašvaldības administratīvā komisija vai apakškomisija, pašvaldības vides inspekcija vai pašvaldības vides kontroles amatpersona."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ieceri pašvaldības policiju iekļaut to institūciju sarakstā, kurām deleģēta administratīvā pārkāpuma lietu izskatīšana atbilstoši likuma 45. panta otrajai un trešajai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Minētajās tiesību normās paredzēta administratīvā atbildība par prasību pārkāpumiem, kas noteiktas normatīvajos aktos par aizsargājamo teritoriju aizsardzību un izmantošanu, kā arī par aizsargājamo koku, aleju un dendroloģisko stādījumu kokiem – to patvaļīgu ciršanu vai bojāšanu.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lietu izskatīšana šajā jomā prasa detalizētu faktisko apstākļu izvērtēšanu, kas nav veicama notikuma vietā un nav tipiska pašvaldības policijas funkcija. Tādēļ deleģējums pašvaldības policijai, pašvaldības vides inspekcijai vai vides kontroles amatpersonai šādu lietu izskatīšanai pašvaldību izveidotajās aizsargājamajās teritorijās nav uzskatāms par lietderīgu.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pašvaldību administratīvās komisijas un to apakškomisijas jau praksē veic līdzīgu lietu izskatīšanu, balstoties uz Meža likuma 52. panta trešās daļas 2. punktā ietverto deleģējumu. Šī norma piešķir tiesības izskatīt lietas par koku patvaļīgu ciršanu vai bojāšanu ārpus meža teritorijas, līdz ar to šīm institūcijām ir uzkrāta atbilstoša pieredze un nepieciešamā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būtu lietderīgi no iestāžu saraksta, kurām saskaņā ar likuma 45. panta otro un trešo daļu deleģēta administratīvo pārkāpumu lietu izskatīšana,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policiju,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vides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vides kontroles amatpersonu.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nav lietderīgi noteikt pašvaldības administratīvajai komisijai vai tās apakškomisijai uzdevumu veikt administratīvā pārkāpuma procesu līdz lietas izskatīšanai, jo šīm institūcijām nav patrulēšanas funkcijas, tās neuzsāk pārkāpuma procesu un nav paredzētas izmeklēšanas darbību veikšanai. Komisijas funkcija ir administratīvā pārkāpuma lietas izskatīšana un lēmuma pieņemšana pēc tam, kad lieta tai ir nodota izskatīšanai kompetentas iestādes ceļā. Kompetences ceļš ir noteikts likumprojekta “Grozījumi likumā “Par īpaši aizsargājamām dabas teritorijām”” 46. panta trešajā, piektajā un sestajā daļā, tāpēc nav nepieciešams to dublēt likumprojekta “Grozījumi likumā “Par īpaši aizsargājamām dabas teritorijām”” 46. panta otrajā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 pārskatīt 46. panta otrās daļas redakciju, precizējot institūciju faktisko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Administratīvā pārkāpuma procesu par šā likuma 45. panta otrajā un trešajā daļā minētajiem pārkāpumiem Saeimas vai Ministru kabineta izveidotās aizsargājamās teritorijās veic Dabas aizsardzības pārvalde."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 pārkāpuma procesu par šā likuma 45. panta otrajā un trešajā daļā minētajiem pārkāpumiem Saeimas vai Ministru kabineta izveidotās aizsargājamās teritorijās veic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pielikumu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pielikums. Latvijas Natura 2000 - Eiropas nozīmes aizsargājamo dabas teritoriju saraksts". </w:t>
            </w:r>
            <w:r w:rsidR="00000000" w:rsidRPr="00000000" w:rsidDel="00000000">
              <w:rPr>
                <w:i w:val="1"/>
                <w:rtl w:val="0"/>
              </w:rPr>
              <w:t xml:space="preserve">(pielikums pievienots sadaļā "Papildu dokumenti", datne: Pielikums_24-TA-415_12032025.xlsx)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Lielākai daļai Latvijas Natura2000 teritoriju (iepriekš izveidotajām) izveidei sākotnējais mērķis nav bijis šī likumprojekta II pielikuma sugu saraksts, līdz ar to šobrīd nevar noteikt i</w:t>
            </w:r>
            <w:r w:rsidR="00000000" w:rsidRPr="00000000" w:rsidDel="00000000">
              <w:rPr>
                <w:u w:val="single"/>
                <w:rtl w:val="0"/>
              </w:rPr>
              <w:t xml:space="preserve">zveides mērķi</w:t>
            </w:r>
            <w:r w:rsidR="00000000" w:rsidRPr="00000000" w:rsidDel="00000000">
              <w:rPr>
                <w:rtl w:val="0"/>
              </w:rPr>
              <w:t xml:space="preserve">, bet var noteikt Natura2000 teritoriju atbilstību tajās konstatēto II pielikuma sugu ekoloģiskajām prasībām. Līdz ar to pielikuma tabulas kolonnu nosaukums "izveidošanas mērķis" nav korekts.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Ķemeru Nacionālā parka sugu sarakstā trūkst brūnais lācis, kas šeit ir periodiski novērots un Parka fizikālie un bioloģiskie faktori ir atbilstoši, lai minētās sugas īpatņi varētu dzīvot un vairoties.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tabulas kolonnas nosaukumu "izveidošanas mērķis" mainīt uz "teritorijas mērķsugas" vai "aizsardzības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pielikuma tabulā papildināt sadaļu Nr.9 "Ķemeru Nacionālais parks" ar Direktīvas 92/43/EEK II pielikuma sugu Brūnais lācis (Ursus arctos).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sniegts Izziņas 27. punktā, kā arī 3. un 4.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pielikumu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pielikums. Latvijas Natura 2000 - Eiropas nozīmes aizsargājamo dabas teritoriju saraksts". </w:t>
            </w:r>
            <w:r w:rsidR="00000000" w:rsidRPr="00000000" w:rsidDel="00000000">
              <w:rPr>
                <w:i w:val="1"/>
                <w:rtl w:val="0"/>
              </w:rPr>
              <w:t xml:space="preserve">(pielikums pievienots sadaļā "Papildu dokumenti", datne: Pielikums_24-TA-415_12032025.xlsx)</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savas kompetences ietvaros jau vairāk kā 20 gadus biotopu uzturēšanas nolūkos atsevišķās īpaši aizsargājamās dabas teritorijās (turpmāk – ĪADT) ar panākumiem izmanto taurgovis un konikus, kuri iepriekš ir apzināti selekcionēti ar mērķi nostiprināt dzīvnieku pielāgotību dzīvei savvaļā.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ieviestie dzīvnieki vairs neatbilst lauksaimniecības dzīvnieku turēšanas mērķiem un nosacījumiem, kā arī praksē nav izpildāmas uz lauksaimniecības dzīvniekiem attiecināmas prasības. Līdz ar to arī normatīvais regulējums attiecībā uz šiem dzīvniekiem kļūst vairāk atbilstošs VARAM kompetencei saistībā ar sugu un biotopu aizsardzību, un mazāk atbilstošs 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Risinājums</w:t>
            </w:r>
            <w:r w:rsidR="00000000" w:rsidRPr="00000000" w:rsidDel="00000000">
              <w:rPr>
                <w:rtl w:val="0"/>
              </w:rPr>
              <w:t xml:space="preserve">: Ir nepieciešamas jaunas likuma normas, kuru izstrādi veic VARAM, sadarbībā ar 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šī Likuma „jumta pantu” būs jānosaka teritorijas (ĪADT) un papildināmi citi normatīvie akti, kas saistīti ar minēto biotopu apsaimniekošanas veidu (savvaļas ganībām) un tur dzīvojošo dzīvnieku tiesisko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Probēma: VARAM savas kompetences ietvaros jau vairāk kā 20 gadus biotopu uzturēšanas nolūkos atsevišķās īpaši aizsargājamās dabas teritorijās (turpmāk – ĪADT) ar panākumiem izmanto taurgovis un konikus, kuri iepriekš ir apzināti selekcionēti ar mērķi nostiprināt dzīvnieku pielāgotību dzīvei savvaļā.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ieviestie dzīvnieki vairs neatbilst lauksaimniecības dzīvnieku turēšanas mērķiem un nosacījumiem, kā arī praksē nav izpildāmas uz lauksaimniecības dzīvniekiem attiecināmas prasības. Līdz ar to arī normatīvais regulējums attiecībā uz šiem dzīvniekiem kļūst vairāk atbilstošs VARAM kompetencei saistībā ar sugu un biotopu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Papildināt likuma normas. Balstoties uz šī Likuma „jumta pantu” būs nosakāmas teritorijas (ĪADT) un papildināmi citi normatīvie akti, kas saistīti ar minēto biotopu apsaimniekošanas veidu (savvaļas ganībām) un tur dzīvojošo dzīvnieku tiesisko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sniegts Izziņas 4.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un 4. "Probēmas apraksts" - nav saprotami definēta problēma.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uzrādot problēmu.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Jāatzīst, ka Latvijas Natura2000 teritoriju izveidei sākotnējais mērķis nav bijis šī likumprojekta II pielikuma sugu saraksts, līdz ar to šobrīd nevar noteikt </w:t>
            </w:r>
            <w:r w:rsidR="00000000" w:rsidRPr="00000000" w:rsidDel="00000000">
              <w:rPr>
                <w:u w:val="single"/>
                <w:rtl w:val="0"/>
              </w:rPr>
              <w:t xml:space="preserve">izveides</w:t>
            </w:r>
            <w:r w:rsidR="00000000" w:rsidRPr="00000000" w:rsidDel="00000000">
              <w:rPr>
                <w:rtl w:val="0"/>
              </w:rPr>
              <w:t xml:space="preserve"> mērķi, bet var noteikt Natura2000 teritorijām atbilstošas Direktīvas 92/43/EEK II pielikuma sugas, kurām teritorija atbilst ekoloģiskajām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vārdus "Izveidošanas mērķis" nomainīt uz "Mērķis", "Mērķsugas" vai "Prioritārās sugas".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noteikt juridiski saistošu izveides mērķi izriet no Biotopu direktīvas. Natura 2000 sākotnējie izveides mērķi kopumā atbilst šī likumprojekta II pielikuma sugu sarakstam, vienlaikus tie ir precizēti ņemot vērā jaunāko zinātnisko informāciju. Izveides mērķis ir to sugu un biotopu uzskaitījums, kuru aizsardzībai šī teritorija ir noteikta. Ja tiek konstatēts, ka konkrētā teritorija ir nozīmīga valsts mērogā kādas jaunas sugas vai biotopa aizsardzībai arī pēc tās sākotnējās izveidošanas, tiek papildināti arī izveides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43.panta piektās daļas papildinājuma kontekstā nepieciešams apraksts, kā noritēs administratīvie procesi atļauju izsniegšanā, kā un kurš izvērtēs, vai plānotā darbība nav pretrunā ar dabas datu pārvaldības sistēmā reģistrētajiem Eiropas nozīmes aizsargājamās dabas teritorijas (Natura 2000) aizsardzības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likumprojekta 5. panta precizētajai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papildināt likumprojekta anotācijas 5.4. sadaļas 1. tabulu ar informāciju par to, kā paredzēts pilnībā pārņemt Padomes 1992.gada 21.maija Direktīvas 92/43/EEK par dabisko biotopu savvaļas faunas un floras aizsardzību (turpmāk - Biotopu direktīva) 4. panta 1. punktu, tostarp, kādēļ to izpildi nav iespējams nodrošināt ar likumprojektu, vai alternatīvi lūdzam papildināt likumprojektu ar atbilstošu regulējumu. Papildus lūdzam anotācijā norādīt arī atbildīgo institūciju par minētās direktīvas prasību pārņemšanu pilnībā un termiņu, kādā tiks izstrādāts tiesību akts, ar kuru nodrošināma direktīvas prasību pārņemšana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izvērstāk skaidrot Biotopu direktīvas 6. pantā ietvertā regulējuma pārņemšanu, norādot, kā ir pārņemts katrs šī panta punkts, ievērojot, ka minētais regulējums pirmšķietami nav pārņemts vienīgi likumprojekta 4.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norādīts, ka pārkāpuma procedūras lietā Nr. 2020/2209 norādīts, ka Latvija nav izpildījusi pienākumus saskaņā ar Biotopu direktīvas 4. panta 4. punktu un 6. pantu - nav pienācīgi noteikusi nevienu no Kopienā nozīmīgām teritorijām (Natura 2000 teritorijām) kā īpaši aizsargājamu dabas teritoriju, nav noteikusi teritorijai specifiskus saglabāšanas mērķus un nav noteikusi vajadzīgos saglabāšanas pasākumus, kas atbilst katrā teritorijā sastopamo Biotopu direktīvas I pielikuma dabisko dzīvotņu veidu un II pielikuma sugu ekoloģiskajām prasībām.  Saistībā ar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papildināt likumprojekta anotācijas 5.4. sadaļas 1. tabulu ar informāciju par Biotopu direktīvas 4. panta 4. punktā ietverto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anotācijā skaidrot, kā likumprojektā pārņemta prasība noteikt vajadzīgos saglabāšanas pasākumus, kas atbilst katrā teritorijā sastopamo Biotopu direktīvas I pielikuma dabisko dzīvotņu veidu un II pielikuma sugu ekoloģiskajām prasībām. Nepieciešamības gadījumā lūdzam papildināt likumprojektu ar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Natura2000 teritoriju izveidei sākotnējais mērķis nav bijis šī likumprojekta Direktīvas II pielikuma sugu saraksts, līdz ar to šobrīd teritorijām nevar noteikt izveides mērķi (izņemot jaunizveidotajām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Nomainīt tabulas kolonas nosaukumu "Izveidošanas mērķis" uz "Mērķsugas", "Prioritārās sugas" vai vienkārši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"Ķemeru Nacionālais parks" pieņemts rakstīt ar lielo burtu "N" vārdā "nacionālais". Līdzīgi arī citiem parkiem.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Līdzīgi kā ir rakstīti citu sugu nosaukumi, vajadzētu pieturēties pie pareiza sugas nosaukuma arī lācim, kura sugas nosaukums ir "Brūnais lācis".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Brūnais lācis </w:t>
            </w:r>
            <w:r w:rsidR="00000000" w:rsidRPr="00000000" w:rsidDel="00000000">
              <w:rPr>
                <w:i w:val="1"/>
                <w:rtl w:val="0"/>
              </w:rPr>
              <w:t xml:space="preserve">Ursus arctos</w:t>
            </w:r>
            <w:r w:rsidR="00000000" w:rsidRPr="00000000" w:rsidDel="00000000">
              <w:rPr>
                <w:rtl w:val="0"/>
              </w:rPr>
              <w:t xml:space="preserve"> ir konstatēts lielākā skaitā Natura2000 teritoriju, nekā ir minēts likumprojekta pielikumā, tostarp arī Ķemeru Nacionālajā parkā vairākkārt, taču tas neatspoguļojas tabulā. Ķemeru nacionālā parka plašais mežu-purvu masīvs (kopā ar Līvbērzes meža masīvu) ir ideāla lāča dzīvotne ar labiem aizsardzības priekšnoteikumiem.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Izlabot pareizrakstību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Tabulas sadaļu "Ķemeru Nacionālais parks" papildināt ar sugu Brūnais lācis </w:t>
            </w:r>
            <w:r w:rsidR="00000000" w:rsidRPr="00000000" w:rsidDel="00000000">
              <w:rPr>
                <w:i w:val="1"/>
                <w:rtl w:val="0"/>
              </w:rPr>
              <w:t xml:space="preserve">Ursus arctos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1)Latvijas Republikas Saeimas pieņemtajā Ķemeru nacionālā parka likumā (2001.) lielais sākumburts lietots tikai vārdā Ķemeri, līdz ar šādi lietots arī Likumprojektā.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Ņemts vērā. Pielikumā precizēts sugas nosaukums  - Brūnais lācis.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Natura 2000 teritoriju izveidošanas mērķa sugām netiek noteiktas visas Biotopu direktīvas II pielikuma sugas, kas sastopamas katrā teritorijā. ES LIFE programmas projekta “Natura 2000 aizsargājamo teritoriju pārvaldības un apsaimniekošanas optimizācija” ietvaros tika noteikti Biotopu direktīvas II pielikuma sugu (t.sk. Brūnā lāča) valsts līmeņa aizsardzības mērķi, kā arī teritoriju līmeņa aizsardzības mērķi tām teritorijām, kuras izveidotas, lai sasniegtu valsts līmeņa mērķus.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īpaši aizsargājamām dabas teritorijām"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Finanšu ministrijas 11.10.2024. atzinumā izteikto priekšlikumu (izziņas 30.p.), papildināta anotācija, kurā tiek skaidrots, ka par jaunu aizsargājamo teritoriju veidošanu zemes īpašnieki tiek informēti saskaņā ar likuma “Par īpaši aizsargājamām dabas teritorijām” (turpmāk – Likums) 11. panta otro daļu, savukārt, par aizsargājamās teritorijas robežu, zonējuma, kategorijas vai aizsardzības režīma plānoto maiņu -  atbilstoši Likuma 13. panta ceturtajai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minētajos Likuma pantos ietverto regulējumu Dabas aizsardzības pārvalde </w:t>
            </w:r>
            <w:r w:rsidR="00000000" w:rsidRPr="00000000" w:rsidDel="00000000">
              <w:rPr>
                <w:u w:val="single"/>
                <w:rtl w:val="0"/>
              </w:rPr>
              <w:t xml:space="preserve">rakstiski informē zemes īpašnieku par plānoto</w:t>
            </w:r>
            <w:r w:rsidR="00000000" w:rsidRPr="00000000" w:rsidDel="00000000">
              <w:rPr>
                <w:rtl w:val="0"/>
              </w:rPr>
              <w:t xml:space="preserve">  aizsargājamās teritorijas izveidošanu un nodrošina  efektīvu zemes īpašnieku informēšanu par aizsargājamās teritorijas robežu, zonējuma, kategorijas vai aizsardzības režīma </w:t>
            </w:r>
            <w:r w:rsidR="00000000" w:rsidRPr="00000000" w:rsidDel="00000000">
              <w:rPr>
                <w:u w:val="single"/>
                <w:rtl w:val="0"/>
              </w:rPr>
              <w:t xml:space="preserve">plānoto maiņu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pēc tam, kad jau stājies spēkā likums vai Ministru kabineta noteikumi par aizsargājamās teritorijas izveidošanu vai zonējuma noteikšanu, vai robežu izmaiņām,  kaut arī Dabas aizsardzības pārvaldes sākotnēji sniegtā informācija par plānotajiem zemes aprobežojumiem var atšķirties no pēc tam likumā un Ministru kabineta noteikumos noteiktajiem, Likums neparedz pienākumu Dabas aizsardzības pārvaldei rakstiski informēt zemes īpašnieku. Turklāt, ir arī situācijas, kad Dabas aizsardzības pārvaldes tīmekļa vietnē “OZOLS” publicētie dati atšķiras no nekustamā īpašuma valsts kadastra informācijas sistēmas datiem par īpašuma tiesību aprobežojumiem, radot zemes īpašniekam neskaidrības.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iespēju papildināt Likuma 13.panta piekto daļu, nosakot pienākumu Dabas aizsardzības pārvaldei mēneša laikā pēc tam, kad stājies spēkā likums vai Ministru kabineta noteikumi par aizsargājamās teritorijas izveidošanu vai par aizsargājamās teritorijas robežu, zonējuma, kategorijas vai aizsardzības režīma izmaiņām, </w:t>
            </w:r>
            <w:r w:rsidR="00000000" w:rsidRPr="00000000" w:rsidDel="00000000">
              <w:rPr>
                <w:u w:val="single"/>
                <w:rtl w:val="0"/>
              </w:rPr>
              <w:t xml:space="preserve">rakstveidā informēt zemes īpašnieku par attiecīgajiem īpašuma tiesību aprobežojumiem.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iespēja informēt zemes īpašniekus pēc normatīvā akta pieņemšanas. Secināts, ka tas prasītu nesamērīgi lielus administratīvos un finanšu resursus, katram zemes īpašniekam nosūtot rakstisku vēstuli. Īpašnieki tiek informēti par paredzētajiem grozījumiem, un normatīvo aktu virzībai un apstiprināšanai ir iespēja sekot līdz Tiesību aktu projektu publiskajā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normatīvajiem aktiem dabas datu pārvaldības sistēmā "Ozols" tiek publicētas gan īpaši aizsargājamo dabas teritoriju robežas, gan funkcionālais zonējums. Savukārt Apgrūtināto teritoriju informācijas sistēmas (ATIS) likuma 7. pants noteic, ka Dabas aizsardzības pārvalde ATIS sniedz datus par valsts izveidotajām īpaši aizsargājamām dabas teritorijām un to funkcionālajām zonām. Savukārt atbilstoši Nekustamā īpašuma valsts kadastra likuma 44. pantam par nekustamā īpašuma objektu Kadastra informācijas sistēmā reģistrē un uztur nekustamā īpašuma objekta apgrūtinājumus atbilstoši ATIS iekļautajiem datiem par apgrūtinātajām teritorijām un to robežām. Līdz ar to arī valsts kadastra informācijas sistēmā nonāk aktuālie dati par īpaši aizsargājamām dabas teritorijām.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īpaši aizsargājamām dabas teritorijām"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īpaši aizsargājamām dabas teritorijām"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saprātīgā laikposmā novērst neatbilstības administratīvās atbildības regulējumā, kā arī likuma "Par īpaši aizsargājamām dabas teritorijām" 24.</w:t>
            </w:r>
            <w:r w:rsidR="00000000" w:rsidRPr="00000000" w:rsidDel="00000000">
              <w:rPr>
                <w:b w:val="1"/>
                <w:vertAlign w:val="superscript"/>
                <w:rtl w:val="0"/>
              </w:rPr>
              <w:t xml:space="preserve">1</w:t>
            </w:r>
            <w:r w:rsidR="00000000" w:rsidRPr="00000000" w:rsidDel="00000000">
              <w:rPr>
                <w:b w:val="1"/>
                <w:rtl w:val="0"/>
              </w:rPr>
              <w:t xml:space="preserve"> pantā noteiktajā ierobežojumā saņemt atļaujas.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Tieslietu ministrijas 2024. gada 15. oktobra atzinumā norādītajiem priekšlikumiem par administratīvās atbildības un ar to saistīto regulējumu izziņā norādīts, ka ministrija izvērtēs grozāmā likuma 45. pantā noteiktā administratīvās atbildības regulējuma atbilstību, kā arī vienlaikus precizējumu nepieciešamību grozāmā likuma 24.</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ierobežojuma saņemt atļaujas neatbilstību Administratīvās atbildības likumam šobrīd iespējams novērst, pareizi izmantojot tiesību normu piemērošanas metodes, tad administratīvās atbildības regulējuma pašreizējā redakcijā piemērošana vismaz daļā gadījumu ir prettiesiska.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precizētais likumprojekts nesatur atbilstošus grozījumus, tad minētie Tieslietu ministrijas priekšlikumi vismaz šobrīd vēl nav ņemti vērā vai ņemti vērā tikai daļēji. Turklāt, ja administratīvās atbildības izmaiņas varētu būt visai sarežģītas, tad grozāmā likuma 24.</w:t>
            </w:r>
            <w:r w:rsidR="00000000" w:rsidRPr="00000000" w:rsidDel="00000000">
              <w:rPr>
                <w:vertAlign w:val="superscript"/>
                <w:rtl w:val="0"/>
              </w:rPr>
              <w:t xml:space="preserve">1</w:t>
            </w:r>
            <w:r w:rsidR="00000000" w:rsidRPr="00000000" w:rsidDel="00000000">
              <w:rPr>
                <w:rtl w:val="0"/>
              </w:rPr>
              <w:t xml:space="preserve"> pantā nepieciešamais precizējums ir vienkāršs.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grozījumu Likuma 24.</w:t>
            </w:r>
            <w:r w:rsidR="00000000" w:rsidRPr="00000000" w:rsidDel="00000000">
              <w:rPr>
                <w:vertAlign w:val="superscript"/>
                <w:rtl w:val="0"/>
              </w:rPr>
              <w:t xml:space="preserve">1</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īpaši aizsargājamām dabas teritorijām"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īpaši aizsargājamām dabas teritorijām"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grozāmā likuma 24.</w:t>
            </w:r>
            <w:r w:rsidR="00000000" w:rsidRPr="00000000" w:rsidDel="00000000">
              <w:rPr>
                <w:b w:val="1"/>
                <w:vertAlign w:val="superscript"/>
                <w:rtl w:val="0"/>
              </w:rPr>
              <w:t xml:space="preserve">1</w:t>
            </w:r>
            <w:r w:rsidR="00000000" w:rsidRPr="00000000" w:rsidDel="00000000">
              <w:rPr>
                <w:b w:val="1"/>
                <w:rtl w:val="0"/>
              </w:rPr>
              <w:t xml:space="preserve"> pantu, saskaņojot to ar Administratīvās atbildības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24.</w:t>
            </w:r>
            <w:r w:rsidR="00000000" w:rsidRPr="00000000" w:rsidDel="00000000">
              <w:rPr>
                <w:vertAlign w:val="superscript"/>
                <w:rtl w:val="0"/>
              </w:rPr>
              <w:t xml:space="preserve">1</w:t>
            </w:r>
            <w:r w:rsidR="00000000" w:rsidRPr="00000000" w:rsidDel="00000000">
              <w:rPr>
                <w:rtl w:val="0"/>
              </w:rPr>
              <w:t xml:space="preserve"> pantā noteikts, ka personai netiek izsniegtas aizsargājamo teritoriju aizsardzību un izmantošanu regulējošos normatīvajos aktos noteiktās atļaujas, ja </w:t>
            </w:r>
            <w:r w:rsidR="00000000" w:rsidRPr="00000000" w:rsidDel="00000000">
              <w:rPr>
                <w:u w:val="single"/>
                <w:rtl w:val="0"/>
              </w:rPr>
              <w:t xml:space="preserve">nav samaksāts</w:t>
            </w:r>
            <w:r w:rsidR="00000000" w:rsidRPr="00000000" w:rsidDel="00000000">
              <w:rPr>
                <w:rtl w:val="0"/>
              </w:rPr>
              <w:t xml:space="preserve"> administratīvais naudas sods par pārkāpumiem aizsargājamo teritoriju aizsardzības un izmantošanas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2. panta trešajā daļā ir noteikts, ka nozaru likumos var noteikt arī iestāžu pakalpojumu saņemšanas un citus ierobežojumus administratīvi sodītajām personām, kuras izvairās no soda izpildes. Jāievēro, ka pazīme "izvairās no soda izpildes" nav vienāda ar tiesību normas pazīmi "nav samaksāts administratīvais naudas sods". Naudas soda izpildi var iedalīt divās stadijās – brīvprātīgas izpildes stadija un piespiedu izpildes stadija. Ja sodītā persona naudas sodu samaksā brīvprātīgi pilnā apmērā likumā noteiktajā kārtībā un termiņā, tad tas uzskatāms par izpildītu brīvprātīgi, un piespiedu izpildes stadija neseko (</w:t>
            </w:r>
            <w:r w:rsidR="00000000" w:rsidRPr="00000000" w:rsidDel="00000000">
              <w:rPr>
                <w:i w:val="1"/>
                <w:rtl w:val="0"/>
              </w:rPr>
              <w:t xml:space="preserve">Laura J. 34. nodaļa. Pamatsodu izpilde. Skaidrojumi. Grām.: Administratīvo pārkāpumu tiesības. Administratīvās atbildības likuma skaidrojumi. Sagatavojis autoru kolektīvs. E. Danovska un G. Kūtra zinātniskajā redakcijā. Rīga: Tiesu namu aģentūra, 2020, 553. lpp.</w:t>
            </w:r>
            <w:r w:rsidR="00000000" w:rsidRPr="00000000" w:rsidDel="00000000">
              <w:rPr>
                <w:rtl w:val="0"/>
              </w:rPr>
              <w:t xml:space="preserve">). Tikai tad, ja sodītā persona nesamaksā naudas sodu brīvprātīgi un seko piespiedu izpildes stadija, var teikt, ka persona izvairās no naudas soda izpildes.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Likuma 24.</w:t>
            </w:r>
            <w:r w:rsidR="00000000" w:rsidRPr="00000000" w:rsidDel="00000000">
              <w:rPr>
                <w:vertAlign w:val="superscript"/>
                <w:rtl w:val="0"/>
              </w:rPr>
              <w:t xml:space="preserve">1</w:t>
            </w:r>
            <w:r w:rsidR="00000000" w:rsidRPr="00000000" w:rsidDel="00000000">
              <w:rPr>
                <w:rtl w:val="0"/>
              </w:rPr>
              <w:t xml:space="preserve"> pantā vārdi "nav samaksāts administratīvais naudas sods" precizējami, norādot, ka tas attiecas uz gadījumiem, kad persona izvairās no naudas soda izpildes (salīdzinājumam sk. Ceļu satiksmes likuma 14.</w:t>
            </w:r>
            <w:r w:rsidR="00000000" w:rsidRPr="00000000" w:rsidDel="00000000">
              <w:rPr>
                <w:vertAlign w:val="superscript"/>
                <w:rtl w:val="0"/>
              </w:rPr>
              <w:t xml:space="preserve">2</w:t>
            </w:r>
            <w:r w:rsidR="00000000" w:rsidRPr="00000000" w:rsidDel="00000000">
              <w:rPr>
                <w:rtl w:val="0"/>
              </w:rPr>
              <w:t xml:space="preserve"> un 43. pantu). Savukārt spēkā esošais regulējums piemērojams, skatoties to kopsakarā ar Administratīvās atbildības likuma 2. panta trešo daļu un šajā likumā noteikto sodu izpildes regulējumu. Proti, interpretācijas rezultātā tas tāpat attiecināms tikai uz tām personām, kuras izvairās no soda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izvērtēs priekšlikumu vienlaikus ar Tieslietu ministrijas izteikto priekšlikumu par 45. panta atkārtotu izvērtēšanu.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īpaši aizsargājamām dabas teritorijām"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1. pants pēc būtības paredz mainīt Aizsargājamo teritoriju valsts reģistra kā valsts informācijas sistēmas nosaukumu, savukārt grozījuma mērķis ir precizēt attiecīgajā reģistrā iekļaujamo informāciju, aicinām grozīt nevis likuma "Par īpaši aizsargājamām dabas teritorijām" 31. panta trešo daļu, bet gan minētā panta pirmo daļu, kurā norādīta Aizsargājamo teritoriju valsts reģistrā iekļaujamā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31. panta pirmo daļu pēc vārdiem "aizsargājamām teritorijām Latvijā" ar vārdiem "tajā skaitā Eiropas nozīmes aizsargājamo dabas teritoriju (Natura 2000)".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13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13</w:t>
            </w:r>
            <w:r w:rsidR="00000000" w:rsidRPr="00000000" w:rsidDel="00000000">
              <w:rPr>
                <w:b w:val="1"/>
                <w:vertAlign w:val="superscript"/>
                <w:rtl w:val="0"/>
              </w:rPr>
              <w:t xml:space="preserve">1</w:t>
            </w:r>
            <w:r w:rsidR="00000000" w:rsidRPr="00000000" w:rsidDel="00000000">
              <w:rPr>
                <w:b w:val="1"/>
                <w:rtl w:val="0"/>
              </w:rPr>
              <w:t xml:space="preserve">. pants. Aizsargājamo koku un akmeņu izveidošanas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Aizsargājamie koki un akmeņi iegūst dabas pieminekļa statusu, sasniedzot  Ministru kabineta noteiktos parametrus.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11. – 13. pantā noteikto kārtību nepiemēro attiecībā uz aizsargājamiem kokiem un akmeņiem.”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skaidrot nepieciešamību un mērķi projekta 2. pantā ietvertajam regulējumam, ņemot vērā, ka tas, ka aizsargājamie koki iegūst dabas pieminekļa statusu, sasniedzot  Ministru kabineta noteiktos parametrus, faktiski izriet arī no Augstākās tiesas Senāta 2020. gada 10. jūlija spriedumā lietā Nr. SKA-507/2020 sniegtās attiecīgo likuma "Par īpaši aizsargājamām dabas teritorijām" normu interpretācijas. Proti, projekta anotācijā nepieciešams pamatot, vai šāds regulējums patiešām ir nepieciešams un kāds ir tā mērķis (tiesiskā noteiktība vai citi apsvērumi).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13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13</w:t>
            </w:r>
            <w:r w:rsidR="00000000" w:rsidRPr="00000000" w:rsidDel="00000000">
              <w:rPr>
                <w:b w:val="1"/>
                <w:vertAlign w:val="superscript"/>
                <w:rtl w:val="0"/>
              </w:rPr>
              <w:t xml:space="preserve">1</w:t>
            </w:r>
            <w:r w:rsidR="00000000" w:rsidRPr="00000000" w:rsidDel="00000000">
              <w:rPr>
                <w:b w:val="1"/>
                <w:rtl w:val="0"/>
              </w:rPr>
              <w:t xml:space="preserve">. pants. Aizsargājamo koku un akmeņu izveidošanas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Aizsargājamie koki un akmeņi iegūst dabas pieminekļa statusu, sasniedzot  Ministru kabineta noteiktos parametrus.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11. – 13. pantā noteikto kārtību nepiemēro attiecībā uz aizsargājamiem kokiem un akmeņiem.”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13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13</w:t>
            </w:r>
            <w:r w:rsidR="00000000" w:rsidRPr="00000000" w:rsidDel="00000000">
              <w:rPr>
                <w:b w:val="1"/>
                <w:vertAlign w:val="superscript"/>
                <w:rtl w:val="0"/>
              </w:rPr>
              <w:t xml:space="preserve">1</w:t>
            </w:r>
            <w:r w:rsidR="00000000" w:rsidRPr="00000000" w:rsidDel="00000000">
              <w:rPr>
                <w:b w:val="1"/>
                <w:rtl w:val="0"/>
              </w:rPr>
              <w:t xml:space="preserve">. pants. Aizsargājamo koku un akmeņu izveidošanas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Aizsargājamie koki un akmeņi iegūst dabas pieminekļa statusu, sasniedzot  Ministru kabineta noteiktos parametrus.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11. – 13. pantā noteikto kārtību nepiemēro attiecībā uz aizsargājamiem kokiem un akmeņiem.”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vai projekta 2. pantā ietverts pilnvarojums Ministru kabineta noteikumu izdošanai vai ar to saprotama atsauce uz normatīvajiem aktiem, kuru izdošanai pilnvarojums ietverts citās likuma "Par īpaši aizsargājamām dabas teritorijām"  vienībās. Attiecīgā gadījumā lūdzam pilnvarojumu formulēt atbilstoši Ministru kabineta 2009. gada 3. februāra noteikumu Nr. 108 "Normatīvo aktu projektu sagatavošanas noteikumi" 47.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netiek ietverts pilnvarojums Ministru kabineta noteikumu izdošanai. Pilnvarojums izdot Ministru kabineta noteikumus ir ietverts spēkā esošā likuma 13. panta otrajā daļā, kas noteic, ka "aizsargājamo ainavu apvidus, dabas liegumus, dabas parkus, aizsargājamās jūras teritorijas un dabas pieminekļus izveido Ministru kabinets".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13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13</w:t>
            </w:r>
            <w:r w:rsidR="00000000" w:rsidRPr="00000000" w:rsidDel="00000000">
              <w:rPr>
                <w:b w:val="1"/>
                <w:vertAlign w:val="superscript"/>
                <w:rtl w:val="0"/>
              </w:rPr>
              <w:t xml:space="preserve">1</w:t>
            </w:r>
            <w:r w:rsidR="00000000" w:rsidRPr="00000000" w:rsidDel="00000000">
              <w:rPr>
                <w:b w:val="1"/>
                <w:rtl w:val="0"/>
              </w:rPr>
              <w:t xml:space="preserve">. pants. Aizsargājamo koku un akmeņu izveidošanas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Aizsargājamie koki un akmeņi iegūst dabas pieminekļa statusu, sasniedzot  Ministru kabineta noteiktos parametrus.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11. – 13. pantā noteikto kārtību nepiemēro attiecībā uz aizsargājamiem kokiem un akmeņiem.”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netiek izsniegtas aizsargājamo teritoriju aizsardzību un izmantošanu regulējošos normatīvajos aktos noteiktās atļaujas, ja persona izvairās no šajā likumā noteiktā naudas soda izpildes, kā arī ja nav veikti sanācijas pasākumi vai nav atlīdzināti zaudējumi par aizsargājamai teritorijai nodarīto kaitējumu vides aizsardzības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ietverams skaidrojums par grozījumiem likuma "Par īpaši aizsargājamām dabas teritorijām" 24.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apsverama iespēja izvēlēties precīzāku grozījuma veidu (piemēram, aizstājot vārdus), lai precīzi un viegli uztverami atspoguļotu grozījuma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secināts, ka panta izteikšana jaunā redakcijā precizāk atspoguļo grozījumu saturu un ir vieglāk uztverama nekā atsevišķu vārdu aizstāšana.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netiek izsniegtas aizsargājamo teritoriju aizsardzību un izmantošanu regulējošos normatīvajos aktos noteiktās atļaujas, ja persona izvairās no šajā likumā noteiktā naudas soda izpildes, kā arī ja nav veikti sanācijas pasākumi vai nav atlīdzināti zaudējumi par aizsargājamai teritorijai nodarīto kaitējumu vides aizsardzības normatīvajos aktos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40. pantu ar ceturto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pārkāpjot aizsargājamā koka aizsardzību un izmantošanu regulējošos normatīvos aktus, aizsargājamais koks ir bojāts vai iznīcināts, aizsargājamam kokam statusa maiņa (koks bojāts vai iznīcināts) tiek reģistrēta aizsargājamo teritoriju valsts reģistrā, nedzēšot to no aizsargājamo teritoriju valsts reģistra. Uz bojātā vai iznīcinātā aizsargājamā koka teritoriju attiecas aizsargājamo koku teritorijai normatīvajos aktos noteiktie ierobežojumi. Ieraksts aizsargājamo teritoriju valsts reģistrā saglabājams 20 gadus no pārkāpuma konstatēšanas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gadi ir pārāk ilgs un nesamērīgs termiņš iespējamai darbībai ar zemes īpašumu īpašnieka maiņas gadījumā, jo nākamais īpašnieks būs ierobežots veikt darbības ar īpašumu iepriekšējā īpašnieka vai trešās personas prettiesiskas rīcības dēļ. Lai kādas personas neapdomīga rīcība neietekmētu teritorijas turpmāku attīstību, iespējams, būtu jānosaka kādi papildus nosacījumi (izņēmumi). Iesakām apsvērt iespēju, ka gadījumā, ja ja tiek konstatēts, ka dižkoks ir tīši bojāts vai iznīcināts, tad likumprojektā noteikt skaidrus (uz ilgtermiņu vērstus) kritērijus un pasākumus, piemēram, atbilstošu teritorijas apsaimniekošanu pēc koka bojā ejas, jaunu “perspektīvā aizsargājamo” koku stādīšanu konkrētajā vietā, bioloģiskās daudzveidības veicināšanu vai dabiskās vides atjaunošanu. Viennozīmīgi pēc koka bojā ejas būtu jāveic šīs situācijas novērtējums.  Veicot šos pasākumus, veicinātu ilgstošu sabiedrības izpratni par dabas vērtību nozīmīgumu un nepieciešamību saglabāt šīs teritorijas nākotnē.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termiņš 20 gadi un nosacījumi, kādi jāievēro zemes īpašniekam, ja nelikumīgi iznīcināts aizsargājams koks. Ministrijas ieskatā 20 gadi ir samērīgs termiņš, lai atturētu no nelikumīgas rīcības un lai īpašnieka maiņa netiktu ļaunprātīgi izmantota un neveidotos situācija, ka mainoties īpašniekam, ierobežojumi tiek atcelti. 20 gadi uzskatāmi par samērīgu termiņu arī salīdzinot ar pašvaldības teritorijas attīstības plānošanu (teritorijas plānojums tiek izstrādāts laikam posmam līdz 25 gadiem).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40. pantu ar ceturto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pārkāpjot aizsargājamā koka aizsardzību un izmantošanu regulējošos normatīvos aktus, aizsargājamais koks ir bojāts vai iznīcināts, aizsargājamam kokam statusa maiņa (koks bojāts vai iznīcināts) tiek reģistrēta aizsargājamo teritoriju valsts reģistrā, nedzēšot to no aizsargājamo teritoriju valsts reģistra. Uz bojātā vai iznīcinātā aizsargājamā koka teritoriju attiecas aizsargājamo koku teritorijai normatīvajos aktos noteiktie ierobežojumi. Ieraksts aizsargājamo teritoriju valsts reģistrā saglabājams 20 gadus no pārkāpuma konstatēšanas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skaidrojumus par to, kas tiek uzskatīts par "bojātu" un "iznīcinātu" koku, lai izvairītos no interpretācijas atšķirībām kā arī definēt, kas ir atbildīgs par bojātā vai iznīcinātā koka reģistrāciju un uzraudzību, lai nodrošinātu pienākumu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"bojāts vai iznīcināts koks" aizstāts ar "iznīcināts koks", sniegts skaidrojums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Nr.108 "Normatīvo aktu projektu sagatavošanas noteikumi" 73. punktu grozījumu likumā terminoloģiju, stilistiku un noformējumu veido atbilstoši grozāmā likuma terminoloģijai, stilistikai un noformējumam. Ņemot vērā minēto, lūdzam izvērtēt likumprojekta 4. pantā paredzētā grozījuma 40. panta ceturtajā daļā atbilstību likuma IX nodaļas nosaukumam un saturam, kas reglamentē aizsargājamo teritoriju statusa likvidēšanu.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jaunu 3.</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Dabas aizsardzības pārvalde apstiprina katras Eiropas nozīmes aizsargājamās dabas teritorijas (Natura 2000) aizsardzības mērķus, balstoties uz tās izveidošanas mērķiem un ņemot vērā katra Eiropas nozīmes biotopa un sugas ekoloģiskās prasības un Eiropas nozīmes biotopu un sugu aizsardzības stāvokli.";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- 21.03.2025.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minēts, kurā pantā tiek veikts minētais grozījums.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Likumprojkets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jaunu 3.</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Dabas aizsardzības pārvalde apstiprina katras Eiropas nozīmes aizsargājamās dabas teritorijas (Natura 2000) aizsardzības mērķus, balstoties uz tās izveidošanas mērķiem un ņemot vērā katra Eiropas nozīmes biotopa un sugas ekoloģiskās prasības un Eiropas nozīmes biotopu un sugu aizsardzības stāvokli.";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Kokmateriālu ražotāju un tirgotāju asociācija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pantu, kur šis punkts jāpievieno. Pieņemu, ka te ir runa par 43.panta jauno 3prim1.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 par šo punktu notika arī apstiprinot "Par aizsargājamo biotopu izplatības un kvalitātes apzināšanas rezultātiem un tālāko rīcību aizsargājamo biotopu labvēlīgas aizsardzības stāvokļa nodrošināšanas un tautsaimniecības nozaru attīstības interešu sabalansēšanai", kur VARAM uzsvēra: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izveidošanas mērķis nav tas pats, kas "aizsardzības mērķi", par ko ir šie grozījumi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mērķi nenosaka pasākumus, ar kādiem šie mērķi būtu jāsasniedz. Konkrētos pasākumus regulē individuālajos aizsardzības un izmantošanas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ĪADT apsaimniekošanas un aizsardzības prasības, kā līdz šim, tiks noteiktas ĪADT vispārējos vai individuālajos aizsardzības un izmantošanas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Lūgums šo likumsakarību nepārprotami iekļaut Anotācijā, lai nerastos interpretācijas, ka DAP noteiktie aizsardzības mērķi automātiski groza individuālajos aizsardzības un izmantošanas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Tāpat jāparedz iespēja/procedūra, kas nodrošina, ka DAP nav "monopoltiesības" uz noteiktajiem aizsardzības mērķiem un tie ir precizējami, grozot vispārējos vai individuālajos aizsardzības un izmantošanas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grozījumu numerācija.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40. pantu ar ceturto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pārkāpjot aizsargājamā koka aizsardzību un izmantošanu regulējošos normatīvos aktus, aizsargājamais koks ir iznīcināts, aizsargājamam kokam statusa maiņa (iznīcināts) tiek reģistrēta aizsargājamo teritoriju valsts reģistrā, nedzēšot to no aizsargājamo teritoriju valsts reģistra. Ieraksts aizsargājamo teritoriju valsts reģistrā saglabājams 20 gadus no pārkāpuma konstatēšanas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 15 metru rādiusā, mērot no iznīcinātā aizsargājamā koka celma, aizliegts veikt jaunu būvniecību, izņemot inženierbūvju būvniecību ar Dabas aizsardzības pārvaldes rakstisku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vārdus "aizsargājamā koka aizsardzību un izmantošanu regulējošos normatīvos aktus" ar vārdiem "normatīvos aktus par īpaši aizsargājamo dabas teritoriju vispārējo aizsardzību un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Aizsargājamo koku aizsardzību un izmantošanu regulē ne tikai vispārējie aizsardzības un izmantošanas noteikumi, bet arī individuālie aizsargājamo teritoriju aizsardzības un izmantošanas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otrās daļas otro teikumu pēc vārdiem "aizsargājamās teritorijas un mikroliegumi" ar vārdiem "katras Eiropas nozīmes aizsargājamās dabas teritorijas (Natura 2000) izveidošanas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visu panta otrās daļas otro teikumu izteikt jaunā redakcijā, jo, papildinot to ar ierosinātiem vārdiem, neveidojas gramatiski pareizs 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otrās daļas otro teikumu pēc vārdiem "aizsargājamās teritorijas un mikroliegumi" ar vārdiem "un katras Eiropas nozīmes aizsargājamās dabas teritorijas (Natura 2000) izveidošanas mērķi";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piekto daļu ar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paredzētai darbībai nav nepieciešami Valsts vides dienesta izsniegti tehniskie noteikumi vai nav veikts šā panta ceturtajā daļā minētais novērtējums, atbildīgā iestāde paredzētas darbības atļauju izsniedz tikai tādām darbībām, kas nav pretrunā ar dabas datu pārvaldības sistēmā reģistrētajiem Eiropas nozīmes aizsargājamās dabas teritorijas (Natura 2000) aizsardzības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skaidrot, ar ko atšķiras Eiropas nozīmes aizsargājamās dabas teritorijas (Natura 2000) aizsardzības mērķi, kas minēti Likuma 43. panta piektās daļas pirmajā teikumā, no dabas datu pārvaldības sistēmā reģistrētajiem Eiropas nozīmes aizsargājamās dabas teritorijas (Natura 2000) aizsardzības mērķiem, nepieciešamības gadījumā nodrošinot likumprojektā vienveidīgu izteiksmi.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Likuma 43. panta piektās daļas otrajā teikumā, līdzīgi kā pirmajā teikumā, nav jānorāda uz plānošanas dokumentu īstenošanu. Ja tas nav nepieciešams lūdzam sniegt atbilstošu skaidrojumu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jaunu 11.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nozīmes aizsargājamās dabas teritorijās (Natura 2000) valsts un pašvaldību īpašumā esošā zemē aizliegts bojāt vai iznīcināt (tajā skaitā uzart vai kultivēt, ieaudzēt mežu, veikt mežsaimniecisko darbību) Eiropas Savienības nozīmes biotopus, kas reģistrēti dabas datu pārvaldības sistēmā, izņemot šā panta sestajā daļā noteiktajos gadījumos, kā arī, ja tas nav pretrunā Eiropas nozīmes aizsargājamās dabas teritorijas (Natura 2000) izveidošanas un aizsardzības 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45.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atkārtoti izvērtēt Likuma 45. pantā noteiktā administratīvās atbildības regulējuma atbilstību pārkāpumu noteikšanas un definēšanas prasībām, kā arī administratīvās atbildības nepieciešamības un pieļaujamības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pārvaldei ir pienākums pastāvīgi pārbaudīt un pilnveidot normatīvo regulējumu (</w:t>
            </w:r>
            <w:r w:rsidR="00000000" w:rsidRPr="00000000" w:rsidDel="00000000">
              <w:rPr>
                <w:i w:val="1"/>
                <w:rtl w:val="0"/>
              </w:rPr>
              <w:t xml:space="preserve">sal. sk. Valsts pārvaldes iekārtas likuma 10. panta 10. daļu</w:t>
            </w:r>
            <w:r w:rsidR="00000000" w:rsidRPr="00000000" w:rsidDel="00000000">
              <w:rPr>
                <w:rtl w:val="0"/>
              </w:rPr>
              <w:t xml:space="preserve">). Tāpat ir nepieciešams regulāri veikt spēkā esošo tiesību aktu ietekmes pēcpārbaudi, lai pārliecinātos, vai normatīvais regulējums joprojām ir nepieciešams, nerada nelabvēlīgas sekas, atbilst tā izstrādes mērķim, pašreizējai sociālajai un tiesiskajai situācijai (</w:t>
            </w:r>
            <w:r w:rsidR="00000000" w:rsidRPr="00000000" w:rsidDel="00000000">
              <w:rPr>
                <w:i w:val="1"/>
                <w:rtl w:val="0"/>
              </w:rPr>
              <w:t xml:space="preserve">Krūmiņa I. Kādi faktori kavē efektīvu tiesību aktu un rīcībpolitiku ex-post izvērtēšanu Latvijā? Pētījuma galaziņojums. Rīga: Latvijas Republikas Saeima, 2024, 2. lpp.</w:t>
            </w:r>
            <w:r w:rsidR="00000000" w:rsidRPr="00000000" w:rsidDel="00000000">
              <w:rPr>
                <w:rtl w:val="0"/>
              </w:rPr>
              <w:t xml:space="preserve">). Administratīvās atbildības tiesības joprojām nemitīgi attīstās. No Latvijas Administratīvo pārkāpumu kodeksa pārņemtās vai līdzīgā pieejā izstrādātās tiesību normas ne vienmēr atbilst mūsdienu sodu tiesību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šim Satversmes tiesa nav tieši vērtējusi jautājumu, vai administratīvos pārkāpumus ir jānosaka vienīgi likumdevējam. Tomēr Satversmes tiesa ir atzinusi, ka sankciju noteikšana par noziedzīgu nodarījumu ir saistīta ar demokrātijas un tiesiskuma izpratni valstī, tādējādi sankciju noteikšana kā politisks jautājums ir likumdevēja kompetencē (</w:t>
            </w:r>
            <w:r w:rsidR="00000000" w:rsidRPr="00000000" w:rsidDel="00000000">
              <w:rPr>
                <w:i w:val="1"/>
                <w:rtl w:val="0"/>
              </w:rPr>
              <w:t xml:space="preserve">Satversmes tiesas 2015. gada 8. aprīļa sprieduma lietā Nr. 2014-34-01 11.3. punkts; Satversmes tiesas 2003. gada 29. oktobra sprieduma lietā Nr. 2003-05-01 29. punkts</w:t>
            </w:r>
            <w:r w:rsidR="00000000" w:rsidRPr="00000000" w:rsidDel="00000000">
              <w:rPr>
                <w:rtl w:val="0"/>
              </w:rPr>
              <w:t xml:space="preserve">). Līdzīgs secinājums attiecināms arī uz citām krimināltiesiska (sodoša) rakstura sankcijām, tostarp administratīvajiem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Sodam ir jābalstās uz parlamenta (formālā likumdevēja) pieņemtu likumu vai parlamentam vismaz jābūt galvenajam un galīgajam likumdevējam (</w:t>
            </w:r>
            <w:r w:rsidR="00000000" w:rsidRPr="00000000" w:rsidDel="00000000">
              <w:rPr>
                <w:i w:val="1"/>
                <w:rtl w:val="0"/>
              </w:rPr>
              <w:t xml:space="preserve">nulla poena sine lege parlamentaria</w:t>
            </w:r>
            <w:r w:rsidR="00000000" w:rsidRPr="00000000" w:rsidDel="00000000">
              <w:rPr>
                <w:rtl w:val="0"/>
              </w:rPr>
              <w:t xml:space="preserve">) (</w:t>
            </w:r>
            <w:r w:rsidR="00000000" w:rsidRPr="00000000" w:rsidDel="00000000">
              <w:rPr>
                <w:i w:val="1"/>
                <w:rtl w:val="0"/>
              </w:rPr>
              <w:t xml:space="preserve">Gröning L. Nulla Poena Sine Lege Parlamentaria? Democratic Legitimacy and European Penal Law. In: Legislation in Context: Essays in Legisprudence. Edited by Luc J. Wintgens. Hampshire: Ashgate, 2007, p. 185</w:t>
            </w:r>
            <w:r w:rsidR="00000000" w:rsidRPr="00000000" w:rsidDel="00000000">
              <w:rPr>
                <w:rtl w:val="0"/>
              </w:rPr>
              <w:t xml:space="preserve">). Līdz ar to īpaša uzmanība pievēršama arī pilnvarojuma Ministru kabinetam kvalitātei, tā saturam, apjomam un citām pilnvarojumu raksturojošām pazīmēm. Sodošās normas precizitātei nav pietiekami, ja pārkāpuma pazīmes atrodamas izpildvaras normatīvajā aktā, kas balstīts uz nepietiekami precīzu pilnvarojumu (s</w:t>
            </w:r>
            <w:r w:rsidR="00000000" w:rsidRPr="00000000" w:rsidDel="00000000">
              <w:rPr>
                <w:i w:val="1"/>
                <w:rtl w:val="0"/>
              </w:rPr>
              <w:t xml:space="preserve">al. Leja M. Krimināltiesību aktuālie jautājumi un to risinājumi Latvijā, Austrijā, Šveicē, Vācijā. Noziedzīga nodarījuma uzbūve; cēloņsakarība; vaina; krimināltiesību normu interpretācija un spēks laikā. I daļa. Rīga: Tiesu namu aģentūra, 2019, 102. lpp.</w:t>
            </w:r>
            <w:r w:rsidR="00000000" w:rsidRPr="00000000" w:rsidDel="00000000">
              <w:rPr>
                <w:rtl w:val="0"/>
              </w:rPr>
              <w:t xml:space="preserve">). Nav pieļaujama situācija, ka pārkāpuma saturu patiesībā noteiktu Ministru kabinets (izpildvara).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Blanketās normas ir pieļaujams izmantot, tomēr jāievēro zināmi priekšnoteikumi. Likumdevējs formulē likumā vispārinātu pārkāpuma pazīmi, ko detalizē citi normatīvie akti. Jāievēro, ka blanketās normas definē </w:t>
            </w:r>
            <w:r w:rsidR="00000000" w:rsidRPr="00000000" w:rsidDel="00000000">
              <w:rPr>
                <w:b w:val="1"/>
                <w:rtl w:val="0"/>
              </w:rPr>
              <w:t xml:space="preserve">visas</w:t>
            </w:r>
            <w:r w:rsidR="00000000" w:rsidRPr="00000000" w:rsidDel="00000000">
              <w:rPr>
                <w:rtl w:val="0"/>
              </w:rPr>
              <w:t xml:space="preserve"> pārkāpuma pazīmes, vienīgi daļu no šīm pazīmēm sīkāk konkretizē citi vienāda vai zemāka līmeņa normatīvie akti (</w:t>
            </w:r>
            <w:r w:rsidR="00000000" w:rsidRPr="00000000" w:rsidDel="00000000">
              <w:rPr>
                <w:i w:val="1"/>
                <w:rtl w:val="0"/>
              </w:rPr>
              <w:t xml:space="preserve">Leja M. Krimināltiesību aktuālie jautājumi un to risinājumi Latvijā, Austrijā, Šveicē, Vācijā. Noziedzīga nodarījuma uzbūve; cēloņsakarība; vaina; krimināltiesību normu interpretācija un spēks laikā. I daļa. Rīga: Tiesu namu aģentūra, 2019, 95.-96.lpp.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blanketā norma nevar būt ārkārtīgi vispārīga. Šai normai jāļauj pietiekami skaidri saskatīt, uz ko attiecas norāde (pietiekami skaidri apzīmē un norobežo regulējumu, kas ņemams vērā blanketās normas aizpildīšanai). Īpaši stingri šī prasība izvērtējama, ja blanketā norma norāda nevis uz citu likumu, bet Ministru kabineta noteikumiem vai citiem zemāka juridiska spēka normatīvajiem aktiem. Atbildības priekšnoteikumiem jābūt saskatāmiem jau no likuma. Nevar būt tā, ka faktiski Ministru kabinets lemj, kāda rīcība būs sodāma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97.-98.lpp.</w:t>
            </w:r>
            <w:r w:rsidR="00000000" w:rsidRPr="00000000" w:rsidDel="00000000">
              <w:rPr>
                <w:rtl w:val="0"/>
              </w:rPr>
              <w:t xml:space="preserve">). Tādējādi likumā pietiekami precīzi jānorobežo tā rīcība, par kuru paredzēta administratīvā atbildība. Ministru kabineta noteikumi tikai precizē (konkretizē) likumā esošās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pieļaujams noteikt administratīvo atbildību, piemēram, par "aizsargājamo teritoriju aizsardzību un izmantošanu regulējošo normatīvo aktu prasību pārkāpšanu" vai par citu normatīvo aktu pārkāpšanu. Likumdevējam ir jānorāda konkrēti, par kādu rīcību administratīvā atbildība ir noteikta, neizmantojot atsauces uz citiem normatīvajiem tiesību aktiem. Turklāt šādu normatīvo aktu prasības mēdz grozīt, tā rezultātā nav izslēgta situācija, ka amatpersona piemēros administratīvo atbildību par tādu pienākumu pārkāpumu, kurus likumdevējs nebija un nevarēja apsvērt (it īpaši, ja pilnvarojums ir vispārīgs, nesatur konkrētas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Administratīvās atbildības regulējums izvērtējams kopsakarā ar kriminālatbildības regulējumu. Tā, piemēram, Krimināllikuma 109. pantā ir noteikta kriminālatbildība par koku patvaļīgu ciršanu vai bojāšanu.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Šis Tieslietu ministrijas priekšlikums neskar tieši šā likumprojekta virzību. Lai izvērtētu administratīvās atbildības regulējumu un sagatavotu grozījumus ir nepieciešams pietiekami ilgs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izvērtēs Likuma 45. pantā noteiktā administratīvās atbildības regulējuma atbilstību.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pielikumu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pielikums. Latvijas Natura 2000 - Eiropas nozīmes aizsargājamo dabas teritoriju saraksts". </w:t>
            </w:r>
            <w:r w:rsidR="00000000" w:rsidRPr="00000000" w:rsidDel="00000000">
              <w:rPr>
                <w:i w:val="1"/>
                <w:rtl w:val="0"/>
              </w:rPr>
              <w:t xml:space="preserve">(pielikums pievienots sadaļā "Papildu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papildināt likuma "Par īpaši aizsargājamām dabas teritorijām" pielikumu “Latvijas Natura 2000 — Eiropas nozīmes aizsargājamo dabas teritoriju saraksts” ar administratīvo teritoriju nosaukumiem, tādējādi būtu vieglāk un ātrāk atlasīt teritorijas, kas ir attiecināmas uz katru pašvaldību.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Pielikumā ir iekļautas īpaši aizsargājamās dabas teritorijas, kuru izveides normatīvajā aktā ir norādītas administratīvās teritorijas (piemēram, Ministru kabineta 2023. gada 21. novembra noteikumi "Noteikumi par dabas liegumiem"). Administratīvo teritoriju nosaukumu iekļaušana Pielikuma tabulā to sarežģītu.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pielikumu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pielikums. Latvijas Natura 2000 - Eiropas nozīmes aizsargājamo dabas teritoriju saraksts". </w:t>
            </w:r>
            <w:r w:rsidR="00000000" w:rsidRPr="00000000" w:rsidDel="00000000">
              <w:rPr>
                <w:i w:val="1"/>
                <w:rtl w:val="0"/>
              </w:rPr>
              <w:t xml:space="preserve">(pielikums pievienots sadaļā "Papildu dokumenti", datne: Pielikums_24-TA-415_12032025.xlsx)</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pielikumu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pielikums. Latvijas Natura 2000 - Eiropas nozīmes aizsargājamo dabas teritoriju saraksts". </w:t>
            </w:r>
            <w:r w:rsidR="00000000" w:rsidRPr="00000000" w:rsidDel="00000000">
              <w:rPr>
                <w:i w:val="1"/>
                <w:rtl w:val="0"/>
              </w:rPr>
              <w:t xml:space="preserve">(pielikums pievienots sadaļā "Papildu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norāda, ka likuma pielikumā "Latvijas Natura 2000 — Eiropas nozīmes aizsargājamo dabas teritoriju saraksts" norādītajos teritoriju izveidošanas mērķos nav pārstāvētas vai ir ne vairāk kā divas no tādām sugu grupām kā vaskulārie augi, sūnas un ķērpji. Aicinām papildināt teritoriju izveidošanas mērķus ar īpaši aizsargājamo vaskulāro augu, sūnu un ķērpju sugām, jo publisko dabas datu bāzē “Ozols” pieejamā informācija norāda uz plašu to sastopamību īpaši aizsargājamās dabas aizsardzības teritorijās.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Pielikumā ir uzskaitītas Biotopu direktīvas II pielikuma sugas, kuru aizsardzībai katra Natura 2000 teritorija ir izveidota. Savukārt dabas datu informācijas sistēma “Ozols” satur datus gan par visām Biotopu direktīvas II pielikuma sugām (arī tām, kas ir sastopamas, bet nav izveidošanas mērķis), gan Latvijas īpaši aizsargājamām sugām.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pielikumu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pielikums. Latvijas Natura 2000 - Eiropas nozīmes aizsargājamo dabas teritoriju saraksts". </w:t>
            </w:r>
            <w:r w:rsidR="00000000" w:rsidRPr="00000000" w:rsidDel="00000000">
              <w:rPr>
                <w:i w:val="1"/>
                <w:rtl w:val="0"/>
              </w:rPr>
              <w:t xml:space="preserve">(pielikums pievienots sadaļā "Papildu dokumenti", datne: Pielikums_24-TA-415_12032025.xlsx)</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jaunu 11.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nozīmes aizsargājamās dabas teritorijās (Natura 2000) valsts un pašvaldību īpašumā esošā zemē aizliegts bojāt vai iznīcināt Eiropa Savienības nozīmes biotopus, kas reģistrēti dabas datu pārvaldības sistēmā, izņemot, ja tas nepieciešams, lai nodrošinātu sabiedrības veselības aizsardzības, drošības, nacionālās vai citas sevišķi svarīgas, arī sociāla vai ekonomiska rakstura, intereses vai videi primāri svarīgas labvēlīgas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vārdu "nacionālās", jo minētais vārds ir lieks (aptveras arī ar citām jau pieminētajām, tostarp drošības interesēm).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jaunu 11.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nozīmes aizsargājamās dabas teritorijās (Natura 2000) valsts un pašvaldību īpašumā esošā zemē aizliegts bojāt vai iznīcināt (tajā skaitā uzart vai kultivēt, ieaudzēt mežu, veikt mežsaimniecisko darbību) Eiropas Savienības nozīmes biotopus, kas reģistrēti dabas datu pārvaldības sistēmā, izņemot šā panta sestajā daļā noteiktajos gadījumos, kā arī, ja tas nav pretrunā Eiropas nozīmes aizsargājamās dabas teritorijas (Natura 2000) izveidošanas un aizsardzības 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Precizējams likumprojekta 7. pantā paredzētais kompetences administratīvā pārkāpuma procesā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kā izmaiņas šajā pantā ir salīdzinoši apjomīgas, aicinām apsvērt iespēju grozāmā likuma 46. pantu izteikt jaunā redakcijā. Vienlaikus tas radītu iespēju pantā esošo regulējumu izkārtot loģiskā secībā (piemēram, ievērojot grozāmā likuma 45. panta daļu secību) un redakcionāli pilnveidot (piem., panta nosaukumam vajadzētu būt "Kompetence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Pantā iekļautais regulējums ir sarežģīts un grūti uztverams. Pamatā nav nepieciešamas iekšējās atsauces, ja tās norāda uz tiem pašiem pārkāpumiem, kas attiecas uz procesu līdz administratīvā pārkāpuma lietas izskatīšanai. Piemēram, ja daļas pirmajā teikumā ir norādīts, ka administratīvā pārkāpuma procesu par šā likuma 45. panta otrajā vai trešajā daļā minētajiem pārkāpumiem līdz administratīvā pārkāpuma lietas izskatīšanai veic Valsts policija, tad šīs daļas nākamajā teikumā nav nepieciešams vēlreiz ietvert atsauci uz šā likuma 45. panta otro vai trešo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norobežotu kompetenci, ja pārkāpumi konstatēti Saeimas vai Ministru kabineta izveidotajās aizsargājamās teritorijās un ja pārkāpumi konstatēti pašvaldību izveidotās aizsargājamās teritorijās, ieteicams šo regulējumu izdalīt atsevišķos 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 ir jāievēro dalītās kompetences administratīvā pārkāpuma procesā formulējuma shēma, kas ir izveidota, piemēram, Izglītības likuma 68. panta otrajā daļā vai Administratīvo sodu likuma par pārkāpumiem pārvaldes, sabiedriskās kārtības un valsts valodas lietošanas jomā 29. panta otrajā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Likumprojektā paredzētajā grozāmā likuma 46. panta sestajā daļā ir paredzēts, ka administratīvā pārkāpuma procesu par šā likuma 45. pantā minētajiem pārkāpumiem, ja tos konstatējušas Valsts vides dienesta vai Valsts meža dienesta amatpersonas, līdz administratīvā pārkāpuma lietas izskatīšanai veic Valsts vides dienests vai Valsts meža dienests. Tomēr, lai arī regulējums attiecas uz visiem šā likuma 45. pantā minētajiem pārkāpumiem, likumprojektā nav paredzēts, kas izskatīs lietu par grozāmā likuma 45. panta pirmajā daļā minēto pārkāpumu.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Likumā joprojām ir saglabāta dalītā kompetence administratīvā pārkāpuma procesā. Lūdzam likumprojekta anotācijā katrā gadījumā iekļaut pamatojumu, kāpēc tas ir nepieciešams (piem., kāpēc visu administratīvā pārkāpuma procesu nevar veikt amatpersona, kura ir uzsākusi administratīvā pārkāpuma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izvērtēs Likuma 45. un 46. pantā noteiktā administratīvās atbildības regulējuma 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 pārkāpuma procesu par šā likuma 45. panta otrajā un trešajā daļā minētajiem pārkāpumiem Saeimas vai Ministru kabineta izveidotās aizsargājamās teritorijās veic Dabas aizsardzības pārvalde, bet pašvaldību izveidotās aizsargājamās teritorijās - pašvaldības policija, pašvaldības vides inspekcija vai pašvaldības vides kontroles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pārkāpumi konstatēti pašvaldību izveidotās aizsargājamās teritorijās, iesakām papildināt to institūciju un amatpersonu sarakstu, kam ir tiesības izskatīt administratīvā pārkāpuma lietu, ar pašvaldību administratīvo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četros punktos pie ieteiktās redakcijas rakstīt: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policija, pašvaldības vides inspekcija, pašvaldības vides kontroles amatpersona vai pašvaldības administratīvā komisija,  ja pārkāpumi konstatēti pašvaldību izveidotās aizsargājamās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 pārkāpuma procesu par šā likuma 45. panta otrajā un trešajā daļā minētajiem pārkāpumiem Saeimas vai Ministru kabineta izveidotās aizsargājamās teritorijās veic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policija, pašvaldības vides inspekcija vai pašvaldības vides kontroles amatpersona, ja pārkāpumi konstatēti pašvaldību izveidotās aizsargājamās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trešās daļas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policija, </w:t>
            </w:r>
            <w:r w:rsidR="00000000" w:rsidRPr="00000000" w:rsidDel="00000000">
              <w:rPr>
                <w:b w:val="1"/>
                <w:rtl w:val="0"/>
              </w:rPr>
              <w:t xml:space="preserve">pašvaldības administratīvā komisija vai apakškomisija</w:t>
            </w:r>
            <w:r w:rsidR="00000000" w:rsidRPr="00000000" w:rsidDel="00000000">
              <w:rPr>
                <w:rtl w:val="0"/>
              </w:rPr>
              <w:t xml:space="preserve">, pašvaldības vides inspekcija vai pašvaldības vides kontroles amatpersona, ja pārkāpumi konstatēti pašvaldību izveidotās aizsargājamās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policija, pašvaldības administratīvā komisija vai apakškomisija vai pašvaldības vides kontroles amatpersona, ja pārkāpumi konstatēti pašvaldību izveidotās aizsargājamās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policija, pašvaldības vides inspekcija vai pašvaldības vides kontroles amatpersona, ja pārkāpumi konstatēti pašvaldību izveidotās aizsargājamās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pārkāpumi konstatēti pašvaldību izveidotās aizsargājamās teritorijās, iesakām papildināt to institūciju un amatpersonu sarakstu, kam ir tiesības izskatīt administratīvā pārkāpuma lietu, ar pašvaldību administratīvo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četros punktos pie ieteiktās redakcijas rakstīt: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policija, pašvaldības vides inspekcija, pašvaldības vides kontroles amatpersona vai pašvaldības administratīvā komisija,  ja pārkāpumi konstatēti pašvaldību izveidotās aizsargājamās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policija, pašvaldības administratīvā komisija vai apakškomisija vai pašvaldības vides kontroles amatpersona, ja pārkāpumi konstatēti pašvaldību izveidotās aizsargājamās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piektās daļas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policija, pašvaldības vides inspekcija vai pašvaldības vides kontroles amatpersona, ja pārkāpumi konstatēti pašvaldību izveidotās aizsargājamās teritorijās, administratīvā pārkāpuma lietu par šā likuma 45. panta ceturtajā daļā minētajiem pārkāpumiem izskata Valsts augu aizsardzības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pārkāpumi konstatēti pašvaldību izveidotās aizsargājamās teritorijās, iesakām papildināt to institūciju un amatpersonu sarakstu, kam ir tiesības izskatīt administratīvā pārkāpuma lietu, ar pašvaldību administratīvo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četros punktos pie ieteiktās redakcijas rakstīt: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policija, pašvaldības vides inspekcija, pašvaldības vides kontroles amatpersona vai pašvaldības administratīvā komisija,  ja pārkāpumi konstatēti pašvaldību izveidotās aizsargājamās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piektās daļas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policija, pašvaldības administratīvā komisija vai apakškomisija vai pašvaldības vides kontroles amatpersona, ja pārkāpumi konstatēti pašvaldību izveidotās aizsargājamās teritorijās, administratīvā pārkāpuma lietu par šā likuma 45. panta ceturtajā daļā minētajiem pārkāpumiem izskata Valsts augu aizsardzības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sestās daļas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policija, pašvaldības vides inspekcija vai pašvaldības vides kontroles amatpersona, ja pārkāpumi konstatēti pašvaldību izveidotās aizsargājamās teritorijās, administratīvā pārkāpuma lietu par šā likuma 45. panta ceturtajā daļā minētajiem pārkāpumiem izskata Valsts augu aizsardzības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pārkāpumi konstatēti pašvaldību izveidotās aizsargājamās teritorijās, iesakām papildināt to institūciju un amatpersonu sarakstu, kam ir tiesības izskatīt administratīvā pārkāpuma lietu, ar pašvaldību administratīvo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četros punktos pie ieteiktās redakcijas rakstīt: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policija, pašvaldības vides inspekcija, pašvaldības vides kontroles amatpersona vai pašvaldības administratīvā komisija,  ja pārkāpumi konstatēti pašvaldību izveidotās aizsargājamās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sestās daļas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policija, pašvaldības administratīvā komisija vai apakškomisija vai pašvaldības vides kontroles amatpersona, ja pārkāpumi konstatēti pašvaldību izveidotās aizsargājamās teritorijās, administratīvā pārkāpuma lietu par šā likuma 45. panta ceturtajā daļā minētajiem pārkāpumiem izskata Valsts augu aizsardzības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40. pantu ar ceturto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pārkāpjot aizsargājamā koka aizsardzību un izmantošanu regulējošos normatīvos aktus, aizsargājamais koks ir iznīcināts, aizsargājamam kokam statusa maiņa (iznīcināts) tiek reģistrēta aizsargājamo teritoriju valsts reģistrā. Ieraksts par aizsargājamā koka statusa maiņu (iznīcināts) aizsargājamo teritoriju valsts reģistrā saglabājams 20 gadus no pārkāpuma konstatēšanas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 15 metru rādiusā, mērot no iznīcinātā aizsargājamā koka celma, aizliegts veikt  būvniecību, izņemot esošu ēku un būvju atjaunošanu un pārbūvi un inženierbūvju būvniecību ar Dabas aizsardzības pārvaldes rakstisku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šāds ierobežojums var radīt riskus degradētas vides un teritorijas kontekstā, kā rezultātā nekustamā īpašuma uzturēšana un atbilstoša apsaimniekošana ievērojami varētu tikt apgrūtināta vai vispār netiktu veicināta. Aizsargājamā koka iznīcināšanas gadījumā teritorijas vērtība, no aizsargājamās teritorijas noteikšanas viedokļa (mērķa), jebkurā gadījumā būs zudusi, taču visdrīzāk būtiski tiks paaugstināti riski teritorijas atbilstošai apsaimniekošanai un uzturēšanai turpmāk. Līdz ar to pašvaldības ieskatā, nosakot likumā šādu ierobežojumu, būtiski ir norādīt iespējamos riskus, to izvērtējumu un iespējamos risinājumus to mazināšanai vai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atkārtoti vēršam uzmanību uz gadījumiem, kad aizsargājamā koka aizsardzības zona atrodas vairāku īpašumu robežās, attiecīgi izvērtējams kā tas ietekmēs blakus esošos īpašniekus, kuri nav atbildīgi par regulējošo normatīvo aktu pārkāpumu konkrētajā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citus iespējamos pasākumus preventīvai aizsargājamo koku ļaunprātīgas iznīcināšanas novēršanai, kā arī 20 gadu perioda aizsardzības statusa saglabāšanas samērīgumu. Piemēram, kā obligātus pasākumus dabiskās vides atjaunošanā un veicināšanā, kas būtiski mazinātu iepriekš minētos riskus no turpmākās teritorijas apsaimniekošanas un uzturēšanas viedokļa.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izvērtēta nepieciešamība Likumprojektā iekļaut regulējumu. Precizēta redakcija, kas pieļauj pilsētās un apdzīvotās vietās veikt esošo ēku atjaunošanu un pārbūvi, kā arī iznženierkomunikāciju izbūvi. Līdz ar to iznīcinātajam kokam blakus esošajos īpašumos (ja tos skat 15 metru josla) netiek noteiktas stingrākas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40. pantu ar ceturto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pārkāpjot aizsargājamā koka aizsardzību un izmantošanu regulējošos normatīvos aktus, aizsargājamais koks ir iznīcināts, aizsargājamam kokam statusa maiņa (iznīcināts) tiek reģistrēta aizsargājamo teritoriju valsts reģistrā. Ieraksts par aizsargājamā koka statusa maiņu (iznīcināts) aizsargājamo teritoriju valsts reģistrā saglabājams 20 gadus no pārkāpuma konstatēšanas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 15 metru rādiusā, mērot no iznīcinātā aizsargājamā koka celma, aizliegts veikt  būvniecību, izņemot pilsētā vai apdzīvotā vietā inženiertīklu būvniecību un ēku atjaunošanu un pārbūvi, kā arī lai nodrošinātu sabiedrības veselības aizsardzības, drošības, nacionālās vai citas sevišķi svarīgas, arī sociāla vai ekonomiska rakstura, intereses vai videi primāri svarīgas labvēlīgas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Neatkārtojot Tieslietu ministrijas iepriekšējā atzinumā ietvertos apsvērumus par kompetences regulējumu administratīvā pārkāpuma procesā, papildus aicinām projekta anotācijā ietvert skaidrojumu, kāpēc šajā gadījumā nepieciešams paredzēt kompetenci koleģiālai iestādei – pašvaldības administratīvajai komisijai vai apakškomisijai – un kādos gadījumos procesu varētu veikt administratīvā komisija (apakškomisija). Šobrīd projektā jau ir paredzēta kompetence pašvaldības policijai, pašvaldības vides inspekcijai vai pašvaldības vides kontroles amatpersonai.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šobrīd esošais kompetences regulējuma skaidrojums nav saskaņots ar projekta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Kompetence pašvaldības administratīvajai komisijai vai apakškomisijai noteikta pamatojoties uz to, ka pašvaldību administratīvās komisijas un to apakškomisijas jau šobrīd praksē veic līdzīgu lietu izskatīšanu, balstoties uz Meža likuma 52. panta trešās daļas 2. punktā ietverto deleģējumu. Šī norma piešķir tiesības izskatīt lietas par koku patvaļīgu ciršanu vai bojāšanu ārpus meža teritorijas, līdz ar to šīm institūcijām ir uzkrāta atbilstoša pieredze un nepieciešamā kompetence.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policija, pašvaldības administratīvā komisija vai apakškomisija, pašvaldības vides inspekcija vai pašvaldības vides kontroles amatpersona, ja pārkāpumi konstatēti pašvaldību izveidotās aizsargājamās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trešās daļas otro teikumu (pārkāpumu konstatējušas Valsts policijas amatpersonas)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administratīvā komisija vai apakškomisija, ja pārkāpumi konstatēti pašvaldību izveidotās aizsargājamās teritorijās."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atbilstoši saskaņošanas procesā panāktajai vienošanās.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policija, pašvaldības administratīvā komisija vai apakškomisija vai pašvaldības vides kontroles amatpersona, ja pārkāpumi konstatēti pašvaldību izveidotās aizsargājamās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piektās daļas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policija, pašvaldības administratīvā komisija vai apakškomisija, pašvaldības vides inspekcija vai pašvaldības vides kontroles amatpersona, ja pārkāpumi konstatēti pašvaldību izveidotās aizsargājamās teritorijās, administratīvā pārkāpuma lietu par šā likuma 45. panta ceturtajā daļā minētajiem pārkāpumiem izskata Valsts augu aizsardzības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piektās daļas otro teikumu (pārkāpumu konstatējušas pašvaldības policijas, pašvaldības vides inspekcijas vai pašvaldības vides kontroles amatpersonas)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administratīvā komisija vai apakškomisija, ja pārkāpumi konstatēti pašvaldību izveidotās aizsargājamās teritorijās, administratīvā pārkāpuma lietu par šā likuma 45. panta ceturtajā daļā minētajiem pārkāpumiem izskata Valsts augu aizsardzības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atbilstoši saskaņošanas procesā panāktajai vienošanās.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piektās daļas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policija, pašvaldības administratīvā komisija vai apakškomisija vai pašvaldības vides kontroles amatpersona, ja pārkāpumi konstatēti pašvaldību izveidotās aizsargājamās teritorijās, administratīvā pārkāpuma lietu par šā likuma 45. panta ceturtajā daļā minētajiem pārkāpumiem izskata Valsts augu aizsardzības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sestās daļas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policija, pašvaldības administratīvā komisija vai apakškomisija, pašvaldības vides inspekcija vai pašvaldības vides kontroles amatpersona, ja pārkāpumi konstatēti pašvaldību izveidotās aizsargājamās teritorijās, administratīvā pārkāpuma lietu par šā likuma 45. panta ceturtajā daļā minētajiem pārkāpumiem izskata Valsts augu aizsardzības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sestās daļas otro teikumu (pārkāpumu konstatējušas Valsts vides dienesta vai Valsts meža dienesta amatpersonas)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administratīvā komisija vai apakškomisija, ja pārkāpumi konstatēti pašvaldību izveidotās aizsargājamās teritorijās, administratīvā pārkāpuma lietu par šā likuma 45. panta ceturtajā daļā minētajiem pārkāpumiem izskata Valsts augu aizsardzības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atbilstoši saskaņošanas procesā panāktajai vienošanās.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sestās daļas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policija, pašvaldības administratīvā komisija vai apakškomisija vai pašvaldības vides kontroles amatpersona, ja pārkāpumi konstatēti pašvaldību izveidotās aizsargājamās teritorijās, administratīvā pārkāpuma lietu par šā likuma 45. panta ceturtajā daļā minētajiem pārkāpumiem izskata Valsts augu aizsardzības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sadaļā kā vienīgais likumprojekta izstrādes mērķis ir norādīts  Eiropas Komisijas (turpmāk - EK) pret Latviju ierosināto pārkāpuma procedūru lietā Nr. 2019/2304 un pārkāpuma procedūru lietā Nr. 2020/2209 par Padomes 1992. gada 21. maija Direktīvas 92/43/EEK par dabisko dzīvotņu, savvaļas faunas un floras aizsardzību (turpmāk - Biotopu direktīva) saistību neizpilde. Izvērtējot likumprojekta saturu un anotācijā ietvertos problēmu un risinājumus aprakstus, secināms, ka likumprojekts paredz veikt likumā arī grozījumus, kuri nav saistīti ar Biotopu direktīvas saistību izpildes nodrošināšanu. Ņemot vērā minēto, lūgums attiecīgi precizēt likumprojekta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likumprojketa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likumprojekta anotācijas 1.2. sadaļā ietverto informāciju ar likumprojektā ietverto likumprojekta spēkā stāšanās kārtību. Vienlaikus vēršam uzmanību, ka pantu par likuma spēkā stāšanos likumā iekļauj tikai tādos gadījumos, ja likumam tiek noteikts īpašs spēkā stāšanās laiks (saskaņā ar Latvijas Republikas Satversmes 69. pantā noteikto likums stājas spēkā četrpadsmit dienas pēc izsludināšanas, ja likumā nav noteikts cits termiņš), tādēļ nepieciešamības gadījumā lūdzam sniegt attiecīgu skaidrojumu par likuma spēkā stāšanās laiku minētajā likumprojekta anotācijas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netiek noteikts spēkā stāšanās laiks.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10. punktā minēto, ka netiek saglabāti ierobežojumi, kas saistīti ar labvēlīgu augšanas apstākļu nodrošināšanu esošam kokam un to, ka aizsargājamais koks ir iznīcināts, lūdzam skaidrot nepieciešamību projekta 8. pantā paredzētajai Dabas aizsardzības pārvaldes atļaujai būvniecības gadījumā. Norādām, ka kritēriju, kas pamatoti uz reālu un konkrētu vides aizsardzības interesi, neesība atļaujas izsniegšanai varētu būt pretrunā ar patvaļas aizlieguma principu. Attiecīgi lūdzam projekta anotācijā skaidrot, kādos gadījumos (saskaņā ar kādiem kritērijiem) atļauju izsniedz, vai izslēgt prasību pēc minētās atļaujas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tiesiskās noteiktības nolūkā projektā noregulēt, kā paredzēts projekta 8. pantā paredzētajā gadījumā tiks mērīta attiecīgā teritorija gadījumā, ja iznīcināts un attiecīgi dabā nepastāv arī aizsargājamā koka celms.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nosakot būvniecības aizliegumu iznīcinātā aizsargājamā koka teritorijā un paredzot izņēmumus (pilsētās un apdzīvotās vietās esošu ēku atjaunošanu un pārbūvi, kā arī inženiertīklu būvniecību) bez Dabas aizsardzības pārvaldes rakstiskas atļaujas, neparedzot jaunus vai stingrākus ierobežojumus zemes īpašniekam, attiecīgi precizēta Anotācija. Tāpat papildināta Anotācija, norādot, kā konstatēt iznīcinātā aizsargājamā koka atrašanās vietu, ja tas ir iznīcināts ar visu celmu.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precizēt informāciju par Ministru kabineta 2024. gada 22. oktobra noteikumiem Nr. 655 “Latvijas Nacionālā botāniskā dārza nolikums”, kas ir jau stājušies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Likuma 34. panta trešās daļas izslēgšanas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tiek izslēgta 34. panta trešā daļa, jāņem vērā, ka tas var izraisīt tiesiskā regulējuma pārejas problēmas, it īpaši attiecībā uz jau ierakstītajiem apgrūtinājumiem. Attiecīgā likuma normas izslēgšana var radīt bažas par dabas pieminekļu un aizsargjoslu aizsardzību, jo šie apgrūtinājumi ir būtiski, lai nodrošinātu vēsturisko un dabas resursu saglabāšanu. Lūdzam arī skaidrot, kā tiks risināta dabas pieminekļu un aizsargjoslu aizsardzība pēc likuma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par likumprojektā paredzēto grozījumu - likuma 34.panta trešās daļas svītrošanu (par aprobežojumu ierakstīšanu zemesgrāmatā) skaidrots ar to, ka Elektroniskā zemesgrāmata vairs neuztur un neieraksta tos apgrūtinājumus, kas noteikti uz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kā zemes īpašnieks tiks informēts par viņa zemes īpašumam noteiktu aprobežojumu, gadījumā, kad tiek izveidota jauna (vai notiek izmaiņas esošajā) aizsargājamā teritorija vai tās funkcionālā zona, vai Eiropas nozīmes aizsargājamo dabas teritorija (Natura 2000), kas skar viņa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skaidrojumu par direktīvas Nr. 92/43/EEK prasību pārņemšanu likumprojekta 8. pantā, jo likumprojektā nav attiecīgas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11. pants paredz izteikt Likuma Pielikumu jaunā redakcijā, tajā iekļaujot no jauna izveidotās Natura 2000 teritorijas.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detalizētāk aizpildīt likumprojekta anotācijas 7. sadaļu, norādot, kā tiek ietekmēta Dabas aizsardzības pārvaldes kompetence un nepieciešamības gadījumā skaidrot, vai ar likumprojektu netiek ietekmētas arī citu institūciju funkcijas un uzdevumi, ievērojot, ka likumprojekts attiecināms arī uz atbildīgajām iestādēm (sk. 4.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24-TA-415</w:t>
    </w:r>
    <w:r>
      <w:br/>
    </w:r>
    <w:r w:rsidR="00000000" w:rsidRPr="00000000" w:rsidDel="00000000">
      <w:rPr>
        <w:rtl w:val="0"/>
      </w:rPr>
      <w:t xml:space="preserve">22.07.2025. 11.07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24-TA-415</w:t>
    </w:r>
    <w:r>
      <w:br/>
    </w:r>
    <w:r w:rsidR="00000000" w:rsidRPr="00000000" w:rsidDel="00000000">
      <w:rPr>
        <w:rtl w:val="0"/>
      </w:rPr>
      <w:t xml:space="preserve">22.07.2025. 11.07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Izziņa_24-TA-415.docx</dc:title>
</cp:coreProperties>
</file>

<file path=docProps/custom.xml><?xml version="1.0" encoding="utf-8"?>
<Properties xmlns="http://schemas.openxmlformats.org/officeDocument/2006/custom-properties" xmlns:vt="http://schemas.openxmlformats.org/officeDocument/2006/docPropsVTypes"/>
</file>