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tālāku MK noteikumu projekta virzību, bez saskaņošanas sanāksmes organizēšanas ar visām institūcijām, kuras iepriekš ir iesniegušas atzinumus ar priekšlikumiem vai iebildumiem. Šobrīd saskaņošanā nodotais MK noteikumu projekts ir ticis konceptuāli precizēts pēc saskaņošanas sanāksmēm, kurās  nav tikušas pārstāvētas drošības un aizsardzības industrijas, līdz ar to nav iespējams šobrīd izvērtēt precizēto normu pamatojumu. Precizētās normas ir būtiski mainītas salīdzinot ar iepriekšējā saskaņošanas procesā nodoto un saskaņoto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organizēs starpinstitucionālo sanāksmi š.g. 23.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nesaskan ar panākto vienošanos 9.jūlija saskaņošanas sanāksmē starp EM, FM un CFLA un līdz ar to ņemot vērā noteikumu projekta konceptuālās jaunās izmaiņas, kas paredz pilnīgi jauna apjoma iesaisti no Aizsardzības ministrijas puses, lūdzam pirms nākamās saskaņošanas reizes organizēt kopīgu tikšanos ar iesaistītajām institūcijām, tai skaitā Aizsardzības ministriju, lai vienotos par skaidru projektu vērtēšanas kārtības atbildības sadalījumu, tai skaitā, izrunājot minētā procesa interešu konflikta uzraudzības riskus. Par minēto tai skaitā ir pausta arī iniciatīva no Ekonomikas ministrijas puses  š.g.19.jūlija tiešsaistes tikšanās laikā starp EM, FM un CFLA. Papildus vēršam uzmanību, ka šobrīd ir pretrunīga informācija par projektu vērtēšanas procesa plānoto kārtību noteikumu projektā un noteikumu projekta anotācijā, kas liedz saskaņot skaidru vērtēšanas konceptu.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organizēs starpinstitucionālo sanāksmi š.g. 23.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nav nekādu nosacījumu attiecībā uz mazas viedējas kapitalizācijas sabiedrībām un vidējas kapitalizācijas sabiedrībām, šim statusam nav noteikumos piešķirta nekāda nozīme. Ņemot vērā, ka 30.05.2024. sanāksmē tika skaidrots, ka mērķis ir atbalstīt arī lielos komersantus, aicinām vienkāršības un skaidrības nolūkos aizstāt šos divus terminus ar Regulas Nr.651/2014 2.panta 24.punkta definīciju, tādējādi sniedzot iespēju atbalstīt arī lielos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atteikties no terminiem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finansējuma saņēmējus, lūdzam noteikumu projektā un/vai anotācijā paredzēt, ka attiecībā uz šo noteikumu projekta 2.1. apakšpunktā norādīto uzņēmuma statusu tiek ieviests deklarācijas princips, kā to paredz Valdības rīcības plāna 035 uzdevums, pieejams elektroniski šeit: https://tapportals.mk.gov.lv/structuralizer/data/nodes/e256f693-1185-47b3-b7c1-65b69a9a4511/download.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komentārs, Maija Upeniece).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 papildinot terminu  sadaļas 2.1. apakšpunktu ar lielā saimnieciskās darbības veicēja statusu, vienlaikus anotācijā iekļaujot skaidrojumus, ka komersanti, kuri atbilst mazas vidējas kapitalizācijas sabiedrības vai vidējās kapitalizācijas sabiedrības statusam, ievēro pašdeklarācijas principu. Kā arī skaidrojam, ka mazās vidējās kapitalizācijas sabiedrības termins atšifrēts zem finansējuma saņēmēja. Vienlaikus atteikties no kapitalizācijas sabiedrībām nebūs iespējams, jo noteikumu projektā tādas iekļautas saskaņā ar DP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kā arī lielā saimnieciskās darbības subjekta statusam saskaņā ar Komisijas regulas Nr. 651/2014 2.panta 24.punktu, ar nosacījumu, ja pētniecības un inovāciju aktivitāšu īstenošanai tiek piesaistīti sīkie (mikro), mazie un vidējie komersanti, ar kuru sadarbības iestāde noslēgusi līgumu par projekta īstenošanu (turpmāk –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projekts – projekta iesniedzēja iesniegts dokumentu kopums, kurā iekļauts aizpildīts projekta iesniegums (turpmāk - projekta iesniegums), norādot plānotā un pētniecības projekta nosaukumu, pētniecības projekta īsu aprakstu un īstenošanas laiku, un par kuru saņemts labvēlīgs sadarbības iestādes lēmums par projekta iesniedzēja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2.3.apakšpunktu, jo projekta definīcija ir noteikta Eiropas Savienības fondu 2021.—2027. gada plānošanas perioda vadības likuma 1.panta 8.punktā, un nav nepieciešams to dublēt šajā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mērķis neatbilst Kohēzijas Politikas programmā 2021.-2027.gadam (turpmāk- KPP) noteiktajam attiecībā uz atbalsta koncentrēšanu aizsardzības un drošības jomā. Ņemot vērā to, ka šobrīd tiek veikti grozījumi KPP, lūdzam EM iesūtīt priekšlikumu KPP 76.paragrāfa grozījumam, norādot, ka cita starpā atbalsts tiks nodrošināts jaunu un inovatīvu produktu izstrādei, t.sk. digitalizācijas un</w:t>
            </w:r>
            <w:r w:rsidR="00000000" w:rsidRPr="00000000" w:rsidDel="00000000">
              <w:rPr>
                <w:u w:val="single"/>
                <w:rtl w:val="0"/>
              </w:rPr>
              <w:t xml:space="preserve"> aizsardzības un 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pasākuma mērķa formulējumā iekļaut nosacījumu par projektu atbilstību RIS3 jomām, lai nodrošinātu atbilstību Kohēzijas Politikas programmas 75.paragrafā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Kohēzijas Politikas programmā 2021.-2027.gadam 76.paragrāfā. Grozījumu priekšlikumi tiks iesūtīti Finanšu ministrijai kopā ar pārējiem Ekonomikas ministrijas virzītajiem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"produkts" mārketinga teorijā aptver gan preces, gan pakalpojumus, tāpēc lietojot terminu "produkts", nav atsevišķi jāizdala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projekta 15.2-15.3.apakšpunktā noteiktos priekšnosacījumus atbalsta saņemšanai pasākuma ietvaros, MKN projekta 22.punktā ietvertos aspektus par priekšrokas došanu atbalstam noteiktiem projektiem, kā arī MKN projekta 67.punkta prasības par noteiktu eksporta un produktivitātes rezultātu sasniegšanu, un pienesumu RIS3 jomās, lūdzam EM izvērtēt iespējas šos aspektus ietvert arī pasākuma mērķa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15.2. un 15.3. apakšpunktā minēti nosacījumi projekta iesniedzējiem, lai varētu startēt atbalsta programmā, uzrādot līdzšinēju pozitīvu sniegumu produktivitātes, kā arī apgrozījuma rādītājiem un attiecināmi pret komersanta līdzšinējo sniegumu, savukārt 67. punktā norādītais eksporta un produktivitātes pieaugums noteikti, lai veicinātu komersantu eksportspēju vienlaikus rādītāju uzkrāšana par komersanta datiem RIS3 jomās nepieciešama Ekonomikas ministrijas monitoringa vajadzībās un iegūtā informācija palīdzēs veikt nepieciešamās izmaiņas atbalsta pasākumos, kas vērsti uz tautsaimniecības transformāciju. Papildus, skaidrojam, ka līdzšinēji izstrādātajās atbalsta programmās, saņemti norādījumi par pārāk plaša mērķa noteikšanu, attiecīgi labojumi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32 001 749 </w:t>
            </w:r>
            <w:r w:rsidR="00000000" w:rsidRPr="00000000" w:rsidDel="00000000">
              <w:rPr>
                <w:i w:val="1"/>
                <w:rtl w:val="0"/>
              </w:rPr>
              <w:t xml:space="preserve">euro </w:t>
            </w:r>
            <w:r w:rsidR="00000000" w:rsidRPr="00000000" w:rsidDel="00000000">
              <w:rPr>
                <w:rtl w:val="0"/>
              </w:rPr>
              <w:t xml:space="preserve">(tai skaitā elastības finansējuma apjoms 5 047 485 </w:t>
            </w:r>
            <w:r w:rsidR="00000000" w:rsidRPr="00000000" w:rsidDel="00000000">
              <w:rPr>
                <w:i w:val="1"/>
                <w:rtl w:val="0"/>
              </w:rPr>
              <w:t xml:space="preserve">euro</w:t>
            </w:r>
            <w:r w:rsidR="00000000" w:rsidRPr="00000000" w:rsidDel="00000000">
              <w:rPr>
                <w:rtl w:val="0"/>
              </w:rPr>
              <w:t xml:space="preserve">), tai skaitā ERAF finansējums 27 201 486 </w:t>
            </w:r>
            <w:r w:rsidR="00000000" w:rsidRPr="00000000" w:rsidDel="00000000">
              <w:rPr>
                <w:i w:val="1"/>
                <w:rtl w:val="0"/>
              </w:rPr>
              <w:t xml:space="preserve">euro </w:t>
            </w:r>
            <w:r w:rsidR="00000000" w:rsidRPr="00000000" w:rsidDel="00000000">
              <w:rPr>
                <w:rtl w:val="0"/>
              </w:rPr>
              <w:t xml:space="preserve">(tai skaitā elastības finansējuma apjoms 4 290 363 </w:t>
            </w:r>
            <w:r w:rsidR="00000000" w:rsidRPr="00000000" w:rsidDel="00000000">
              <w:rPr>
                <w:i w:val="1"/>
                <w:rtl w:val="0"/>
              </w:rPr>
              <w:t xml:space="preserve">euro</w:t>
            </w:r>
            <w:r w:rsidR="00000000" w:rsidRPr="00000000" w:rsidDel="00000000">
              <w:rPr>
                <w:rtl w:val="0"/>
              </w:rPr>
              <w:t xml:space="preserve">) un valsts budžeta līdzfinansējums 4 800 263 euro (tai skaitā elastības finansējuma apjoms 757 122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izvērtēt nepieciešamību pasākuma ietvaros pēc analoģijas ar 2014.-2020.gada plānošanas perioda kompetenču centru atbalsta programmu iezīmēt noteikta apjoma finansējumu katrai no RIS3 jomām, tādējādi nodrošinot, ka atbalsts  komersantiem būs pieejams visās RIS3 jomās bez riska, ka aktīvākie kādas RIS3 jomas komersanti izsmels visu pasākuma finansējumu, savukārt - pārējās jomas nesaņems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atbalsta sniegšanas modelis ir atšķirīgs ar 2014.-2020.gada plānošanas perioda kompetenču centru atbalsta programmu, līdz ar to finansējuma iezīmēšana katrai RIS3 jomai nav atbalstāma, jo tā radīs papildus birokrātisku slogu. Pasākuma mērķis ir duāla pielietojuma jaunu produktu un tehnoloģiju izstrāde, attiecīgi atbalstāmi ir projekti neatkarīgi no RIS3, kas citu starpā veicinās Latvijas drošības un aizsardzības spēju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32 001 749 </w:t>
            </w:r>
            <w:r w:rsidR="00000000" w:rsidRPr="00000000" w:rsidDel="00000000">
              <w:rPr>
                <w:i w:val="1"/>
                <w:rtl w:val="0"/>
              </w:rPr>
              <w:t xml:space="preserve">euro </w:t>
            </w:r>
            <w:r w:rsidR="00000000" w:rsidRPr="00000000" w:rsidDel="00000000">
              <w:rPr>
                <w:rtl w:val="0"/>
              </w:rPr>
              <w:t xml:space="preserve">(tai skaitā elastības finansējuma apjoms 5 047 485 </w:t>
            </w:r>
            <w:r w:rsidR="00000000" w:rsidRPr="00000000" w:rsidDel="00000000">
              <w:rPr>
                <w:i w:val="1"/>
                <w:rtl w:val="0"/>
              </w:rPr>
              <w:t xml:space="preserve">euro</w:t>
            </w:r>
            <w:r w:rsidR="00000000" w:rsidRPr="00000000" w:rsidDel="00000000">
              <w:rPr>
                <w:rtl w:val="0"/>
              </w:rPr>
              <w:t xml:space="preserve">), tai skaitā ERAF finansējums 27 201 486 </w:t>
            </w:r>
            <w:r w:rsidR="00000000" w:rsidRPr="00000000" w:rsidDel="00000000">
              <w:rPr>
                <w:i w:val="1"/>
                <w:rtl w:val="0"/>
              </w:rPr>
              <w:t xml:space="preserve">euro </w:t>
            </w:r>
            <w:r w:rsidR="00000000" w:rsidRPr="00000000" w:rsidDel="00000000">
              <w:rPr>
                <w:rtl w:val="0"/>
              </w:rPr>
              <w:t xml:space="preserve">(tai skaitā elastības finansējuma apjoms 4 290 363 </w:t>
            </w:r>
            <w:r w:rsidR="00000000" w:rsidRPr="00000000" w:rsidDel="00000000">
              <w:rPr>
                <w:i w:val="1"/>
                <w:rtl w:val="0"/>
              </w:rPr>
              <w:t xml:space="preserve">euro</w:t>
            </w:r>
            <w:r w:rsidR="00000000" w:rsidRPr="00000000" w:rsidDel="00000000">
              <w:rPr>
                <w:rtl w:val="0"/>
              </w:rPr>
              <w:t xml:space="preserve">) un valsts budžeta līdzfinansējums 4 800 263 euro (tai skaitā elastības finansējuma apjoms 757 122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32 501 748 </w:t>
            </w:r>
            <w:r w:rsidR="00000000" w:rsidRPr="00000000" w:rsidDel="00000000">
              <w:rPr>
                <w:i w:val="1"/>
                <w:rtl w:val="0"/>
              </w:rPr>
              <w:t xml:space="preserve">euro </w:t>
            </w:r>
            <w:r w:rsidR="00000000" w:rsidRPr="00000000" w:rsidDel="00000000">
              <w:rPr>
                <w:rtl w:val="0"/>
              </w:rPr>
              <w:t xml:space="preserve">(tai skaitā elastības finansējuma apjoms 5 126 348 </w:t>
            </w:r>
            <w:r w:rsidR="00000000" w:rsidRPr="00000000" w:rsidDel="00000000">
              <w:rPr>
                <w:i w:val="1"/>
                <w:rtl w:val="0"/>
              </w:rPr>
              <w:t xml:space="preserve">euro</w:t>
            </w:r>
            <w:r w:rsidR="00000000" w:rsidRPr="00000000" w:rsidDel="00000000">
              <w:rPr>
                <w:rtl w:val="0"/>
              </w:rPr>
              <w:t xml:space="preserve">), tai skaitā ERAF finansējums 27 626 486 </w:t>
            </w:r>
            <w:r w:rsidR="00000000" w:rsidRPr="00000000" w:rsidDel="00000000">
              <w:rPr>
                <w:i w:val="1"/>
                <w:rtl w:val="0"/>
              </w:rPr>
              <w:t xml:space="preserve">euro </w:t>
            </w:r>
            <w:r w:rsidR="00000000" w:rsidRPr="00000000" w:rsidDel="00000000">
              <w:rPr>
                <w:rtl w:val="0"/>
              </w:rPr>
              <w:t xml:space="preserve">(tai skaitā elastības finansējuma apjoms 4 357 396 </w:t>
            </w:r>
            <w:r w:rsidR="00000000" w:rsidRPr="00000000" w:rsidDel="00000000">
              <w:rPr>
                <w:i w:val="1"/>
                <w:rtl w:val="0"/>
              </w:rPr>
              <w:t xml:space="preserve">euro</w:t>
            </w:r>
            <w:r w:rsidR="00000000" w:rsidRPr="00000000" w:rsidDel="00000000">
              <w:rPr>
                <w:rtl w:val="0"/>
              </w:rPr>
              <w:t xml:space="preserve">) un valsts budžeta līdzfinansējums 4 875 262 </w:t>
            </w:r>
            <w:r w:rsidR="00000000" w:rsidRPr="00000000" w:rsidDel="00000000">
              <w:rPr>
                <w:i w:val="1"/>
                <w:rtl w:val="0"/>
              </w:rPr>
              <w:t xml:space="preserve">euro</w:t>
            </w:r>
            <w:r w:rsidR="00000000" w:rsidRPr="00000000" w:rsidDel="00000000">
              <w:rPr>
                <w:rtl w:val="0"/>
              </w:rPr>
              <w:t xml:space="preserve"> (tai skaitā elastības finansējuma apjoms 768 952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norādītā nacionālā finansējuma apjoma ES fondu daļai atbalsta likme sanāk 85,0000006153515%, t.i. virs 85%. Lai likme netiktu pārsniegta, valsts budžeta finansējumam un attiecīgi arī kopējam finansējumam jābūt pa 1 EUR lielākam.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32 001 749 </w:t>
            </w:r>
            <w:r w:rsidR="00000000" w:rsidRPr="00000000" w:rsidDel="00000000">
              <w:rPr>
                <w:i w:val="1"/>
                <w:rtl w:val="0"/>
              </w:rPr>
              <w:t xml:space="preserve">euro </w:t>
            </w:r>
            <w:r w:rsidR="00000000" w:rsidRPr="00000000" w:rsidDel="00000000">
              <w:rPr>
                <w:rtl w:val="0"/>
              </w:rPr>
              <w:t xml:space="preserve">(tai skaitā elastības finansējuma apjoms 5 047 485 </w:t>
            </w:r>
            <w:r w:rsidR="00000000" w:rsidRPr="00000000" w:rsidDel="00000000">
              <w:rPr>
                <w:i w:val="1"/>
                <w:rtl w:val="0"/>
              </w:rPr>
              <w:t xml:space="preserve">euro</w:t>
            </w:r>
            <w:r w:rsidR="00000000" w:rsidRPr="00000000" w:rsidDel="00000000">
              <w:rPr>
                <w:rtl w:val="0"/>
              </w:rPr>
              <w:t xml:space="preserve">), tai skaitā ERAF finansējums 27 201 486 </w:t>
            </w:r>
            <w:r w:rsidR="00000000" w:rsidRPr="00000000" w:rsidDel="00000000">
              <w:rPr>
                <w:i w:val="1"/>
                <w:rtl w:val="0"/>
              </w:rPr>
              <w:t xml:space="preserve">euro </w:t>
            </w:r>
            <w:r w:rsidR="00000000" w:rsidRPr="00000000" w:rsidDel="00000000">
              <w:rPr>
                <w:rtl w:val="0"/>
              </w:rPr>
              <w:t xml:space="preserve">(tai skaitā elastības finansējuma apjoms 4 290 363 </w:t>
            </w:r>
            <w:r w:rsidR="00000000" w:rsidRPr="00000000" w:rsidDel="00000000">
              <w:rPr>
                <w:i w:val="1"/>
                <w:rtl w:val="0"/>
              </w:rPr>
              <w:t xml:space="preserve">euro</w:t>
            </w:r>
            <w:r w:rsidR="00000000" w:rsidRPr="00000000" w:rsidDel="00000000">
              <w:rPr>
                <w:rtl w:val="0"/>
              </w:rPr>
              <w:t xml:space="preserve">) un valsts budžeta līdzfinansējums 4 800 263 euro (tai skaitā elastības finansējuma apjoms 757 122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rādītājs - ar grantiem atbalstīto uzņēmumu skaits, tai skaitā mikrouzņēmumi, mazie, vidējie un lielie uzņēmumi – 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rādītāja CRO 02 apjomu, ņemot vērā, ka izdalot kopējo 3.kārtas finansējumu ar maksimālo atbalsta summu vienam projektam, ar grantiem atbalstītu uzņēmumu skaits var būt virs 60. Lūgums pārskatīt un precizēt 1.2.1. specifiskā atbalsta mērķa "Pētniecības un inovāciju kapacitātes stiprināšana un progresīvu tehnoloģiju ieviešana uzņēmumiem"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Finanšu ministrijas iebildumu un skaidro, ka rādītājs - ar grantiem atbalstīto uzņēmumu skaits, tai skaitā mikrouzņēmumi, mazie, vidējie un lielie uzņēmumi, noteikts 40, ņemot vērā potenciālos riskus, kas saistīti ar rādītāja izpildi. Pētniecības projektu īstenošana un atbalsta saņemšana ir komplicēta, ņemot vērā nozares specifiku un projekta gatavību, kas var apgrūtināt pētniecības projektu atlasi un potenciāli apdraudēt rādītāja sasniegšanu, ja rādītājs tiks noteikts - 60. Ņemot vērā pieejamo finansējumu Ekonomikas ministrija apzinās, ka potenciālais atbalsta saņēmēju skaits varētu sasniegt 60, tomēr atbilstoši līdzīgu atbalsta programmu pieejamajiem datiem, secināms, ka pētniecības projekti daudzkārt netiek apstiprināti vai netiek pabeigti, attiecīgi noteikts zemāks atbalstu saņēmušo komersantu skaits, lai nodrošinātu, ka rādītājs tiek sasniegts.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rādītājs - ar grantiem atbalstīto uzņēmumu skaits, tai skaitā mikrouzņēmumi, mazie, vidējie un lielie uzņēmumi – 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rādītāja CRO 02 apjomu, ņemot vērā, ka izdalot kopējo 3.kārtas finansējumu ar maksimālo atbalsta summu vienam projektam, ar grantiem atbalstītu uzņēmumu skaits var būt virs 60. Lūgums pārskatīt un precizēt 1.2.1. SAM "Pētniecības un inovāciju kapacitātes stiprināšana un progresīvu tehnoloģiju ieviešana uzņēmumiem" pasi.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pieejamo finansējuma apmēru, paredz, ka pasākuma ietvaros ar grantu atbalstīto komersantu skaits varētu būt ne mazāk kā 40 komersanti, lai nodrošinātu veiksmīgu rādītāja sasniegšanu, vienlaikus nav noteikts ierobežojums, ka komersants projekta iesniegumu nevarētu iesniegt vairākās kārtās, tādejādi radot interpretācijas iespējas rādītāja unikālai vai neunikālai vērtībai.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līgums par projekta īstenošanu tiek slēgts starp sadarbības iestādi un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13.punktu, jo minētā norma izriet no Eiropas Savienības fondu 2021.—2027. gada plānošanas perioda vadības likuma 12.panta trešās daļas 13.punkta, kur noteikts, ka sadarbības iestāde, ņemot vērā projekta iesniedzēja juridisko formu un tiesisko statusu, slēdz ar finansējuma saņēmēju līgumu vai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projektu iesniegumu atlasei, projekta iesniedzējam un projekta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45. punkts paredz atbalsta intensitātes palielināšanu efektīvas sadarbības gadījumā, lūdzam noteikumu projekta II. nodaļā paredzēt prasības sadarbības partnerim vai dzēst noteikumu projekta 45.1. un 45.2. apakšpunktus, ja sadarbības projektu īstenošana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skaidro, ka ar efektīvu sadarbību saprotami projekti, kas tiek īstenoti sadarbībā ar sadarbībā ar citiem komersantiem vai pētniecības un zināšanu izplatīšanas organizācijas pārstāvjiem. Vienlaikus informācija, kas attiecināma uz efektīvas sadarbības uzraudzību nodrošināma finansējuma saņēmēja pusē, attiecīgi izmaksas attiecināmas par finansējuma saņēmēja aktivitātēm, neatkarīgi, vai tās būtu paša finansējuma saņēmēja, vai kopā ar komersantu vai pētniecības un zināšanu izplatīšanas organizācijām, attiecīgi kā saistības tiek izpildītas ir finansējuma saņēmēja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projektu iesniegumu atlasei, projekta iesniedzējam un projekta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īstenošanas veids ir atklāta projektu iesniegumu atlase. Projektu iesniegumu atlases rīko vairākās kārtās, jaunu atklātu projektu iesniegumu atlasi sludinot pēc tam, kad iepriekšējā projektu iesniegumu atlases kārtā finansējums sadalīts atlases kārtā noteiktajā apmērā, paredzot pirmajām trīs atlases kārtām kopējo finansējumu 16 000 000 </w:t>
            </w:r>
            <w:r w:rsidR="00000000" w:rsidRPr="00000000" w:rsidDel="00000000">
              <w:rPr>
                <w:i w:val="1"/>
                <w:rtl w:val="0"/>
              </w:rPr>
              <w:t xml:space="preserve">euro </w:t>
            </w:r>
            <w:r w:rsidR="00000000" w:rsidRPr="00000000" w:rsidDel="00000000">
              <w:rPr>
                <w:rtl w:val="0"/>
              </w:rPr>
              <w:t xml:space="preserve">un ceturtajai un piektajai atlases kārtām kopējo finansējumu 11 375 400 </w:t>
            </w:r>
            <w:r w:rsidR="00000000" w:rsidRPr="00000000" w:rsidDel="00000000">
              <w:rPr>
                <w:i w:val="1"/>
                <w:rtl w:val="0"/>
              </w:rPr>
              <w:t xml:space="preserve">euro</w:t>
            </w:r>
            <w:r w:rsidR="00000000" w:rsidRPr="00000000" w:rsidDel="00000000">
              <w:rPr>
                <w:rtl w:val="0"/>
              </w:rPr>
              <w:t xml:space="preserve">, savukārt noslēguma projektu iesniegumu atlases kārtu organizē par visu pasākuma ietvaros neizmantoto attiecināmo finansējumu, tai skaitā, elastības finansējumu, ja attiecināms. Projektu iesniegumu atlases kārtas grafiku sadarbības iestāde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nesadrumstalot pasākumu vairākas projektu iesniegumu atlases kārtas, paredzot, ka jauna projektu iesniegumu atlases kārta tiek organizēta, ja izsludinātās atlases kārtas ietvaros nav sadalīts viss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tiek saglabāts dalījums projektu iesniegumu atlases kārtās, lūdzam precīzi noteikt katrai kārtai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piedāvā atlašu daudzumu samazināt līdz 3 projektu iesniegumu atlasēm, vienlaikus saglabājot nosacījumu, ka laika grafiku sadarbības iestāde saskaņo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atklātas projektu iesniegumu atlases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projekta iesnieguma vērtēšana var tikt uzsākta uzreiz pēc tā saņemšanas, un lēmumi par projektu iesniegumu apstiprināšanu, apstiprināšanu ar nosacījumu vai noraidīšanu tiek pieņemti projektu iesniegumu iesniegšanas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sacensību par projekta iesnieguma apstiprināšanu un Eiropas Savienības fonda finansējuma piešķiršanu un atbalstu augstākas kvalitātes projektiem ar pietiekamu gatavības pakāpi, lūdzam svītrot noteikumu projekta 13.3. apakšpunktu. Vēršam uzmanību, ka šājā pasākumā būtu jāparedz, ka projektu iesniegumu vērtēšana tiek uzsākta pēc atlases nolikumā noteiktā projektu iesniegumu iesniegšanas beigu termiņa. Vienlaikus aicinām precizēt noteikumu projekta 13.2.apakšpunktu, paredzot, ka komersants projekta iesniegumu var iesniegt atlases nolikumā noteiktajā kārtībā un termiņā. Vēršam uzmanību, ka nekvalitatīvu un negatavu projektu iesniegšana, kas šāda veida atlasē ir pieredzēta, rada lielu administratīvo slogu, nekvalitatīvu un negatavu projektu iesniegumu vērtēšanas laikā nav iespējams novērtēt projekta vadības un īstenošanas kapacitāti, atbalstāmo darbību un attiecināmo izmaksu atbilstību un pamatotību. Atzīmējam, ka šai atlasei nav piemērojams Atveseļošanas fonda 5.1.1.2.i.investīcijas "Atbalsta instruments pētniecībai un internacionalizācijai" 4. kārtas princips, jo tajā tiek vērtēti projekti, kuriem veikta priekšatlase, tie ir apstiprināti Eiropai svarīgo kopīgo interešu projektos. Kā alternatīvu šobrīd paredzētajai kārtībai, aicinām izvērtēt iespēju, ka līdz noteikumu projekta 64.punktā noteiktajam termiņam tiek paredzēti vairāki projektu iesniegumu atlases uzsaukumi līdz piešķirts viss atlasē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tā produktivitātes apjoms trīs gadu laikā līdz projekta iesnieguma iesniegšanai Kohēzijas politikas fondu vadības informācijas sistēmā (turpmāk – vadības informācijas sistēma) pieaudzis par vismaz 10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šādu kritēriju projekta iesniedzējiem. Īpaši atbilstoši šobrīd MK noteikumu projektā esošajai produktivitātes definīcijai jāsaprot, ka algu pieaugums 3 gadu periodā līdz projekta iesniegšanai vismaz par 10% nevar būt kā viens no izslēgšanas kritērijiem atlases ietvaros atbalsta saņemšanai projektam.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arī strauji pieaugušos digitalizācijas tempus, kas būtiski var ietekmēt uzņēmuma darbību un ražīgumu, kas savukārt var neatspoguļoties tieši atalgojuma izmaksās.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skatīt priekšlikumu pie 2.2.punkta: DAIF Latvija rosina precizēt produktivitātes definējumu šo MK noteikumu ietvaros, ņemot vērā, ka (nomināls) nodarbināto algu pieaugums neliecina viennozīmīgi par uzņēmuma darbības produktivitātes (ražīguma) pieaugumu. Tāpat arī, ņemot vērā programmas mērķi - atbalsts jaunu produktu, pakalpojumu un tehnoloģiju izstrādei - ne vienmēr nozīme strauju atalgojuma pieaugumu komersanta darbiniekiem, jo investīcijām var būt dažādi atdeves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nodrošina Ministru kabineta 2023. gada 7. novembra sēdes protokollēmuma (prot.Nr. 56, 32. §.) 7.punktā dotā uzdevuma (23-UZ-585) izpildi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 Noteikumu projektā iekļauts nosacījums, ka projekta iesniedzēja mēneša vidējā bruto darba samaksa darbiniekiem, nav mazāka par mēneša vidējās bruto darba samaksas apmēru tautsaimniecībā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tā mēneša vidējā bruto darba samaksa darbiniekiem, nav mazāka par mēneša vidējās bruto darba samaksas apmēru tautsaimniecībā iepriekšējā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tā apgrozījuma apjoms vidēji pēdējo trīs gadu laikā līdz projekta iesnieguma iesniegšanai vadības informācijas sistēmā ir vismaz divas reizes lielāks kā plānotais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kāpēc noteikumu projekta 14.3.apakšpunkta normas prasība nav attiecināma uz jaunu komersantu, ja noteikumu projekta 15.punktā tieši jaunajam komersantam ir noteikts maksimālie pieļaujamais atbalsta apmērs 300 000 eur apmerā.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pasākuma ietvaros uz atbalstu pretendē komersants, kas atbilst jauna komersanta statusam, šo noteikumu izpratnē, un tam netiek piemērotas, šo noteikumu 14.3. apakšpunktā minētās prasības, tad maksimāli pieļaujamais publiskais finansējums ir 300 000 EUR, nevis MK noteikumu 9. punktā minētais maksimālais pieļaujamais finansējums 1 milj. EUR. Gadījumā, ja jauna komersanta statusam atbilstošam komersantam tiek piemērotas MK noteikumu 14.3. apakšpunktā minētās prasības, tad maksimāli pieļaujamais finansējums ir 1 milj.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tā apgrozījuma apjoms vidēji pēdējo trīs gadu laikā līdz projekta iesnieguma iesniegšanai vadības informācijas sistēmā ir vismaz divas reizes lielāks kā plānotais publiskais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tas neatbilst Eiropas Savienības fondu 2021.-2027. gada plānošanas perioda vadības likuma 22. pantā noteiktajiem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15.5. un 71.1.apakšpunktu, jo minētās normas ir iekļautas Eiropas Savienības fondu 2021.—2027. gada plānošanas perioda vadības likuma 22. pantā, un atbilstoši Ministru kabineta 2009.gada 3.februāra noteikumiem Nr.108 "Normatīvo aktu projektu sagatavošanas noteikumi" 3.2.apakšpunktam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vērtēšanas komisijā sadarbības iestāde iekļauj arī pārstāvi no atbildīgās iestādes, kā arī projektā zinātniskā aspekta vērtēšanai,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iesaista nacionālos ekspertus katrā viedās specializācijas (turpmāk - RIS3) jomā un, atbilstoši šo noteikumu </w:t>
            </w:r>
            <w:r w:rsidR="00000000" w:rsidRPr="00000000" w:rsidDel="00000000">
              <w:rPr>
                <w:rtl w:val="0"/>
              </w:rPr>
              <w:t xml:space="preserve">20. </w:t>
            </w:r>
            <w:r w:rsidR="00000000" w:rsidRPr="00000000" w:rsidDel="00000000">
              <w:rPr>
                <w:rtl w:val="0"/>
              </w:rPr>
              <w:t xml:space="preserve">punktam</w:t>
            </w:r>
            <w:r w:rsidR="00000000" w:rsidRPr="00000000" w:rsidDel="00000000">
              <w:rPr>
                <w:rtl w:val="0"/>
              </w:rPr>
              <w:t xml:space="preserve">,  citus ekspertus, kuru zinātniska kvalifikācija un iepriekšējā pieredze atbilst vērtējamā projekta zinātnes nozarei un tematikai un, kas vērtē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lūdzot atteikties no nacionālā eksperta iesaistes projektu vērtēšanā. Ierobežotā zinātņu nozaru ekspertu tirgus dēļ pastāv augsts interešu konflikta risks, tādēļ atkārtoti lūdzam paredzēt, ka zinātnisko vērtējumu sniedz tikai ārvalstu eksperti. Vienlaikus norādām, ka, ja eksperti sniedz atzinumus, kā tas noteikumu projektā šobrīd tiek paredzēts, tos nav nepieciešams iekļaut vērtēšanas komisijas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sadarbības iestāde zinātniskā aspekta vērtēšanai pieprasa eksperta atiznumu. Vienlaikus, skaidrojam, ka prioritāri projektu vērtēšanā ir iesaistāmi nacionālie eksperti, ņemot vērā tirgus vajadzības specifiskas un inovācijas attīstības virzienus priekš Latvijas. Noteikumu projekts neizslēdz starptautiska eksperta piesaisti, lai nodrošinātu ātrāku projektu vērtēšanu un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apstiprina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un augsto interešu konflikta risku, kas izriet no ierobežotā tirgus izmēra, kā arī nolūkā nodrošināt objektīvu vērtējumu, lūdzam paredzēt, ka projektu vērtēšanai tiek iesaistīti ne mazāk kā divi ārvalstu eksperti. Vienlaikus lūdzam izvērtēt, vai nav nepieciešams noteikt, ka eksperta zinātniskajai kvalifikācijai un iepriekšējai pieredzei ir jāatbilst vērtējamā projekta zinātnes nozarei un tematikai.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informējām, ka ļoti līdzīga atbalsta pasākuma ietvaros - "Praktiskas ievirzes pētījumi", kur cita starpā arī komersantiem ir pieejams atbalsts pētījumu veikšanai plānots, ka </w:t>
            </w:r>
            <w:r w:rsidR="00000000" w:rsidRPr="00000000" w:rsidDel="00000000">
              <w:rPr>
                <w:rtl w:val="0"/>
              </w:rPr>
              <w:t xml:space="preserve">katra projekta iesnieguma izvērtēšanā, vidusposma un gala rezultātu zinātniskās kvalitātes izvērtēšanā LZP iesaista ne mazāk kā divus ārvalstu ekspertus</w:t>
            </w:r>
            <w:r w:rsidR="00000000" w:rsidRPr="00000000" w:rsidDel="00000000">
              <w:rPr>
                <w:rtl w:val="0"/>
              </w:rPr>
              <w:t xml:space="preserve">. Ekspertus nav plānots pieaicināt dalībai projektu vērtēšanas sēdēs, bet to saņemtos atzinumus plānots ņemt vērā, veicot projektu iesniegumu izvērtēšanu ( </w:t>
            </w:r>
            <w:r w:rsidR="00000000" w:rsidRPr="00000000" w:rsidDel="00000000">
              <w:rPr>
                <w:rtl w:val="0"/>
              </w:rPr>
              <w:t xml:space="preserve">CFLA un LZP starpresoru vienošanās par sadarbību zinātniskās ekspertīzes nodrošināšanai  projekts, kas paredz, ka visas zinātniskās ekspertīzes nodrošinās LZP</w:t>
            </w:r>
            <w:r w:rsidR="00000000" w:rsidRPr="00000000" w:rsidDel="00000000">
              <w:rPr>
                <w:rtl w:val="0"/>
              </w:rPr>
              <w:t xml:space="preserve"> ).              Aicinām EM izvērtēt iespējas līdzīgu programmu zinātniskās kvalitātes izvērtēšanai neveidot divas dažādas pieejas, tādējādi veidojot divas līdzīgas savstarpēji konkurējošas programmas ar dažādiem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DIAF Latvija iebilst pret MK noteikumu projektā paredzētajiem pārstāvjiem vērtēšanas komisijā tikai no atbildīgās ministrijas un Aizsardzības ministrijas, jo, lai kvalitatīvi novērtētu tieši projektu iesniegumu inovācijas un zinātnisko aspektu, fundamentāli svarīgi ir iesaistīt gan drošības un aizsardzības industrijas, gan zinātnisko un pētniecības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MK noteikumu projektā, kas tika arī saskaņots no DAIF Latvija puses, jau bija paredzēts šāds punkts, ka vērtēšanas komisijā tiek iesaistīts drošības un aizsardzības nozares pārstāvošās organizācijas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svarīgi, ka saskaņā ar šī brīža MK noteikumu redakciju, kas paredz, ka "Pasākuma mērķis ir finansējuma pieejamības nodrošināšana uzņēmumu duālas nozīmes jaunu produktu, pakalpojumu un tehnoloģiju izstrādei</w:t>
            </w:r>
            <w:r w:rsidR="00000000" w:rsidRPr="00000000" w:rsidDel="00000000">
              <w:rPr>
                <w:u w:val="single"/>
                <w:rtl w:val="0"/>
              </w:rPr>
              <w:t xml:space="preserve"> aizsardzības un drošības jomā", </w:t>
            </w:r>
            <w:r w:rsidR="00000000" w:rsidRPr="00000000" w:rsidDel="00000000">
              <w:rPr>
                <w:rtl w:val="0"/>
              </w:rPr>
              <w:t xml:space="preserve">aicinām iekļaut vērtēšanas komisijā ar Iekšlietu ministrijas pārstāvi, ņemot vērā, ka drošības jomas attīstība ir šīs nozares ministrijas atbildībā. Jāmin, ka Iekšlietu ministrija jau šobrīd ir identificējusi priotiāros un svarīgos attīstības virzienus, kuri tieši atbilstu šīs atbalsta programmas mērķim - ar industrijas un zinātnes un pētniecības organizāciju iesaisti iekšējās drošības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Atbildīgās iestādes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Iekšlietu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Drošības un aizsardzības nozares pārstāvošās organizācijas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tiek sniegts duāla pielietojuma jaunu produktu un tehnoloģiju izstrādei. Ņemot vērā minēto un Aizsardzības ministrijas kompetenci, Aizsardzības ministrija  projektu iesniegumu vērtēšanas komisijā nodrošinās vērtējumu par projekta plānoto darbību duālu pielietojamību produktiem un tehnoloģijām. Vienlaikus, vēršam uzmanību, ka nozares pārstāvošās organizācijas pārstāvja iesaiste vērtēšanas komisijā palielina interešu konflikta risku. Turklāt, komisijas pārstāvis ir uzskatāms par amatpersonu, kas pieņem/vai ietekmē lēmumu par valsts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nosacījumus starpposma un rezultātu zinātniskās kvalitātes izvērtēšanai iekļaut noteikumu projekta sadaļā “V Projekta īstenošanas un finansējuma saņemšanas nosacījumi", ņemot vērā, ka projektu iesniegumu vērtēšanas komisijas funkcijās neietilpst starpposma un noslēguma zinātniskās kvalitātes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 projektu iesniegumu inovācijas aspekta un zinātniskā aspekta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var sniegt vērtējumu savas kompetences ietvaros par aizsardzības nozares vajadzībām un pielietojamību. Zinātniskā aspekta vērtēšanai atbildīgajai iestādei ir jāpiesaista kompetentās iestādes. AM nav vadošā iestāde valstī zinātnisko aspektu vērtēšanā, līdz ar to AM iesaiste būtu jāfokusē uz iesniegto projektu inovācijas, aktualitātes un pielietojamības aizsardzības jomā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nozīmētu iestādi vai pārstāvi projektu iesniegumu inovācijas, aktualitātes un pielietojamības aizsardzības jomā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vai tās nozīmētas iestādes pārstāvi projektu iesniegumu inovācijas, aktualitātes un pielietojamības aizsardzības jomā un zinātniskā aspekta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jomai,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21.1. apakšpunktu, neparedzot tādu dokumentu iesniegšanu, kas dublē projekta iesniegumā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kontekstā ar MKN projekta 22.punkta apakšpunktos ietverto informāciju, MKN projekta anotāciju papildināt ar īsu skaidrojumu, kāda veida projekti šeit ir, piemēram, domāti un kā tie var būt saistīti ar pasākuma mērķi; kāpēc tiem piemēram, ir jāatbilst Apvārsnis Eiropa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ieskatos minētā prasība komersantu dalībai starptautiskos projektos norāda uz komersantu līdzšinējo iniciatīvu veikt starptautiska mēroga inovāciju projektus, kas liecina par komersanta kapacitāti īstenot līdzīgus projektus, ar atbalstu veicinot Latvijas P&amp;A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skaita piešķiršanu saglabāt kritēriju un atlases nolikuma tvērumā, nevis Ministru kabineta noteikumos. Vienlaikus, ja paredzēts 22. punkta apakšpunktā uzskaitītos projektus finansēt izņēmuma kārtā, lūdzam noteikumu projektā paredzēt skaidrus nosacījumus to finansēšanai, tostarp norādot, kas apliecina projekta iesnieguma atbilstību programmas "Digitālā Eiropa" vai  "Apvārsnis Eiropa" nosacījumiem un vai tiek pārņemts citu programmu ietvaros veiktais zinātniskās kvalitātes 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projekts ir Eiropas Aizsardzības fonda vai Ziemeļatlantijas līguma organizācijas ietvaros procesā esošs projekts vai projekts, par kuru saņemts Aizsardzības tehnoloģiju un inovāciju centra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šādu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22.6.punktu līdzvērtīgi kā 22.3. un 22.4. punktos minēts, ka "projekts atbilst Eiropas Aizsardzības fonda vai Ziemeļatlantijas līguma organizācijas ietvaros esošo programmu atlases kritērijiem”. Piemēram, tā būtu atbilstība Eiropas Aizsardzības fonda aktuālajai darbības programmai, vai atbilstība aktuālajiem NATO Inovāciju fonda uzskaukumu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par Aizsardzības tehnoloģiju un inovāciju centra atzinumu, minot atbilstību Aizsardzības ministrijas izstrādātajai produktu un tehnoloģiju novērtēšanas kārtībai.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projekts atbilst Eiropas Aizsardzības fonda vai Ziemeļatlantijas līguma organizācijas ietvaros esošo programmu atlases kritērijiem vai projekts, par kuru saņemts atzinums atbilstoši Aizsardzības ministrijas izstrādātajai atbilstības novērtēšanas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saglabāts esošais formulējums, nepiciešamības gadījumā tas tiks precizēts, atbilstoši Aizsardzības ministrijas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projektiem no reģiona ar zemāku iekšzemes kopprodukta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skaidrot, vai šī punkta kontekstā ar reģioniem ir saprotami plānošanas vai kādi citi reģioni? Lūdzam attiecīgi precizēt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apakšpunkts. Papildus iekļauts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minētajiem projektiem atbalstu var sniegt, ja nav pieejams finansējums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kas šīs normas kontekstā ir saprotams ar to, ka "ja nav pieejams finansējums ANM 5112.i investīcijas ietvaros? Kādus gadījumus tas aptver?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noteikumu projekta 25.punktā minētā informācija attiecināma pret ANM 5.1.1.1.2.i. 4.kārtas atbalsta programmu, pieņemot iespējamu situāciju, kad kāda IPCEI darbības virziena ietvaros iesaistījies komersants, kurš dažādu apstākļu dēļ kā piemēram IPCEI projekta aizkavēšanās vai jauna IPCEI darbības virziena gadījumā nav spējis startēt ANM ietvaros, paredzot, ka ANM finansējums ir sadalīts pilnā apmērā un jauni uzsaukumi nav plānoti, tad ERAF 21-27 noteikta iespēja saņemt atbalstu prioritārā secībā, ja atbalsta saņēmējs nodrošina dalību IPCEI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skaidrs, kādam Komisijas 2014. gada 17. jūnija Regulas (ES) Nr. 651/2014, ar ko noteiktas atbalsta kategorijas atzīst par saderīgām ar iekšējo tirgu, piemērojot Līguma 107. un 108. pantu, (turpmāk – Komisijas regula Nr. 651/2014)  25. panta 3. punkta apakšpunktam atbilst noteikumu projekta 34.punktā minētās izmaksas, lūdzam attiecīgi papildināt noteikumu projekta 34.punkta apakšpunktus ar atsaucēm uz attiecīgajiem Komisijas regulas Nr. 651/2014 25. panta 3. 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uzturam iepriekš izteikto iebildumu ar lūgumu pārskatīt noteikumu projekta normas tā, lai noteikumos būtu skaidri noteikts, ka atbalsts komunikācijas un vizuālās identitātes pasākumiem, kurus nosaka Eiropas Savienības fondu īstenošanas nosacījumi, nav kvalificējams kā komercdarbības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atsauces uz Komisijas 2014. gada 17. jūnija Regulas (ES) Nr. 651/2014, ar ko noteiktas atbalsta kategorijas atzīst par saderīgām ar iekšējo tirgu, piemērojot Līguma 107. un 108. pantu, (turpmāk – Komisijas regula Nr. 651/2014)  25. panta 3. punkta apakšpunktiem, tādējādi nodrošinot viennozīmīgi skaidras attiecināmās izmaksas un mazinot risku nekorektu attiecināmo izmaksu iekļaušanai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ietvaros ir attiecināmas šādas izmaksas, kas ir izmērāmas, samērīgas, pamatotas un atbilst pareizas finanšu vadības principiem saskaņā ar Komisijas regulas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32. punkta apakšpunktos ir daļēji pārrakstīti Eiropas Komisijas 2014. gada 17. jūnija Regulas (ES) Nr. 651/2014, ar ko noteiktas atbalsta kategorijas atzīst par saderīgām ar iekšējo tirgu, piemērojot Līguma 107. un 108. pantu (turpmāk - Komisijas regula Nr. 651/2014) 25. panta 3. punkta apakšpunkti.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32. punkta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punktā veikti precizējumi, nodrošinot normu nedublēšanos.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ietvaros ir attiecināmas šādas izmaksas, kas ir izmērāmas, samērīgas, pamatotas un atbilst pareizas finanšu vadības principiem saskaņā ar Komisijas regulas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Regulas Nr. 651/2014 25. panta 3. punkta e) apakšpunkta nosacījumiem, lūdzam visas MK noteikumu 32. punkta apakšpunktos norādītās izmaksu pozīcijas, kas iekļautas kā tiešās attiecināmās izmaksas atbilstoši Regulas Nr. 651/2014 3. punkta e) apakšpunktam, paredzēt kā vienoto netiešo izmaksu likmi līdz 20 % apmērā, tādējādi ievērojami atvieglojot birokrātisko slogu gan finansējuma saņēmējiem, gan sadarbības iestādei projektu uzraudzības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vienkāršoto izmaksu likmi attiecībā pret projektu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ietvaros ir attiecināmas šādas izmaksas, kas ir izmērāmas, samērīgas, pamatotas un atbilst pareizas finanšu vadības principiem saskaņā ar Komisijas regulas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piemērot projekta personāla atlīdzības izmaksām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vai arī ,ja vienotās likmes piemērošana nav iespējama, lūdzam izvērtēt iespējas piemērot citu vienkāršoto izmaksu veidu, piemēram vienas vienības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32.1. apakšpunktā iekļautās attiecināmās izmaksas paredzētas pētniecības aktivitāšu nodrošināšanai, nevis projekta vadības personāla izmaksām. vienlaikus, noteikumu projekts papildināts ar vienkāršoto izmaksu likmi attiecībā pret projektu vadību, ko plānots iepirkt ārpakalpojumā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w:t>
            </w:r>
            <w:r w:rsidR="00000000" w:rsidRPr="00000000" w:rsidDel="00000000">
              <w:rPr>
                <w:i w:val="1"/>
                <w:rtl w:val="0"/>
              </w:rPr>
              <w:t xml:space="preserve">euro </w:t>
            </w:r>
            <w:r w:rsidR="00000000" w:rsidRPr="00000000" w:rsidDel="00000000">
              <w:rPr>
                <w:rtl w:val="0"/>
              </w:rPr>
              <w:t xml:space="preserve">kalendārajā gadā, pieskaitot 0,64% no projekta tiešajām attiecināmajām izmaksām, neieskaitot tiešās projekta vadības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komandējuma (darba brauciena) izmaksas saskaņā ar normatīvajiem aktiem par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Līdz ar to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iekšzemes komandējumiem ir jāattiecina  horizontālā vienkāršoto izmaksu metodika "</w:t>
            </w:r>
            <w:r w:rsidR="00000000" w:rsidRPr="00000000" w:rsidDel="00000000">
              <w:rPr>
                <w:rtl w:val="0"/>
              </w:rPr>
              <w:t xml:space="preserve">Vienas vienības izmaksu standarta likmes aprēķina un piemērošanas metodika iekšzemes komandējumu izmaksām darbības programmas “Izaugsme un nodarbinātība” un Eiropas Savienības kohēzijas politikas programmas 2021.-2027.gadam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īstenošanas personāla komandējuma (darba brauciena) izmaksas saskaņā ar normatīvajiem aktiem par kārtību, kādā atlīdzināmi ar komandējumiem saistītie izdevumi, atbilstoši Komisijas regulas Nr. 651/2014 25.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komandējuma (darba brauciena) izmaksas saskaņā ar normatīvajiem aktiem par kārtību, kādā atlīdzināmi ar komandējumiem saistītie izdevumi,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32.3.apakšpunktā minētie komandējumi ir iekšzemes komandējumi, jo ārvalstu komandējumi ir atbalstāmi tikai projekta vadības un īstenošanas personālam. Ja šie komandējumi ir iekšzemes, tad ir piemērojama vadošās iestādes izstrādātā horizontālā metodika Nr. 4.7., 4.2. “Vienas vienības izmaksu standarta likmes aprēķina un piemērošanas metodika iekšzemes komandējumu izmaksām darbības programmas “Izaugsme un nodarbinātība” un Eiropas Savienības kohēzijas politikas programmas 2021.–2027.gadam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ar komandējumiem saprotama gan iekšzemes, gan ārvalstu komandējumi, vienlaikus vienkāršoto izmaksu likmes piemērošana var netikt veikta, ņemot vērā ka noteikumu projekta ietvaros projektiem minimālais attiecināmo izmaksu apmērs noteikts ne mazāk kā 200 tūkst. EUR (ieskaitot), visi projekti paredzēti pētniecībai un inovācijām, kā arī katra projekta īstenotāja plānotās atbalsta aktivitātes un tiem paredzētie izcenojumi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īstenošanas personāla komandējuma (darba brauciena) izmaksas saskaņā ar normatīvajiem aktiem par kārtību, kādā atlīdzināmi ar komandējumiem saistītie izdevumi, atbilstoši Komisijas regulas Nr. 651/2014 25.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instrumentu, iekārtu un to aprīkojuma iegādes un nomas maksa atbilstoši Komisijas regulas Nr. 651/2014 25. panta 3. punkta "b" apakšpunktam,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33.6. punktu, nosakot, ka iekārtu iegādes izmaksas attiecināmas, ja pamatlīdzekļu izmantošanas laiks saskaņā ar finansējuma saņēmēja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instrumentu, iekārtu un to aprīkojuma iegādes un nomas maksa atbilstoši Komisijas regulas Nr. 651/2014 25. panta 3. punkta "b" apakšpunktam, ciktāl to izmanto pētniecības vai tehniski ekonomiskās priekšizpētes darbībām un nepārsniedzot tirgū noteikto cenu. Iekārtu iegādes izmaksas attiecināmas, ja pamatlīdzekļu izmantošanas laiks saskaņā ar finansējuma saņēmēja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instrumentu un aprīkojuma izmaksas, t.sk. iekārtu iegādes maksa, iekārtu un to aprīkojuma nomas maksa un finansējuma saņēmēja īpašumā esošo instrumentu un aprīkojuma amortizācijas izmaksas,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"iekārtu iegādes maksa", ņemot vērā, ka iekārtu iegāde nav attiecināma atbilstoši regulas Nr.651/2014 25.pantam.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Komercdarbības atbalsta kontroles departamentu, secināts, ka iekārtu iegādes izmaksas ir attiecināmas atbilstoši regulas Nr.651/2014 25.pantam, ciktāl tas nepieciešams pētniecības aktivitāšu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instrumentu, iekārtu un to aprīkojuma iegādes un nomas maksa atbilstoši Komisijas regulas Nr. 651/2014 25. panta 3. punkta "b" apakšpunktam, ciktāl to izmanto pētniecības vai tehniski ekonomiskās priekšizpētes darbībām un nepārsniedzot tirgū noteikto cenu. Iekārtu iegādes izmaksas attiecināmas, ja pamatlīdzekļu izmantošanas laiks saskaņā ar finansējuma saņēmēja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apdrošināšanas – veselības, dzīvības, transportlīdzekļu, īpašuma, iekārtu, civiltiesiskās atbildības un citas – izmaksas uz projekta īstenošanas laiku bez uzkrājuma veidošanas un iekļaušanas līguma par projekta īstenošanu tekstā.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Ekonomikas ministriju sniegt pamatojumu dzīvības izmaksu apdrošināšanas izmaksu segšanai vai svītrot dzīvības apdrošināšanas izdevumus no attiecināmajiem izdevumiem. Kuras ir tās jomas, kas var apdraudēt dzīvību?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 sekojošā redakcijā: Pētniecības aktivitāšu veikšana dažādās jomās ir specifiska un nepieciešams ievērot drošības apsvērumus. Noteikumu projektā iekļautās attiecināmās izmaksas attiecībā uz dzīvības apdrošināšanu iekļauta, lai nodrošinātu pētniecības aktivitāšu veicēju dzīvības vai veselības aspektu aizsargāšanu. Ņemot vērā, ka pētniecības projektu ietvaros plānots veikt darbības, kas saistītas ar duālas nozīmes produktu izstrādi, metālapstrādi un ķīmiskajiem savienojumiem.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EM sniegt pamatojumu dzīvības izmaksu apdrošināšanas izmaksu segšanai vai svītrot dzīvības apdrošināšanas izdevumus no attiecināmajiem izdevumiem. Vai un kādi dzīvības apdraudējumi var FS rasties veicot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jomai ir sava specifika un drošības apsvērumi, kas var apdraudēt dzīvību vai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dzīvības apdrošināšanas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jomai ir sava specifika un drošības apsvērumi, kas var apdraudēt dzīvību vai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komunikācijas un vizuālās identitātes izmaksas, atbilstoši Komisijas regulas Nr. 651/2014 25. panta 3. punkta "e"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komunikācijas un vizuālās identitātes pasākumiem, kurus nosaka ES fondu īstenošanas nosacījumi, nav kvalificējams kā komercdarbības atbalsts. Attiecīgi lūdzam pārskatīt noteikumu 32.12.punktā ietverto normu, jo gadījumā, ja tur ir iekļauti komunikācijas un vizuālās identitātes pasākumi, kurus nosaka ES fondu īstenošanas nosacījumi, komercdarbības atbalsta regulējums nav piemērojams. Attiecīgi lūdzam pārskatīt arī citas saistītās noteikumu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komunikācijas un vizuālās identitātes izmaksas ir attiecināmas, dzēšot atsauci uz GBER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komunikācijas un vizuālās identitātes pasākumu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pantu un kārtību, kādā Eiropas Savienības fondu vadībā iesaistītās institūcijas nodrošina šo fondu ieviešanu 2021.–2027. gada plānošanas periodā. Šajā punktā minētās izmaksas nav pakļautas komercdarbības atbalsta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Vienkāršoto izmaksu vienotā izmaksu likme šo noteikumu </w:t>
            </w:r>
            <w:r w:rsidR="00000000" w:rsidRPr="00000000" w:rsidDel="00000000">
              <w:rPr>
                <w:rtl w:val="0"/>
              </w:rPr>
              <w:t xml:space="preserve">34.11. </w:t>
            </w:r>
            <w:r w:rsidR="00000000" w:rsidRPr="00000000" w:rsidDel="00000000">
              <w:rPr>
                <w:rtl w:val="0"/>
              </w:rPr>
              <w:t xml:space="preserve">apakšpunktā</w:t>
            </w:r>
            <w:r w:rsidR="00000000" w:rsidRPr="00000000" w:rsidDel="00000000">
              <w:rPr>
                <w:rtl w:val="0"/>
              </w:rPr>
              <w:t xml:space="preserve"> minētajām projektu vadības personāla izmaksām ir 10 procenti,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vienotās likmes aprēķins nav saskaņots ar vadošo iestādi, nevaram saskaņot vienotās likmes apmēru. Turklāt, pirmsškietami, saskatām risku, ka attiecībā uz projekta personāla izmaksu segšanu pastāv nevienlīdzīga pieeja izmaksu attiecināšanā, jo 34.1. un 41.1. apakšpunktā minētais liecina, ka projekta īstenošanas personāla izmaksas tiks segtas ar faktiskajām izmaksām, bet projekta vadības personāla izmaksas ar vienoto likmi. Vēršam uzmanību, ka vienotajā likmē ir jāiekļauj gan projekta vadības personāla, gan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par pētnieku algām jeb projekta īstenošanas personāla izmaksām nav pieejama, turklāt, pētnieku darba alga katrā no pētniecības projektiem atšķiras atkarībā no nozares un veicamajām aktivitātēm. Ņemot vērā minēto, vienoto likmi iespējams noteikt tikai projekta vadības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minēto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Tiešajās attiecināmajās personāla izmaksās var iekļaut to darbinieku atlīdzības izmaksas, kuri noteiktā laika posmā ne mazāk kā 30% no normālā darba laika katrā mēnesī veic pienākumus, kas saistīti ar projektu, un tas ir pamatots ar atbilstošiem izmaksas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noteikumu projektu ar nosacījumu “vismaz 30% no normālā darba laika strādā ar projektu”, kā arī iekļaut ierobežojumu projekta vadības personāla izmaksām atbilstoši vadošās iestādes vadlīnijām Nr.1.2 "Vadlīnijas attiecināmo izmaksu noteikšanai 2021.-2027.gada plānošanas periodā" - faktiskās izmaksas projektiem ar tiešām attiecināmām izmaksām līdz 5 milj. EUR (ieskaitot), tiešajām attiecināmajām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32.1. apakšpunktā iekļautās izmaksas attiecināmas uz pētniecības aktivitāšu nodrošināšu, attiecinot darba samaksu iesaistītajam personālam. Noteikumu projekta ietvars projekta vadības personālu plānots nodrošināt kā ārējo pakalpojumu. Attiecīgi vienotā likme uz 32.1. apakšpunktā norādītajām izmaksām nav attiecināma. Noteikumu projekta iekļauts punkts paredz vienotās likmes piemērošanu ārpakalpojumam. Vienlaikus, noteikumu projekts papildināts nosakot, ka zinātniskajam personālam vismaz 30% no normālā darba laika jāstrādā 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izmaksu attiecināmības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MKN 32.14.apakšpunkta nosacījumus, kas attiecināmi uz dalības maksu iesaistei starptautiskajās iniciatīvās lūdzam EM izveidot sasaisti ar šo MKN punktu vai iekļaut tās vienas normas ietvarā vai secīgi vienu aiz otras.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Dalības maksu starptautiskajās iniciatīvās attiecina tikai tad, ja tā paredzēta atbilstoši šo noteikumu </w:t>
            </w:r>
            <w:r w:rsidR="00000000" w:rsidRPr="00000000" w:rsidDel="00000000">
              <w:rPr>
                <w:rtl w:val="0"/>
              </w:rPr>
              <w:t xml:space="preserve">27.14. </w:t>
            </w:r>
            <w:r w:rsidR="00000000" w:rsidRPr="00000000" w:rsidDel="00000000">
              <w:rPr>
                <w:rtl w:val="0"/>
              </w:rPr>
              <w:t xml:space="preserve">apakšpunkta</w:t>
            </w:r>
            <w:r w:rsidR="00000000" w:rsidRPr="00000000" w:rsidDel="00000000">
              <w:rPr>
                <w:rtl w:val="0"/>
              </w:rPr>
              <w:t xml:space="preserve"> nosacījumiem un,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44.1.2.</w:t>
            </w:r>
            <w:r w:rsidR="00000000" w:rsidRPr="00000000" w:rsidDel="00000000">
              <w:rPr>
                <w:rtl w:val="0"/>
              </w:rPr>
              <w:t xml:space="preserve">,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finansējuma saņēmējs to ir sākotnēji paredzējis projekta iesniegumā un ir izpildīts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45. punkta apakšpunktos ir pārrakstīts Komisijas regula Nr. 651/2014 25. panta 6. punkta "b" apakšpunkts.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45. punktu un tā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44.1.2.</w:t>
            </w:r>
            <w:r w:rsidR="00000000" w:rsidRPr="00000000" w:rsidDel="00000000">
              <w:rPr>
                <w:rtl w:val="0"/>
              </w:rPr>
              <w:t xml:space="preserve">,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intensitāti – par 15 procentiem atbilstoši Komisijas regulas Nr. 651/2014 25. panta 6. punkta "b"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44.1.2.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finansējumu – par 25 procentiem saskaņā ar Komisijas regulas Nr. 651/2014 25. panta 6. punkta "d" apakšpunktu, ja finansējuma saņēmējs to ir paredzējis projekta iesniegumā un ir izpildīti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46. punkta apakšpunktos ir pārrakstīts Komisijas regula Nr. 651/2014 25. panta 6. punkta "d" apakšpunkts.Vēršam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46. punktu un tā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44.1.1.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44.1.2.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44.1.3.</w:t>
            </w:r>
            <w:r w:rsidR="00000000" w:rsidRPr="00000000" w:rsidDel="00000000">
              <w:rPr>
                <w:rtl w:val="0"/>
              </w:rPr>
              <w:t xml:space="preserve"> un </w:t>
            </w:r>
            <w:r w:rsidR="00000000" w:rsidRPr="00000000" w:rsidDel="00000000">
              <w:rPr>
                <w:rtl w:val="0"/>
              </w:rPr>
              <w:t xml:space="preserve">44.2. </w:t>
            </w:r>
            <w:r w:rsidR="00000000" w:rsidRPr="00000000" w:rsidDel="00000000">
              <w:rPr>
                <w:rtl w:val="0"/>
              </w:rPr>
              <w:t xml:space="preserve">apakšpunktā</w:t>
            </w:r>
            <w:r w:rsidR="00000000" w:rsidRPr="00000000" w:rsidDel="00000000">
              <w:rPr>
                <w:rtl w:val="0"/>
              </w:rPr>
              <w:t xml:space="preserve"> minēto finansējumu – par 25 procentiem atbilstoši Komisijas regulas Nr. 651/2014 25. panta 6. punkta "d" apakšpunkta nosacījumiem, ja finansējuma saņēmējs to ir paredzējis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37.1.2.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37.1.3.</w:t>
            </w:r>
            <w:r w:rsidR="00000000" w:rsidRPr="00000000" w:rsidDel="00000000">
              <w:rPr>
                <w:rtl w:val="0"/>
              </w:rPr>
              <w:t xml:space="preserve"> un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minēto finansējuma intensitāti – par 25 procentiem saskaņā ar Komisijas regulas Nr. 651/2014 25. panta 6. punkta "d" apakšpunktu, ja finansējuma saņēmējs to ir paredzējis projekta iesniegumā.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iestādei, papildus Eiropas Savienības fondu 2021.—2027. gada plānošanas perioda vadības likuma 12. pantā noteiktajam,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dzēst noteikumu projekta 53.punktu,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vērtēšanas komisijā ir arī atbildīgās iestādes pārstāvis, kuram tādējādi ir zināms projektu iesniegumu apstiprināšanas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apstiprinātajiem projektiem tiek publicēta Centrālās finanšu un līgumu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pasākuma ietvaros pieejamo (pēc atlases īstenošanas atlikušo) finansējumu ir pieejama Kohēzijas politikas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atlasē pieejamo finansējumu tiks norādīta atlases nolikumā un nav nepieciešamība papildus publicēt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iesniegumu vērtēšana tiek veikta atbilstoši projektu iesniegumu vērtēšanas kritērijiem, attiecīgi noteikumu projektā nevar noteikt sadarbības iestādei pienākumu atlases ietvaros pārliecināties par tādiem aspektiem, kas nav minēti vērtēšanas kritērijos. Vienlaikus norādām, ka atlases laikā identificēt interešu konflikta pazīmes ir neiespējami, ņemot vērā, ka darbības nevar būt uzsāktas.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53.punkts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pārliecināties par interešu konflikta risku, korupciju, krāpšanu un dubultā finansējuma neesību un pieņemt lēmumu par projekta atbilstību komercdarbības atbalsta noteikumiem pēc projekta iesnieguma saņemšanas no projekta iesniedzēja;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sākotnējās ietekmes novērtējuma ziņojums (turpmāk - anotācija) nesatur norādes par veidiem, kādā sadarbības iestāde pārliecināsies par projekta 53.1. apakšpunktā uzskaitīto nosacījumu neesamību pēc projekta iesnieguma saņemšanas no projekta iesniedzēja, tādējādi nav skaidrs, vai minēto informāciju plānots iegūt no valsts informācijas sistēmas "Sodu reģistrs". Ievērojot minēto, papildināt projekta anotāciju, norādot veidus, kā sadarbības iestāde pārliecināsies par projekta 53.1. apakšpunktā minēto nosacījumu neesamību un, ja minēto informāciju plānots iegūt no valsts informācijas sistēmas "Sodu reģistrs", norādīt arī attiecīgus Krimināllikuma pantus.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dzēsti 52.punktā minētie sadarbības iestādes pienākumi kā dublējoši ESF 21-27 plānošanas perioda vadības likumam. Vienlaikus anotācija papildināta ar informāciju par informācijas iegūšanu no Sodu reģistra, kā arī sasaisti ar attiecīgiem Krimināllikuma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ietverot finansējuma saņēmēja pienākumu nodrošināt komunikācijas un vizuālās identitātes prasību ievērošanu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pantam un 50. pantam un normatīvajiem aktiem, kas nosaka kārtību, kādā Eiropas Savienības fondu vadībā iesaistītās institūcijas nodrošina šo fondu ieviešanu 2021.–2027. gada plānošanas periodā.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finansējuma saņēmēja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finansējuma saņēmēja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finansējuma saņēmēja pienākumu iesniegt starpposma un noslēguma maksājuma pieprasījumus, kā arī, ņemot vērā, ka paredzēti avansa maksājumi, aicinām maksājumu pieprasījumu iesniegšanas termiņu noteikt ne biežāk kā reizi 6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57.3., 57.4.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punktā lūdzam precizēt AM lomu atbilstoši tās kompetencei. AM nav kompetentā vai vadošā iestāde valstī zinātnisko aspektu vērtēšanā, līdz ar to AM var vērtēt iesniegto projektu inovācijas aspektu, aktualitāti un pielietojamību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sadarbības iestādes loma ir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izvērtē projekta rezultātus, iekļautās izmaksas un sasniegto rezultātu atbilstību projekta mērķim un plānotajām aktivitātēm, tai skaitā ņem vērā Aizsardzības ministrijas izvērtējumu par projektu inovāciju, aktualitāti un pielietojamību aizsardzības jomā.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īstenošanas laikā finansējuma saņēmējs var saņemt ātrāku maksājumu bez bankas garantijas līdz 75 procentus no sadarbības iestādē iesniegtā maksājuma pieprasījuma, pirms sadarbības iestāde ir pabeigusi attiecīgā maksājuma pieprasījuma izvērtēšanu. Ātrāka maksājuma apjomu sadarbības iestāde nosaka, izvērtējot projekta risku, tai skaitā ņemot vērā statistiku par to, kāda daļa no finansējuma saņēmēja iepriekš iesniegtajiem maksājuma pieprasījumiem pēc sadarbības iestādes veiktajām pārbaudēm tika atzīta par atbilstošu un attiecīgi veikta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61.punktu, jo Ministru kabineta 2023. gada 25. aprīļa noteikumi Nr. 205 "Valsts budžeta līdzekļu plānošanas kārtība Eiropas Savienības fondu projektu īstenošanai un maksājumu veikšanai 2021.–2027. gada plānošanas periodā" (turpmāk - MK noteikumi Nr. 205) neparedz ātrākus maksājumu pieprasījumus. Atbilstoši MK noteikumu Nr. 205 8.punktam finansējuma saņēmējam ir pieejami šādi maksājumu veidi - avansa maksājums, starpposma maksājums un noslēguma maksājums.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īstenošanas laikā finansējuma saņēmējs var saņemt ātrāku maksājumu bez bankas garantijas līdz 75 procentus no sadarbības iestādē iesniegtā maksājuma pieprasījuma, pirms sadarbības iestāde ir pabeigusi attiecīgā maksājuma pieprasījuma izvērtēšanu. Ātrāka maksājuma apjomu sadarbības iestāde nosaka, izvērtējot projekta risku, tai skaitā ņemot vērā statistiku par to, kāda daļa no finansējuma saņēmēja iepriekš iesniegtajiem maksājuma pieprasījumiem pēc sadarbības iestādes veiktajām pārbaudēm tika atzīta par atbilstošu un attiecīgi veikta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saņēmējiem ir pieejams avansa maksājums, lūdzam dzēst punktu par ātrāku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Aizsardzības ministrija kopīgi ar sadarbības iestādi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Sadarbības iestāde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Projektu īstenošanas uzraudzībai Aizsardzības ministrija kopīgi ar sadarbības iestādi nodrošina projektu gala rezultātu zinātniskās kvalitātes izvērtējumu,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53., 53.1., un 53.2. punkta redakcijās jāprecizē AM loma atbilstoši kompetencei, un sadarbības iestādes loma nodrošināt visa konkursa norises dzīvesciklu.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Sadarbības iestāde sagatavo gala rezultātu kvalitātes izvērtējumu, tai skaitā, ņemot vērā Aizsardzības ministrijas izvērtējumu par projektu inovāciju, aktualitāti un pielietojamību aizsardzības jomā, un virza to lēmuma pieņemšanai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Pasākuma ietvaros vadības informācijas sistēmā uzkrāj šādus RIS3 rādītājus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š.g. 26.jūnija sanāksmi starp Ekonomikas ministriju, Izglītības un zinātnes ministriju, Centrālo statistikas pārvaldi, Centrālo finanšu un līgumu aģentūru un vadošo iestādi par RIS3 rādītāju saraksta pārskatīšanu, lūdzam pārskatīt un nepieciešamības gadījumā precizēt noteikumu projekta 64.punktu attiecībā uz RIS3 rādītājiem pēc tam, kad starp augstākminētajām pusēm tiek panākta vienošanās par gala sarakstu ar RIS3 rādītājiem. Attiecīgi lūdzam arī Ekonomikas ministriju informēt vadošo iestādi par RIS3 rādītāju gala sarakstu un to apstiprināšanas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informējusi Finanšu ministirju par RIS3 rādītāju gala sarakstu, noteikumu projekts precizēts atbilstoši aktuālajām redakcijām.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Pasākuma ietvaros finansējuma saņēmējs kopā ar noslēguma maksājuma pieprasījumu iesniedz informāciju par šādiem RIS3 rādītājiem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Aizsardzības ministrija atzinumu par finansējuma saņēmēja sagatavoto noslēguma rezultātu atskaiti sniedz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55. punkta redakcijas jāsvītro Aizsardzības ministrija, aizstājot to ar Sadarbības iestādi atbilstoši tās lomai nodrošināt visa konkursa norises dzīvesciklu, kā arī</w:t>
            </w:r>
            <w:r w:rsidR="00000000" w:rsidRPr="00000000" w:rsidDel="00000000">
              <w:rPr>
                <w:b w:val="1"/>
                <w:rtl w:val="0"/>
              </w:rPr>
              <w:t xml:space="preserve"> priekšlikums</w:t>
            </w:r>
            <w:r w:rsidR="00000000" w:rsidRPr="00000000" w:rsidDel="00000000">
              <w:rPr>
                <w:rtl w:val="0"/>
              </w:rPr>
              <w:t xml:space="preserve"> atsevišķā apakšpunktā izdalīt pienesumu aizsardzības un drošības jomā (kas norādīts 55.1.4.). Attiecīgi mainās apakšpunktu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Sadarbības iestāde atzinumu par finansējuma saņēmēja sagatavoto noslēguma rezultātu atskaiti sniedz,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atzinumā tiek iekļauta vismaz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 pētījuma īstenošanas gaita ir vērsta uz projekta mērķu un plānoto pētniecības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55.1.2. finansējuma izlietojums, kas ietver novērtējumu par projektā piešķirtā finansējuma izlietojuma atbilstību gala rezultāta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55.1.3. sasniegtie pētniecības rezultāti ir skaidri un nepārprotami;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vai projekta darbības ir vērstas uz prototipa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55.1.5. inovāciju kvalitāte, aktualitāte un pielietojamība aizsardzības un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55.1.6. projektā izmantotās zināšanas nav pieejamas citur vai ir aizsargātas, izmantotās zināšanas palielina industrijas zināšanu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atskaites atbilstību šo noteikumu 55.1. apakšpunktā minētajiem kritērijiem raksturo ar šādiem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55.2.1.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55.2.2. daļēji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55.2.3. neatbilst.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Aizsardzības ministrija atzinumu par finansējuma saņēmēja sagatavoto noslēguma rezultātu atskaiti sniedz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66.punktā ietverto informāciju pārcelt informatīvos nolūkos uz anotāciju, ņemot vērā, ka sadarbības iestādes tiesības vienpusēji atkāpties no līguma par projekta īstenošanu ir noteiktas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 noteikumu projekta dzēsts, papildināta anotācija ar informāciju, kādos gadījumos sadarbības iestādei ir tiesības vienpusēji atkāpties no līguma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regulējums, kurā tiek noteiktas tiesības vienpusēji atkāpties no noslēgtā līguma par projekta īstenošanu kārtība, ir ārpus Eiropas Savienības fondu 2021.—2027. gada plānošanas perioda vadības likumā 19. panta 6. un 13. punktu noteiktā deleģējuma Ministru kabinetam. Pamatojoties uz minēto, lūdzam svītrot noteikumu projekta 66.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komersanta eksporta apjomu, vienlaikus informējot, vai komersanta eksporta apjoms sasniedz vismaz 10 procentus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iesniedz eksporta datus par pēdējo noslēgto gadu, kas ir 1.projekta gads un, piemēram, projekts rit 3 gadus, ko tad var iesniegt attiecībā uz šo: “piecu gadu laikā no noslēgumu pārskata iesniegšanas vadības informācijas sistēmā”? Noslēguma pārskatu iesniegs tikai vēl pēc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ja ir domāts plānotais (prognozējamais) eksports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komersantam nepieciešams sniegt informāciju par eksporta apjomu 3 gadu periodā pēc noslēguma pārskata iesniegšanas vadības informācijas sistēmā, informējot Ekonomikas ministriju par eksporta apjoma pieaugumu vismaz 10% apmērā. Noteikumu projektā iekļautās prasības nodrošina Ministru kabineta 2023. gada 7. novembra sēdes protokollēmuma (prot.Nr. 56, 32. §.) 7.punktā dotā uzdevuma (23-UZ-585) izpildi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67.1. apakšpunkts precizēts, lai nodrošinātu skaidrākas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P&amp;A izdevumu apjoms – publiskais finansējums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komersanta produktivitātes apjomu, vienlaikus informējot, vai komersanta produktivitātes apjoms sasniedz vismaz 10 procentus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iesniedz atalgojuma datus par pēdējo noslēgto gadu, kas ir 1.projekta gads un, piemēram, projekts rit 3 gadus, ko tad var iesniegt attiecībā uz šo: “piecu gadu laikā no noslēgumu pārskata iesniegšanas vadības informācijas sistēmā”? Noslēguma pārskatu iesniegs tikai vēl pēc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ja ir domāts plānotais (prognozējamais) eksports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komersantam nepieciešams sniegt informāciju par eksporta apjomu 3 gadu periodā pēc noslēguma pārskata iesniegšanas vadības informācijas sistēmā, informējot Ekonomikas ministriju par eksporta apjoma pieaugumu vismaz 10% apmērā. Noteikumu projektā iekļautās prasības nodrošina Ministru kabineta 2023. gada 7. novembra sēdes protokollēmuma (prot.Nr. 56, 32. §.) 7.punktā dotā uzdevuma (23-UZ-585) izpildi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67.2. apakšpunkts precizēts, lai nodrošinātu skaidrākas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P&amp;A izdevumu apjoms – privātās investīcijas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67.3.3. 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 uzņēmējdarbības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noteikts šāds rādītājs. Ja šāda informācija ir nepieciešama, lūdzam izvērtēt iespējas to noteikt par nacionālo rādītāju vai iekļaut to augstāk pie informācijas, kas nav attiecināma uz RIS3 rādītājiem, kas noteikti 67.3 apakšpunktā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RIS3 rādītāji ir saskaņoti ar Centrālo statistikas pārvaldi, kas nodrošina datu uzkrāšanu nacionālā līmenī un papildus iekļauties RIS3 rādītāji šobrīd tiek saskaņoti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67.3.5. 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MKN punktu no MKN projekta, ņemot vērā fundamentālie pētījumi neatbilst pasākuma konceptam (TRL 4-TRL 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67.3.11. ar projekta īstenošanu saistīto jaunradīto darba vietu pētniecībā un attīstībā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noteikts šāds rādītājs. Ja šāda informācija ir nepieciešama, lūdzam izvērtēt iespējas to noteikt par nacionālo rādītāju vai iekļaut to augstāk pie informācijas, kas nav attiecināma uz RIS3 rādītājiem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RIS3 rādītāji ir saskaņoti ar Centrālo statistikas pārvaldi, kas nodrošina datu uzkrāšanu nacionālā līmenī un papildus iekļauties RIS3 rādītāji šobrīd tiek saskaņoti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67.3.12. iesaistītais pētniecības un attīstības personāls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šādu RIS3 rādītāju un apakšrādītāju formulējums (67.3.12., 67.3.12.1.1., 67.3.12.1.2., 67.3.12.2.1.un 67.3.12.2.2.) neatbilst rādītājam RIS rādītāju katalogā, kas saskaņots starp IZM, EM, FM un CFA nav noteikts šāds rādītājs. Lūdzam izmantot rādītājus no RIS3 kataloga. Gadījumā, ja nepieciešams apkopot vēl kādu papildus informāciju aicinām to iekļaut augstāk pie informācijas, kas nav attiecināma uz RIS3 rādītājiem (piemēram, aiz MKN projekta 67.2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RIS3 rādītāji ir saskaņoti ar Centrālo statistikas pārvaldi, kas nodrošina datu uzkrāšanu nacionālā līmenī un papildus iekļauties RIS3 rādītāji šobrīd tiek saskaņoti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67.3.14. komersanta neto apgrozījums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noteikti šādi rādītāji. Ja šāda informācija ir nepieciešama, lūdzam to iekļaut augstāk pie informācijas, kas nav attiecināma uz RIS3 rādītājiem, kas noteikti 67.3 apakšpunktā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RIS3 rādītāji ir saskaņoti ar Centrālo statistikas pārvaldi, kas nodrošina datu uzkrāšanu nacionālā līmenī un papildus iekļauties RIS3 rādītāji šobrīd tiek saskaņoti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67.3.15. komersanta eksports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67.3.14.punkta.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RIS3 rādītāji ir saskaņoti ar Centrālo statistikas pārvaldi, kas nodrošina datu uzkrāšanu nacionālā līmenī un papildus iekļauties RIS3 rādītāji šobrīd tiek saskaņoti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Projektu iesniegumu vērtēšanas komisijas locekļi, eksperti, novērotāji, kas iesaistīti projektu iesniegumu vērtēšanas procesā, paraksta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 apliecinājumu, ka nepiedalīsies projektu iesniegumu izvērtēšanā interešu konflikta situācijā un projektu iesniegumu vērtēšanas komisijas sēdēs, kurās tiks apstiprināti projektu iesniegumi. Apliecinājumu paraksta pirms projektu iesniegumu izskatīšanas un vērtēšanas. Apliecinājumu finansējuma saņēmējs glabā atbilstoši Komisijas regulas Nr. 2018/1046 132. pantam un šo noteikumu </w:t>
            </w:r>
            <w:r w:rsidR="00000000" w:rsidRPr="00000000" w:rsidDel="00000000">
              <w:rPr>
                <w:rtl w:val="0"/>
              </w:rPr>
              <w:t xml:space="preserve">76.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ir projekta iesniedzēja, nevis vērtēšanas komisijas locekļu u.c. apliecinājums. Vienlaikus vēršam uzmanību, ka vērtēšanas komisija tiek izveidota, ievērojot sadarbības iestādes iekšējās kontroles sistēmu, tostarp apliecinājumi tiek izstrādāti atbilstoši sadarbības iestādes iekšējos noteikumos noteiktām redakcijām un aptver arī interešu konflikta risku vadību. Nolūkā mazināt administratīvo slogu, lūdzam atteikties no papildu apliecinājumu parakstīšanas, attiecīgi dzēšot noteikumu projekta 69.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 dzēšot 69.punktu, kā arī noteikumu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lūdzam papildināt noteikumu projektu ar nosacījumu, ka informācija par šo noteikumu ietvaros izsniegto atbalstu publicē atbilstoši Komisijas regulas Nr.651/2014 9.panta 1.un 4.punktā noteiktajām publicitātes pasākumu prasībām un saskaņā ar normatīvo aktu par kārtību, kādā publicē informāciju par sniegto komercdarbības atbalstu un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nodaļa papildināta ar iebildumā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lūdzam papildināt noteikumu projektu ar nosacījumu par to, ka uz projekta iesniegšanas brīdi tiks vērtēta projekta iesniedzēja atbilstība Komisijas regulas Nr.651/2014 1.panta 4.punkta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attiecīgi lūdzam noteikumu projektu precizēt tā, lai nodrošinātu, ka ar terminu "komersants" tiek saprasts, ka komersants tiek vērtēts uzņēmumu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noteikumu projekts papildināts ar nosacījumu, ka sadarbības iestāde uz projekta iesnieguma iesniegšanas brīdi vērtē projekta iesniedzēja atbilstību Komisijas regulas Nr.651/2014 1.panta 4.punkta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komersanta uzņēmumu grupas līmeņa vērtēšanu, nosacījums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projekta ietvaros nedrīkst izmantot pētniecības iekārtas, kas iepirktas citu ar saimniecisko darbību nesaistītu projektu ietvaros, izņemot gadījumu, ja finansējuma saņēmējs veic ar saimniecisko darbību nesaistītu pētniecības projektu. Ar saimniecisko darbību nesaistīti pētniecības projekti ir tādi projekti, kuros nodrošināta efektīva sadarbība un intelektuālā īpašuma tiesības, kas izriet no pētniecības un zināšanu izplatīšanas organizācijas projekta ietvaros veiktās darbības, pilnībā tiek piešķirtas pētniecības un zināšanu izplatīšanas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šīs normas būtība, jo šī pasākuma ietvaros tiek īstenoto tikai ar saimniecisku darbību saistīti projekti, attiecīgi lūdzam precizēt noteikumu 73.punktu.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projekta ietvaros nedrīkst izmantot pētniecības iekārtas, kas iepirktas citu ar saimniecisko darbību nesaistītu projektu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1.pielikumā iekļauto apliecinājumu, ņemot vērā, ka tiks īstenots Eiropas Reģionālās attīstības fonda projekts, nevis Atveseļošanas un noturības mehānisma (Atveseļošanas fonda)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citu CFLA iebildumu, dzēsusi noteikumu projekta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atsauci uz aizsardzības ministriju anotācijas V sadaļas teikumā (atbilstoši iebildumiem par 53.,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ko vērtē sadarbības iestāde un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ko vērtē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par projekta 18.2. punktu, labot anotācijas II sadaļas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vērtēšanas komisijā iekļauj atbildīgās iestādes pārstāvi, viedās specializācijas jomu atbilstības noteikšanai un Aizsardzības ministrijas pārstāvi, projektu iesniegumu inovācijas aspekta un zinātniskā aspekta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projektu iesniegumu vērtēšanas komisijā iekļauj atbildīgās iestādes pārstāvi, viedās specializācijas jomu atbilstības noteikšanai un Aizsardzības ministrijas nozīmētu iestādi vai pārstāvi projektu iesniegumu inovācijas, aktualitātes un pielietojamības aizsardzības jomā 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anotācijā iekļaut skaidrojumu par to, kas šī noteikumu projekta izpratnē ir saprotams ar </w:t>
            </w:r>
            <w:r w:rsidR="00000000" w:rsidRPr="00000000" w:rsidDel="00000000">
              <w:rPr>
                <w:u w:val="single"/>
                <w:rtl w:val="0"/>
              </w:rPr>
              <w:t xml:space="preserve">duālas nozīmes</w:t>
            </w:r>
            <w:r w:rsidR="00000000" w:rsidRPr="00000000" w:rsidDel="00000000">
              <w:rPr>
                <w:rtl w:val="0"/>
              </w:rPr>
              <w:t xml:space="preserve"> jaunajiem produktiem, tehnoloģijām un pakalpojumiem aizsardzības un drošības jomā, kā arī sniegt pāris šādu produktu piemērus katrā no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Pasākuma ietvaros ar duāla pielietojuma produktiem un tehnoloģijām saprotami produkti un tehnoloģijas, kas izmantojamas gan militārajām, gan civilajām vajadzībām. Kā piemēram, biomedicīnas, medicīnas tehnoloģiju, farmācijas RIS3 jomā - biotehnoloģija vakcīnu izstrādei vai medicīniskās skeneru tehnoloģijas; fotonikas un viedo materiālu, tehnoloģiju un inženiersistēmu RIS3 jomā - nanomateriāli vai uz fotoniku balstīti sensori; informācijas un komunikācijas tehnoloģiju RIS3 jomā - šifrēšanas programmatūra vai bezpilota lidaparāti; viedās enerģētikas un mobilitātes RIS3 jomā - enerģijas uzglabāšanas sistēmas vai enerģijas pārvaldības programmatūras; zināšanu ietilpīgas bioekonomikas RIS3 jomā - pārtikas konservēšanas tehnoloģijas vai ūdens apsaimniekošana/attīrīšana.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projekti “1.1.1.3. pasākuma “Praktiskas ievirzes pētījumi” īstenošanas noteikumi” (23-TA-611)“ un "Noteikumi par produktivitātes aizdevumiem uzņēmumu inovācijām” (23-TA-2315) paredz atbalstu pētniecības darbībām, kas ietver tehniski ekonomisko priekšizpēti, rūpnieciskos pētījumus un eksperimentālo izstrādni, lūdzam sniegt skaidrojumu, kā tiks nodrošināta demarkācija ar noteikumu projektā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sadarbības iestāde nodrošinās demarkācijas pārbaudes attiecībā pret komersantu dalību citās programmās, par kurām sadarbības iestādei būs pieejama informācija. Noteikumu projekta ietvaros finansējuma saņēmējam ir jānodrošina atsevišķas finanšu plūsmas. Anotācijā papildināta informācija, ka finansējuma saņēmējs nodrošina projekta īstenošanas finanšu plūsmas un darbību veidu skaidru nodalīšanu no citu finansējuma saņēmēja darbību finanšu plūsmām un darbību veidiem, tai skaitā novēršot dubultā finansējuma neiestāšanos un pārklāšanos ar citiem valsts un ārvalstu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sadaļas V. "Projekta īstenošanas un finansējuma saņemšanas nosacījumi"apakšsadaļā "Pušu tiesības un pienākumi" vienotas finansējuma saņēmēju izpratnes nodrošināšanai, MKN projektā un/vai anotācijā iekļaut informāciju ar produktivitātes definīciju un kā tā ir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“Prasības projekta iesniedzējam un projekta vērtēšanai” ar informāciju par produktivitātes definīciju un tās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sadaļā "I Vispārīgie jautājumi" skaidrot, kāda un kādos gadījumos lielajiem komersantiem būs motivācija sadarboties ar MVU P&amp;I darbībās, ņemot vērā, ka tieši lielajiem komersantiem pašiem ir sava P&amp;A kapacitāte un individuālu pētījumu gadījumos tiem lielākoties nav nepieciešams piesaistīt p atzinātniskās institūcijas. No otras puses, nav lietderīgi MKN iekļaut komersantiem neizpildāmas normas un/ vai normas, kas veicina mākslīgu sadarbību veidošanu, lai izpildītu kvalificēšanās atbalstam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punktā "Pašreizējā situācija, problēmas un risinājums" dzēst sadaļas "I Vispārīgie jautājumi " pēdējo teikumu, ievērojot to, ka atbilstoši Programmai 1.2.1.1. pasākumā nav plānoti stratēģiski svarīgi projekti (šādas informācijas nav arī FM sagatavotajos Programmas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noteikumu anotācijā atbilstoši iebildumā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ievērojot, ka 1. un 1.1.punktā jānorāda Eiropas Reģionālās attīstības fonda finansējuma daļa, 2. un 2.1.punktā kopējais finansējuma apmērs, savukārt 3., 3.1., 5. un 5.1. punktā valsts budžeta finansējuma daļa. Vienlaikus 6.punktā lūdzam norādīt kopējā finansējuma sadalījumu pa gadiem, jo šobrīd ir sadalījums tikai Eiropas Reģionālās attīstības fonda finansējuma daļai. Papildus lūdzam izvērtēt un nepieciešamības gadījumā precizēt punktā “Cita informāciju” norādīto ministriju, kura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ņemot vērā, ka atbilstoši noteikumu projekta 13.punktam līgums par projekta īstenošanu tiek slēgts starp sadarbības iestādi, kas ir Centrālā finanšu un līgumu aģentūra,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atbilstoši iebilduma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8.2. sadaļu ar informāciju par pasākuma 1.2.1.1.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https://www.lm.gov.lv/lv/vadlinijas-horizontala-principa-vienlidziba-ieklausana-nediskriminacija-un-pamattiesibu-ieverosana-istenosanai-un-uzraudzibai-2021-2027,skat.vadlīniju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HP vērtēšanas kritērija veidu, kurš tiks piemērots projektu iesniegumu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iesniegumu vērtēšanas kritērija veidu, kura ietvaros projekta iesniedzējam ir jāsniedz informācija par šī horizontālā principa ievērošanu, paredzot vispārīgas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horizontālā principa “Vienlīdzība, iekļaušana, nediskriminācija un pamattiesību ievērošana” īstenošanai un uzraudzībai (2021-2027), pasākumam nav ietekmes uz HP VINPI. Lai  nodrošinātu, ka projektu īstenošanā tiek veicināta vienlīdzība, iekļaušana, nediskriminācija un  ievērotas  pamattiesības, projekta projektu iesniegumu vērtēšanā tiks piemērots HP VINPI specifiskais atbilstības kritērijs. Kritērijā tiks vērtēts, vai projekta iesniegumā ir paredzēta vismaz viena specifiskā HP VINPI darbība, kas attiecas uz publicitāti, personālu vai publiskajiem iepirkumiem.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 ar iebildumā minēto informāciju. Noteikts kritērijs horizontālā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03.05. sanāksmē no EM izskanējušo informāciju, ka atbalstāmi būs arī aizsardzības nozares pētījumi, lūdzu izvērtēt, vai atbalsta programmā nebūtu iekļaujams atbalsts atbilstoši Regulas Nr.651/2014 25. e nosacījumiem, proti, atbalsta intensitātes būtu augstākas, līdz 100%, ja ir iespējams izpildīt visus Regulas Nr.651/2014 25. e nosacījumus. (CFLA komentārs, Līga Grantiņa).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GBER 25.e. panta un 25.panta nosacījumi nav savienojams, jo 25.e panta nosacījumi paredz, ka intensitātes nevar pārsniegt 25. panta 5., 6. un 7.punktā noradīto, līdz ar ko Ekonomikas ministrija GBER 25.e panta nosacījumus pētniecības atbalsta programmā nepiemēros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izstrādāto un Ministru kabinetā apstiprināto Latvijas ekonomikas izaugsmes stratēģiju, kurā ir noteikti ļoti ambiciozi mērķi, LTRK aicina Ekonomikas ministriju, izstrādājot nākotnes atbalsta programmas, paredzēt lielākas iespējas atbalstam kvalificēties jaunuzņēmumiem vai pilnveidot jaunuzņēmumiem esošās programmas. Šobrīd ir vairākas programmas, kuru kritēriji liedz jaunuzņēmumiem tām kvalificēties.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izstrādājot šo atbalsta programmu atvieglojusi nosacījumus priekš jauniem komersantiem, kam netiek piemēroti darba samaksas un apgrozījuma kritēriji. Ekonomikas ministrija arī turpmāk plāno pilnveidot atbalsta sniegšanu, padarot to ar vien pieejamāku jauniem komersantiem.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2.1.apakšpunktu, pēc nepieciešamības papildinot noteikumu projekta 15.punktu. Vienlaikus vēršam uzmanību, ka atbilstoši Eiropas Savienības fondu regulējumam nav korekti norādīt, ka projekta iesniedzējs, ar kuru sadarbības iestāde noslēgusi līgumu par projekta īstenošanu, pēc līguma noslēgšanas kļūst par gala labuma guvēju, ņemot vērā, ka gala labuma guvējam ir specifiska loma Eiropas Savienības fondu projektu īstenošanā. Līdz ar to lūdzam svītrot minēto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termina iekļaušana noteikumu projektā saistāma ar atbilstošas informācijas iekļaušanu, kas saskan ar Darbības programmā iekļauto informāciju, līdz ar ko termins būtu saglabājams. Vienlaikus informācija par finansējuma saņēmēju, kurš pēc līgums noslēgšanas kļūst par gala labuma guvēju, no noteikumu projekta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kā arī lielā saimnieciskās darbības subjekta statusam saskaņā ar Komisijas regulas Nr. 651/2014 2.panta 24.punktu, ar nosacījumu, ja pētniecības un inovāciju aktivitāšu īstenošanai tiek piesaistīti sīkie (mikro), mazie un vidējie komersanti, ar kuru sadarbības iestāde noslēgusi līgumu par projekta īstenošanu (turpmāk –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definējumā trūkst "lielie saimnieciskās darbības veicēji..", kas ir atbalstāmi saskaņā ar MK noteikumu projekta. 4.punktu. Lūgums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finansējuma saņēmēja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kā arī lielā saimnieciskās darbības subjekta statusam saskaņā ar Komisijas regulas Nr. 651/2014 2.panta 24.punktu, ar nosacījumu, ja pētniecības un inovāciju aktivitāšu īstenošanai tiek piesaistīti sīkie (mikro), mazie un vidējie komersanti, ar kuru sadarbības iestāde noslēgusi līgumu par projekta īstenošanu (turpmāk –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finansējuma saņēmējus, lūdzam noteikumu projektā un/vai anotācijā paredzēt, ka attiecībā uz šo noteikumu projekta 2.1. apakšpunktā norādīto uzņēmuma statusu tiek ieviests deklarācijas princips, kā to paredz Valdības rīcības plāna 035 uzdevums, pieejams elektroniski šeit: https://tapportals.mk.gov.lv/structuralizer/data/nodes/e256f693-1185-47b3-b7c1-65b69a9a4511/download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sadaļa papildināta ar lielā saimnieciskās darbības veicēja statusu, vienlaikus anotācijā iekļauts skaidrojumus, ka komersanti, kuri atbilst mazas vidējas kapitalizācijas sabiedrības vai vidējās kapitalizācijas sabiedrības statusam, ievēro pašdeklarēšanās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kā arī lielā saimnieciskās darbības subjekta statusam saskaņā ar Komisijas regulas Nr. 651/2014 2.panta 24.punktu, ar nosacījumu, ja pētniecības un inovāciju aktivitāšu īstenošanai tiek piesaistīti sīkie (mikro), mazie un vidējie komersanti, ar kuru sadarbības iestāde noslēgusi līgumu par projekta īstenošanu (turpmāk –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produktivitāte - finansējuma saņēmēja nodarbināto darba algas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rosina precizēt produktivitātes definējumu šo MK noteikumu ietvaros, ņemot vērā, ka (nomināls) nodarbināto algu pieaugums neliecina viennozīmīgi par uzņēmuma darbības produktivitātes (ražīguma) pieaugumu. Tāpat arī, ņemot vērā programmas mērķi - atbalsts jaunu produktu, pakalpojumu un tehnoloģiju izstrādei - šādā izpratnē produktivitāte ne vienmēr nozīme strauju atalgojuma pieaugumu komersanta darbiniekiem, jo investīcijām var būt dažādi atdeves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visās SAM 1.2.1. atbalsta programmās tiek piemērots vienāds produktivitātes definējums, attiecīgi izmaiņas 1.2.1.1. pasākuma trešās kārtas ietvaros nav atbalstāmas.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produktivitāte ir augsta, tad arī uzņēmumu darbiniekiem būs augsti ienākumi. Ja šī likumsakarība netiek ievērota un uz iekšējo pieprasījumu orientētās nozarēs (pārsvarā pakalpojumu nozares) algas aug straujāk,  tad veidojas inflācija un tiek zaudēta konkurētspēja un eksports sarūk. Līdz ar to būtiski ir vērtēt, kā sniegtais valsts atbalsts ietekmē atbalstīto uzņēmumu darba algas, vai ir vērojams to pieaugums. Attiecīgi līdz ar šiem noteikumiem tiek noteikts, ka produktivitātes rādītājs ir tiešā mērā vērtējams ar darba algas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produktivitāte - finansējuma saņēmēja nodarbināto darba algas pieaugums;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sīkais (mikro), mazais un vidējais komersants – komersants, kas atbilst Komisijas regulas Nr. 651/2014 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2.1.punktā ir noteikts finansējuma saņēmējs, kas atbilst sīkā (mikro), mazā vai vidējā saimnieciskās darbības subjekta statusam, dodot atsauci uz Komisijas regula Nr. 651/2014 2. panta 2. punktu, kas nosaka, ka "“mazie un vidējie uzņēmumi” jeb “MVU” ir uzņēmumi, kas atbilst I pielikumā noteiktajiem kritērijiem", aicinām izvērtēt noteikumu 2.5.punkta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“izstrāde”, attiecinot to gan uz pētniecības, gan uz attīstības projektiem. Pasākuma mērķī papildus izstrādei būtu jānorāda pētniecība un attīstība, vai tikai pētniecība un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pētniecībai un attīstībai (P&amp;A)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mērķis ir jaunu duāla pielietojuma produktu un tehnoloģiju izstrāde, kas primāri ietver pētniecības aktivitātes, vienlaikus nodrošinot komersantiem veikt priekšizpēti, lai palielinātu komercializācijas potenciālu. Līdz ar to Noteikumu projekta punkts saglabāts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Ekonomikas ministriju pasākuma mērķa formulējumā vārdu savienojumu "duālas nozīmes" aizstāt ar "duāla pielietojuma" (noteikumu projektā nav veikts precizējums pretēji izziņas 83.punktā norādītajam). Vienlaikus vēršam Ekonomikas ministrijas uzmanību, ka termins "produkts" mārketinga teorijā aptver gan preces, gan pakalpojumus, tāpēc lietojot terminu "produkts", nav atsevišķi jāizdala "pakalpojumi". Aicinām precizēt noteikumu projekta 3.punktu, izdalot (1) vai nu preču, pakalpojumu un tehnoloģiju izstrādi vai minot (2) produktu un tehnoloģiju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finansējuma pieejamības nodrošināšana uzņēmumu duāla </w:t>
            </w:r>
            <w:r w:rsidR="00000000" w:rsidRPr="00000000" w:rsidDel="00000000">
              <w:rPr>
                <w:u w:val="single"/>
                <w:rtl w:val="0"/>
              </w:rPr>
              <w:t xml:space="preserve">pielietojuma</w:t>
            </w:r>
            <w:r w:rsidR="00000000" w:rsidRPr="00000000" w:rsidDel="00000000">
              <w:rPr>
                <w:rtl w:val="0"/>
              </w:rPr>
              <w:t xml:space="preserve"> jaunu</w:t>
            </w:r>
            <w:r w:rsidR="00000000" w:rsidRPr="00000000" w:rsidDel="00000000">
              <w:rPr>
                <w:u w:val="single"/>
                <w:rtl w:val="0"/>
              </w:rPr>
              <w:t xml:space="preserve"> preču</w:t>
            </w:r>
            <w:r w:rsidR="00000000" w:rsidRPr="00000000" w:rsidDel="00000000">
              <w:rPr>
                <w:rtl w:val="0"/>
              </w:rPr>
              <w:t xml:space="preserve">, pakalpojumu un tehnoloģiju izstrādei aizsardzības un drošības jomā, piesaistot ERAF finansējumu un privāto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duālas nozīmes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izvērtēt nepieciešamību pasākuma mērķa formulējumā vārdu savienojumu "duālas nozīmes" aizstāt ar "duāla pielietojuma".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w:t>
            </w:r>
            <w:r w:rsidR="00000000" w:rsidRPr="00000000" w:rsidDel="00000000">
              <w:rPr>
                <w:u w:val="single"/>
                <w:rtl w:val="0"/>
              </w:rPr>
              <w:t xml:space="preserve">pielietojuma</w:t>
            </w:r>
            <w:r w:rsidR="00000000" w:rsidRPr="00000000" w:rsidDel="00000000">
              <w:rPr>
                <w:rtl w:val="0"/>
              </w:rPr>
              <w:t xml:space="preserve"> jaunu produktu, pakalpojumu un tehnoloģiju izstrādei aizsardzības un drošības jomā,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investīcijas tiek cita starpā veiktas ar mērķi, lai veicinātu eksporta un produktivitātes rezultātu pieaugumu, aicinām EM izteikt pasākuma mērķa formulējumu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 lai veicinātu eksporta un produktivitātes pieaugumu un dotu pienesumu RIS3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Finanšu ministrijas komentāru un skaidro, ka pasākuma mērķis netiek mainīts, ņemot vērā Valsts kontroles auditu un tas ir formulēts atbilstoši audita norādījumiem, pasākuma ietvaros tiks vērtēta ieguldījumu veikšana RIS3 jomu attīstībā, produktivitātē un eksportā, atbilstoši MK noteikumu 63.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duāla pielietojuma jaunu produktu un tehnoloģiju izstrādei aizsardzības un drošības jomā, piesaistot ERAF finansējumu un privāto līdzfinansējumu.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Latvijas Republika.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punktu vai skaidrot - vai šis definējums neierobežos projekta aktivitāšu veikšanu ārpus Latvijas, kas arī ir paredzēta konkrētajā atbalsta programmā un par ko arī var tikt piešķirta papildus atbalsta intensitāte (ja sadarbojas vairāku ES vai EEZ valstu komersanti)?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atbalsts tiek paredzēts sniegt tikai Latvijas Republikā reģistrētiem komersantiem, kuri aktivitātes var realizē gan Latvijā, gan ārvalstīs.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Latvijas Republika.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27 375 400 </w:t>
            </w:r>
            <w:r w:rsidR="00000000" w:rsidRPr="00000000" w:rsidDel="00000000">
              <w:rPr>
                <w:i w:val="1"/>
                <w:rtl w:val="0"/>
              </w:rPr>
              <w:t xml:space="preserve">euro </w:t>
            </w:r>
            <w:r w:rsidR="00000000" w:rsidRPr="00000000" w:rsidDel="00000000">
              <w:rPr>
                <w:rtl w:val="0"/>
              </w:rPr>
              <w:t xml:space="preserve">apmērā, tai skaitā ERAF finansējumu - 23 269 090 </w:t>
            </w:r>
            <w:r w:rsidR="00000000" w:rsidRPr="00000000" w:rsidDel="00000000">
              <w:rPr>
                <w:i w:val="1"/>
                <w:rtl w:val="0"/>
              </w:rPr>
              <w:t xml:space="preserve">euro </w:t>
            </w:r>
            <w:r w:rsidR="00000000" w:rsidRPr="00000000" w:rsidDel="00000000">
              <w:rPr>
                <w:rtl w:val="0"/>
              </w:rPr>
              <w:t xml:space="preserve">apmērā, valsts budžeta finansējumu 4 106 310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7.punktā precizēt valsts budžeta finansējuma un kopējā pasākumam pieejamā finansējuma apmēru, ņemot vērā 6.punktā paredzēto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pieejamais 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26 954 264 </w:t>
            </w:r>
            <w:r w:rsidR="00000000" w:rsidRPr="00000000" w:rsidDel="00000000">
              <w:rPr>
                <w:i w:val="1"/>
                <w:rtl w:val="0"/>
              </w:rPr>
              <w:t xml:space="preserve">euro </w:t>
            </w:r>
            <w:r w:rsidR="00000000" w:rsidRPr="00000000" w:rsidDel="00000000">
              <w:rPr>
                <w:rtl w:val="0"/>
              </w:rPr>
              <w:t xml:space="preserve">apmērā, tai skaitā ERAF finansējumu - 22 911 123 </w:t>
            </w:r>
            <w:r w:rsidR="00000000" w:rsidRPr="00000000" w:rsidDel="00000000">
              <w:rPr>
                <w:i w:val="1"/>
                <w:rtl w:val="0"/>
              </w:rPr>
              <w:t xml:space="preserve">euro </w:t>
            </w:r>
            <w:r w:rsidR="00000000" w:rsidRPr="00000000" w:rsidDel="00000000">
              <w:rPr>
                <w:rtl w:val="0"/>
              </w:rPr>
              <w:t xml:space="preserve">apmērā, valsts budžeta finansējumu 4 043 141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kopējais pieejamais finansējums ir 27 375 400 </w:t>
            </w:r>
            <w:r w:rsidR="00000000" w:rsidRPr="00000000" w:rsidDel="00000000">
              <w:rPr>
                <w:i w:val="1"/>
                <w:rtl w:val="0"/>
              </w:rPr>
              <w:t xml:space="preserve">euro</w:t>
            </w:r>
            <w:r w:rsidR="00000000" w:rsidRPr="00000000" w:rsidDel="00000000">
              <w:rPr>
                <w:rtl w:val="0"/>
              </w:rPr>
              <w:t xml:space="preserve">, tai skaitā ERAF finansējums 23 269 090 </w:t>
            </w:r>
            <w:r w:rsidR="00000000" w:rsidRPr="00000000" w:rsidDel="00000000">
              <w:rPr>
                <w:i w:val="1"/>
                <w:rtl w:val="0"/>
              </w:rPr>
              <w:t xml:space="preserve">euro</w:t>
            </w:r>
            <w:r w:rsidR="00000000" w:rsidRPr="00000000" w:rsidDel="00000000">
              <w:rPr>
                <w:rtl w:val="0"/>
              </w:rPr>
              <w:t xml:space="preserve"> un valsts budžeta finansējums 4 106 310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nodrošinātu viennozīmīgu normas interpretāciju, lūdzam noteikumu projekta 7.punktu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27 375 400 </w:t>
            </w:r>
            <w:r w:rsidR="00000000" w:rsidRPr="00000000" w:rsidDel="00000000">
              <w:rPr>
                <w:i w:val="1"/>
                <w:rtl w:val="0"/>
              </w:rPr>
              <w:t xml:space="preserve">euro</w:t>
            </w:r>
            <w:r w:rsidR="00000000" w:rsidRPr="00000000" w:rsidDel="00000000">
              <w:rPr>
                <w:rtl w:val="0"/>
              </w:rPr>
              <w:t xml:space="preserve"> apmērā, tai skaitā ERAF finansējumu – 23 269 090 </w:t>
            </w:r>
            <w:r w:rsidR="00000000" w:rsidRPr="00000000" w:rsidDel="00000000">
              <w:rPr>
                <w:i w:val="1"/>
                <w:rtl w:val="0"/>
              </w:rPr>
              <w:t xml:space="preserve">euro</w:t>
            </w:r>
            <w:r w:rsidR="00000000" w:rsidRPr="00000000" w:rsidDel="00000000">
              <w:rPr>
                <w:rtl w:val="0"/>
              </w:rPr>
              <w:t xml:space="preserve"> apmērā, valsts budžeta finansējumu – 4 106 310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26 954 264 </w:t>
            </w:r>
            <w:r w:rsidR="00000000" w:rsidRPr="00000000" w:rsidDel="00000000">
              <w:rPr>
                <w:i w:val="1"/>
                <w:rtl w:val="0"/>
              </w:rPr>
              <w:t xml:space="preserve">euro </w:t>
            </w:r>
            <w:r w:rsidR="00000000" w:rsidRPr="00000000" w:rsidDel="00000000">
              <w:rPr>
                <w:rtl w:val="0"/>
              </w:rPr>
              <w:t xml:space="preserve">apmērā, tai skaitā ERAF finansējumu - 22 911 123 </w:t>
            </w:r>
            <w:r w:rsidR="00000000" w:rsidRPr="00000000" w:rsidDel="00000000">
              <w:rPr>
                <w:i w:val="1"/>
                <w:rtl w:val="0"/>
              </w:rPr>
              <w:t xml:space="preserve">euro </w:t>
            </w:r>
            <w:r w:rsidR="00000000" w:rsidRPr="00000000" w:rsidDel="00000000">
              <w:rPr>
                <w:rtl w:val="0"/>
              </w:rPr>
              <w:t xml:space="preserve">apmērā, valsts budžeta finansējumu 4 043 141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palielināt pasākumam kopējo pieejamo attiecināmo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maksimālajam apmēram, paredzot jaunu, slēgtu projekta iesnieguma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punktā vārdu "slēgtu", jo atbilstoši Eiropas Savienības fondu 2021.—2027. gada plānošanas perioda vadības likuma 20. panta pirmajai daļai ir divi projektu iesniegumu atlases veidi - atklātas projektu iesniegumu atlases un ierobežotas projektu iesniegumu atlases, nevis slēgtas projektu iesniegumu atlases.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8.punktu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w:t>
            </w:r>
            <w:r w:rsidR="00000000" w:rsidRPr="00000000" w:rsidDel="00000000">
              <w:rPr>
                <w:u w:val="single"/>
                <w:rtl w:val="0"/>
              </w:rPr>
              <w:t xml:space="preserve">no 2026. gada 1. janvāra</w:t>
            </w:r>
            <w:r w:rsidR="00000000" w:rsidRPr="00000000" w:rsidDel="00000000">
              <w:rPr>
                <w:rtl w:val="0"/>
              </w:rPr>
              <w:t xml:space="preserve"> palielināt pasākumam kopējo pieejamo attiecināmo finansējumu līdz šo noteikumu 6. punktā minētajam plānotajam maksimālajam apmēram, paredzot jaunu </w:t>
            </w:r>
            <w:r w:rsidR="00000000" w:rsidRPr="00000000" w:rsidDel="00000000">
              <w:rPr>
                <w:u w:val="single"/>
                <w:rtl w:val="0"/>
              </w:rPr>
              <w:t xml:space="preserve">atklātu</w:t>
            </w:r>
            <w:r w:rsidR="00000000" w:rsidRPr="00000000" w:rsidDel="00000000">
              <w:rPr>
                <w:rtl w:val="0"/>
              </w:rPr>
              <w:t xml:space="preserve">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noteikumu projekta punktā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no 2026. gada 1. janvāra palielināt pasākumam kopējo pieejamo attiecināmo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maksimālajam apmēram, paredzot jaunu atklātu projektu iesniegumu atlases kārtu, elastības finansējuma apmēru iekļaujot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noslēguma kārtā.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w:t>
            </w:r>
            <w:r w:rsidR="00000000" w:rsidRPr="00000000" w:rsidDel="00000000">
              <w:rPr>
                <w:rtl w:val="0"/>
              </w:rPr>
              <w:t xml:space="preserve">, maksimāli pieļaujamais finansējums viena projekta ietvaros ir 500 000 </w:t>
            </w:r>
            <w:r w:rsidR="00000000" w:rsidRPr="00000000" w:rsidDel="00000000">
              <w:rPr>
                <w:i w:val="1"/>
                <w:rtl w:val="0"/>
              </w:rPr>
              <w:t xml:space="preserve">euro</w:t>
            </w:r>
            <w:r w:rsidR="00000000" w:rsidRPr="00000000" w:rsidDel="00000000">
              <w:rPr>
                <w:rtl w:val="0"/>
              </w:rPr>
              <w:t xml:space="preserve">, tai skaitā ERAF finansējums 425 000 </w:t>
            </w:r>
            <w:r w:rsidR="00000000" w:rsidRPr="00000000" w:rsidDel="00000000">
              <w:rPr>
                <w:i w:val="1"/>
                <w:rtl w:val="0"/>
              </w:rPr>
              <w:t xml:space="preserve">euro, </w:t>
            </w:r>
            <w:r w:rsidR="00000000" w:rsidRPr="00000000" w:rsidDel="00000000">
              <w:rPr>
                <w:rtl w:val="0"/>
              </w:rPr>
              <w:t xml:space="preserve">valsts budžeta finansējums 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vienam projekta iesniegumam noteikto minimāli un maksimāli pieļaujamo finansējuma apmēru viena projekta ietvaros vai sasniedzamo iznākuma rādītāju, ievērojot to, ka grozījumi Programmā vēl ir saskaņošanas procesā. Vēršam uzmanību, ka, pat tad, ja visi projekti tiks iesniegti par maksimālo finansējuma apmēru, pasākuma ietvaros iespējams sniegt atbalstu lielākam skaitam uzņēmumu (27 626 486/425 000 = 65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noteikumu projekta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 </w:t>
            </w:r>
            <w:r w:rsidR="00000000" w:rsidRPr="00000000" w:rsidDel="00000000">
              <w:rPr>
                <w:rtl w:val="0"/>
              </w:rPr>
              <w:t xml:space="preserve">(ieskaitot), maksimāli pieļaujamais finansējums viena projekta ietvaros ir 1 000 000 </w:t>
            </w:r>
            <w:r w:rsidR="00000000" w:rsidRPr="00000000" w:rsidDel="00000000">
              <w:rPr>
                <w:i w:val="1"/>
                <w:rtl w:val="0"/>
              </w:rPr>
              <w:t xml:space="preserve">euro </w:t>
            </w:r>
            <w:r w:rsidR="00000000" w:rsidRPr="00000000" w:rsidDel="00000000">
              <w:rPr>
                <w:rtl w:val="0"/>
              </w:rPr>
              <w:t xml:space="preserve">no projekta ietvaros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w:t>
            </w:r>
            <w:r w:rsidR="00000000" w:rsidRPr="00000000" w:rsidDel="00000000">
              <w:rPr>
                <w:rtl w:val="0"/>
              </w:rPr>
              <w:t xml:space="preserve">, maksimāli pieļaujamais finansējums viena projekta ietvaros ir 500 000 </w:t>
            </w:r>
            <w:r w:rsidR="00000000" w:rsidRPr="00000000" w:rsidDel="00000000">
              <w:rPr>
                <w:i w:val="1"/>
                <w:rtl w:val="0"/>
              </w:rPr>
              <w:t xml:space="preserve">euro</w:t>
            </w:r>
            <w:r w:rsidR="00000000" w:rsidRPr="00000000" w:rsidDel="00000000">
              <w:rPr>
                <w:rtl w:val="0"/>
              </w:rPr>
              <w:t xml:space="preserve">, tai skaitā ERAF finansējums 425 000 </w:t>
            </w:r>
            <w:r w:rsidR="00000000" w:rsidRPr="00000000" w:rsidDel="00000000">
              <w:rPr>
                <w:i w:val="1"/>
                <w:rtl w:val="0"/>
              </w:rPr>
              <w:t xml:space="preserve">euro, </w:t>
            </w:r>
            <w:r w:rsidR="00000000" w:rsidRPr="00000000" w:rsidDel="00000000">
              <w:rPr>
                <w:rtl w:val="0"/>
              </w:rPr>
              <w:t xml:space="preserve">valsts budžeta finansējums 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2.punktam, projektos līdz 200 000 EUR (ieskaitot) visām izmaksām jābūt segtām, piemērojot vienkāršotās izmaksas. Attiecīgi pēc šīs noteikumu projekta redakcijas saprotams, ka uz projektiem var attiekties šis regulas nosacījums un visām izmaksām būtu jābūt segtām ar vienkāršotajām izmaksām. Aicinām precizēt redakciju un anotāciju, lai viennozīmīgi skaidrs, ka minētās regulas prasība nav attiecināma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projekta iesniegumam minimālais kopējo attiecināmo izmaksu apmērs nav mazāk par 200 000 euro (ieskaitot), maksimāli pieļaujamais finansējums viena projekta ietvaros ir 500 000 euro, tai skaitā ERAF finansējums 425 000 euro, valsts budžeta finansējums 75 000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kā arī anotācijā iekļautā informācija precizēta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 </w:t>
            </w:r>
            <w:r w:rsidR="00000000" w:rsidRPr="00000000" w:rsidDel="00000000">
              <w:rPr>
                <w:rtl w:val="0"/>
              </w:rPr>
              <w:t xml:space="preserve">(ieskaitot), maksimāli pieļaujamais finansējums viena projekta ietvaros ir 1 000 000 </w:t>
            </w:r>
            <w:r w:rsidR="00000000" w:rsidRPr="00000000" w:rsidDel="00000000">
              <w:rPr>
                <w:i w:val="1"/>
                <w:rtl w:val="0"/>
              </w:rPr>
              <w:t xml:space="preserve">euro </w:t>
            </w:r>
            <w:r w:rsidR="00000000" w:rsidRPr="00000000" w:rsidDel="00000000">
              <w:rPr>
                <w:rtl w:val="0"/>
              </w:rPr>
              <w:t xml:space="preserve">no projekta ietvaros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rezultāta rādītājs - publisko atbalstu papildinošo privāto investīciju apjoms vismaz 15 194 567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kāds dokuments noteikumu projekta 10.2.apakšpunktā uzskatāms kā pierādījums, kas pamatos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Privāto investīciju apjoms tiks noteikts pēc Kohēzijas politikas fondu vadības informācijas sistēmā pieejamās informācijas(apstiprinātie noslēguma maksājuma pieprasījumi).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rezultāta rādītājs - publisko atbalstu papildinošo privāto investīciju apjoms vismaz 13 468 724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komercdarbības atbalsts tiek sniegts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11.punktā svītrot vārdu "komercdarbības", jo pasākuma ietvaros noteikumu projektā norāda plānoto atbalsta veidu (grantu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atbalsts tiek sniegts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paredzēts atbalsts duāliem produktiem, kas pielietojami aizsardzības jomā, aicinām izvērtēt iespēju noteikt ierobežojumu, ka projektā uz atbalstu nevar pretendēt uzņēmumi, kas eksportē uz Krieviju un Baltkrieviju.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69. punktā noteikto, lūdzam papildināt 14. punktu ar atbilstošu apakšpunktu, kas noteic, ka uz projekta iesniedzēju neattiecas neizpildīts līdzekļu atgūšanas rīkojums saskaņā ar Komisijas regulas Nr.651/2014 1.panta 4.punkta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projekta iesniegumus iesniedz projekta iesniedzējs, kurš pēc projekta iesnieguma apstiprināšanas ir finansējuma saņēmējs,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uz to 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atbilstoši iepriekš sniegtajam komentāram, ka uz projekta iesniedzēju </w:t>
            </w:r>
            <w:r w:rsidR="00000000" w:rsidRPr="00000000" w:rsidDel="00000000">
              <w:rPr>
                <w:b w:val="1"/>
                <w:u w:val="single"/>
                <w:rtl w:val="0"/>
              </w:rPr>
              <w:t xml:space="preserve">ne</w:t>
            </w:r>
            <w:r w:rsidR="00000000" w:rsidRPr="00000000" w:rsidDel="00000000">
              <w:rPr>
                <w:rtl w:val="0"/>
              </w:rPr>
              <w:t xml:space="preserve">attiecas līdzekļu atgūšanas rīkojums, kas minēts Komisijas regulas Nr. 651/2014 1. panta 4. punkta "a"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uz to neattiecas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uz to, tai skaitā saistīto uzņēmumu grupas līmenī, neattiecas līdzekļu atgūšanas rīkojums, kas minēts Komisijas regulas Nr. 651/2014 1. panta 4. punkta "a"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apstiprina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paredzot, ka iesaistītais nacionālais eksperts katrā viedās specializācijas (turpmāk - RIS3) jomā vai cits eksperts, nevis </w:t>
            </w:r>
            <w:r w:rsidR="00000000" w:rsidRPr="00000000" w:rsidDel="00000000">
              <w:rPr>
                <w:u w:val="single"/>
                <w:rtl w:val="0"/>
              </w:rPr>
              <w:t xml:space="preserve">apstiprina </w:t>
            </w:r>
            <w:r w:rsidR="00000000" w:rsidRPr="00000000" w:rsidDel="00000000">
              <w:rPr>
                <w:rtl w:val="0"/>
              </w:rPr>
              <w:t xml:space="preserve">projektā komersanta inovāciju, atbilstoši projekta specifikai, bet gan </w:t>
            </w:r>
            <w:r w:rsidR="00000000" w:rsidRPr="00000000" w:rsidDel="00000000">
              <w:rPr>
                <w:u w:val="single"/>
                <w:rtl w:val="0"/>
              </w:rPr>
              <w:t xml:space="preserve">izvērtē</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izvērtē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jomas atbilstības noteikšanai un inovācijas vērtēšanai,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un kritērijus piesaistāmo jomu ekspertu iesaistei, jo, piemēram, aizsardzības jomā šajā punktā minētā pieredze nav viennozīmīga inovācijas izvērtēšanai, jo jāņem vērā klienta specifika – publiskais sektors - kontekstā ar kura attīstības virzieniem un plāniem arī šīs inovācijas tiek radītas un arī izstrādes procesā vērtētas (nav tikai ES inovāciju atbalsta programmās iespējamie viedokļu/vērtējumu sniedzēji). Turklāt aicinām ņemt vērā, ka, piemēram, nacionālā līmēnī aizsardzības jomas ietvaros (kas ir svarīgi specifiskai saturiskai izvērtēšanai) līdz šim ir bijusi ierobežota apjoma atbalsta un inovāciju programmas, kur viens projekts var nesasniegt minētos 200 000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specifiskiem nosacījumiem attiecībā uz inovāciju vērtēšanu aizsardzības jomas projektiem, iesaistot atbilstošu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jomas atbilstības noteikšanai un inovācijas vērtēšanai,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24.punktu vairākas RIS3 jomas ir iespējamas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w:t>
            </w:r>
            <w:r w:rsidR="00000000" w:rsidRPr="00000000" w:rsidDel="00000000">
              <w:rPr>
                <w:u w:val="single"/>
                <w:rtl w:val="0"/>
              </w:rPr>
              <w:t xml:space="preserve">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Aizsardzības ministrijas vai tās resora pārstāvi, ja projekta iesniegumam nav pievienots šo noteikumu </w:t>
            </w:r>
            <w:r w:rsidR="00000000" w:rsidRPr="00000000" w:rsidDel="00000000">
              <w:rPr>
                <w:rtl w:val="0"/>
              </w:rPr>
              <w:t xml:space="preserve">22.4. </w:t>
            </w:r>
            <w:r w:rsidR="00000000" w:rsidRPr="00000000" w:rsidDel="00000000">
              <w:rPr>
                <w:rtl w:val="0"/>
              </w:rPr>
              <w:t xml:space="preserve">apakšpunktā</w:t>
            </w:r>
            <w:r w:rsidR="00000000" w:rsidRPr="00000000" w:rsidDel="00000000">
              <w:rPr>
                <w:rtl w:val="0"/>
              </w:rPr>
              <w:t xml:space="preserve"> minētais atzinums, pārstāvim nosakot vienu balsi no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aprakstīt vērtēšanas procesu, norādot, ka Aizsardzības ministrijas pārstāvis projektu vērtēšanā iesaistās, lai pieņemtu lēmumu vai projekts ir nozīmīgs starptautiska mēroga valstiski svarīgu inovāciju projektu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konsultējoties ar nozares uzņēmumu pārstāvošajām asociācijām veiktusi precizējumus noteikumu projektā un anotācijā. Noteikumu projekta anotācijā iekļauta šāda informācija: Sadarbības iestāde projektu iesniegumu vērtēšanas komisijā iekļauj atbildīgās iestādes pārstāvi, viedās specializācijas jomu atbilstības noteikšanai un Aizsardzības ministrijas pārstāvi, projektu iesniegumu inovācijas aspekta un zinātniskā aspekta vērtēšanai, kā arī starpposma un noslēguma rezultātu kvalitātes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 projektu iesniegumu inovācijas aspekta un zinātniskā aspekta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18.2.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nav vadošā kompetentā iestāde zinātniskā aspekta vērtēšanā, sagaidām iesaisti no atbildīgās un sadarbības iestādes, ieskaitot konsultācijas un cita veida atbalstu no iestādēm, kurām šobrīd jau ir piešķirts attiecīgs finansējums un pielīgts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vai tās nozīmētas iestādes pārstāvi projektu iesniegumu inovācijas, aktualitātes un pielietojamības aizsardzības jomā un zinātniskā aspekta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jomu atbilstības noteikšanai un inovācijas vērtēšanai, kā arī starpposma un noslēguma rezultātu zinātniskās kvalitātes izvērtēšanā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Atsuacoties uz 10.07. sanāksmē panākto vienošanos, atkārtoti aicinām MKN projektā precizēt ekspertu piesaisti, paredzot, ka inovācijas aspekta un zinātniskās komponentes vērtēšanai sadarbības iestāde ekspertu atzinumu pieprasa sadarbībā ar Latvijas Zinātnes padomi, atzinuma sniegšanai piesaistot ekspertus, kas reģistrēti Eiropas Komisijas vai līdzvērtīgās ekspertu datubāzēs (nepieciešamības gadījumā nodefinējot arī ekspertam izvirzāmās prasības). Vienlaikus rosinām tādējādi apvienot noteikumu projekta 19. un 20. punktu. Finansējuma avotu izmaksām, kas rodas, lai nodrošinātu ekspertu atzinumu saņemšanu, lūdzam atspoguļot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priekšlikumu un skaidro, ka sarunu rezultātā ar nozares uzņēmumu pārstāvošajām organizācijām, anotācijā iekļauts sekojošs skaidrojums: Sadarbības iestāde projektu iesniegumu vērtēšanas komisijā iekļauj atbildīgās iestādes pārstāvi, viedās specializācijas jomu atbilstības noteikšanai un Aizsardzības ministrijas pārstāvi, projektu iesniegumu inovācijas aspekta un zinātniskā aspekta vērtēšanai, kā arī starpposma un noslēguma rezultātu kvalitātes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citu saistītu pazīmju un pielietojuma vērtēšanai,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var piesaistīt citu ekspertu, kas nav saistīts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20.punkts paredz arī citu ekspertu iesaisti,  bet tikai “ja nepieciešams”, kas var būt subjektīvi un nenodrošināt programmā minēto mērķu sasniegšanu, vērtējot projektus  - īpaši tādā specifiskā jomā kā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kas paredz specifisko jomu ekspertu iesaisti vērtēšanā visiem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specifiskiem nosacījumiem attiecībā uz inovāciju vērtēšanu aizsardzības jomas projektiem, iesaistot atbilstošu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starpposma un noslēguma rezultātu zinātniskās kvalitātes izvērtēšanu, lūdzam MK noteikumos iekļaut vismaz šādus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starpposma zinātniskās kvalitātes izvērtējums tiek veikts tikai projektiem, kuru īstenošanas termiņš ir ilgāks par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par ekspertu piesaisti, paredzot ekspertu iesaisti sadarbībā ar Latvijas Zinātnes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zinātniskās kvalitātes izvērtējumiem nepieciešamo atskaišu standartformu un vērtēšanas kritēriju izstrādes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saņēmēja pienākumus un kārtību, kādā tiek ņemti vērā ekspertu sniegtie ieteikumi, kas sniegti starpposma zinātniskās kvalitātes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kas nosaka sadarbības iestādes rīcību, ja eksperta starpposma atzinums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kas nosaka sadarbības iestādes tiesības izmantot eksperta noslēguma rezultātu atzinumu, vērtējot projektā sasniegtos mērķus un rezultātus, tai skaitā sadarbības iestādes tiesības piemērot korekciju projektiem, kuru noslēguma zinātniskās kvalitātes izvērtējums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sarunām ar nozares uzņēmumu pārstāvošajām organizācijām veikusi precizējumu noteikumu projektā, kur inovāciju un zinātniskā akspekta vērtēšanu nodoršina Aizsardzības ministrija, ņemot vērā, ka atbalsta pasākums paredzēts tieši duālas nozīmes jaunu produktu, pakalpojumu un tehnoloģiju izstrādei aizsardzības un drošibas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starpposma un noslēguma rezultātu zinātniskās kvalitātes izvērtēšanas nosacījumus iekļaut MK noteikumu sadaļā "V. Projekta īstenošanas un finansējuma saņemšanas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ne mazāk kā divus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svītrojot prasību pēc vismaz divu tieši starptautisku ekspertu piesaistes, bet piesaistot tos pēc nepieciešamības - nacionāla vai starptautiska līmeņa - taču atbilstoši šim: nav saistīti ar projektu Komisijas regulas Nr. 2018/1046 61. panta izpratnē, un nosaka tam nepieciešamo kvalifikāciju, ko saskaņo ar atbildīgo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Minams, ka, piemēram, aizsardzības jomā svarīga ir gan nacionāla, gan starptautiskā dimensija, bet tieši arī lokālo aizsardzības spēju attīstības prioritātes tieši var sekmēt jaunu produktu un pakalpojumu attīstību Latvijā, ko var vērtēt šāds nacionālais eksperts, pēc tam arī nodrošinot starptautisko tirgu apgūšanu, ko var savukārt vērtēt šāds starptautisks eksperts.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19. punktā minētais nacionālais eksperts, iepirkuma procedūrā iesaista ne mazāk kā </w:t>
            </w:r>
            <w:r w:rsidR="00000000" w:rsidRPr="00000000" w:rsidDel="00000000">
              <w:rPr>
                <w:u w:val="single"/>
                <w:rtl w:val="0"/>
              </w:rPr>
              <w:t xml:space="preserve">divus nacionāla vai starptautiska līmeņa ekspertus</w:t>
            </w:r>
            <w:r w:rsidR="00000000" w:rsidRPr="00000000" w:rsidDel="00000000">
              <w:rPr>
                <w:rtl w:val="0"/>
              </w:rPr>
              <w:t xml:space="preserve">,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dzēšot prasību par ne mazāk kā divu starptautisku ekspertu iesaisti, saglabājot starptautisku ekspertu iesaisti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ne mazāk kā divus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šīs atbalsta programmas īstenošanā projektu zinātniskās kvalitātes vērtēšanā piemērot līdzīgu mehānismu, kāds paredzēts Izglītības un zinātnes ministrijas atbildībā esošajā atbalsta pasākumā "Praktiskas ievirzes pētījumi", proti, iesaistot Latvijas Zinātnes padomi ekspertīžu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Izglītības un zinātnes ministriju par tās atbildībā esošo atbalsta pasākumu "Praktiskas ievirzes pētījumi", secināts, ka Latvijas Zinātnes padomes iesaiste ekspertīžu nodrošināšanā ir komplicēta un neefektīva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jomai,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24.punktu vairākas RIS3 jomas ir iespējamas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w:t>
            </w:r>
            <w:r w:rsidR="00000000" w:rsidRPr="00000000" w:rsidDel="00000000">
              <w:rPr>
                <w:u w:val="single"/>
                <w:rtl w:val="0"/>
              </w:rPr>
              <w:t xml:space="preserve">ām</w:t>
            </w:r>
            <w:r w:rsidR="00000000" w:rsidRPr="00000000" w:rsidDel="00000000">
              <w:rPr>
                <w:rtl w:val="0"/>
              </w:rPr>
              <w:t xml:space="preserve">,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cita iebilduma ietvaros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informāciju par plānoto un piešķirto atbalstu tam pašam projekta mērķim, tai skaitā par attiecināmajām izmaksām, norādot atbalsta piešķiršanas datumu, atbalsta sniedzēju, atbalsta pasākumu, plānoto un piešķirto atbalsta summu un atbalsta intensitāti,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jo šobrīd definējums “atbalsts tam pašam projekta mērķim” nav viennozīmīgi skaidri saprotams un var arī tikt neviennozīmīgi pēc tam saprasts no projekta pieteicēju/īstenotāju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svarīgi ir dubultā finansējuma izslēgšana, līdz ar to ir arī jābūt skaidram šim definējumam.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cita iebilduma ietvaros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iesniedzēja gada pārskatu vai citu apliecinošu dokumentu, kas pamato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komersanta apgrozījumu ir publiski pieejami, arī par atalgojumu un nebūtu lietderīgi komersantiem prasīt iesniegt datus, kas ir publiski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iespējams, var būt brīvprātīgi – ja, piemēram, nav iesniegts vēl/publiski pieejams pēdējais gada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iesniedzēja gada pārskatu vai citu apliecinošu dokumentu, kas pamato šonoteikumu 15.2. un 15.3. apakšpunktā noteikto informāciju,</w:t>
            </w:r>
            <w:r w:rsidR="00000000" w:rsidRPr="00000000" w:rsidDel="00000000">
              <w:rPr>
                <w:u w:val="single"/>
                <w:rtl w:val="0"/>
              </w:rPr>
              <w:t xml:space="preserve"> ja tā nav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projekta iesniedzēja parakstītu apliecinājumu par interešu konflikta neesību, kā arī to, ka projekta īstenošanas laikā tiks nodrošināta interešu konflikta nepieļaujamība un, ja nepieciešams, tiks novērsti vai laboti identificētie riski vai konstatētais interešu konflikts saskaņā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skaidrot - vai šis nav jāsniedz projektu uzsākot pēc apstiprināšanas, kad arī sākas iegādes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- 51. Finansējuma saņēmējs nodrošina un pārliecinās, ka līdzfinansēto preču un pakalpojumu izmaksas atbilst tirgus cenai un nepastāv interešu konflikts piegādātāja vai pakalpojumu sniedzēja izvēlē.  Attiecīgi, var būt situācija, kad tirgus izpētes/iepirkuma ietvaros kāds piegādātājs jau ir zināms, bet arī var būt vēl nezināmi piegādātāji, kuri tiek noteikti tikai projekta īstenošanas ietvaros.  Vai šādā gadījumā būtu jāiesniedz interešu konfliktla neesības apliecinājums tikai par jau zināmiem (uz projekta iesniegšanas brīdi) piegādātājiem?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nosakot, ka apliecinājums tiek parakstīts, attiecībā uz interešu konflika ievērošanu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23. un 55.punktu svītrot un attiecīgajos punktos noteikto informāciju iekļaut projekta iesniegumu atlases nolikumā, nevis noteikumu projektā. Vēršam uzmanību, ka atbilstoši Eiropas Savienības fondu 2021.—2027. gada plānošanas perioda vadības likuma 1.panta 11.punktam projektu iesniegumu atlases nolikums ir dokumentu kopums, kurā ietverta informācija par projektu iesniegumu vērtēšanas kārtību, projektu iesniegumu vērtēšanas kritēriji, šo kritēriju piemērošanas metodika, īguma vai vienošanās par projekta īstenošanu projekts, un cita projektu iesniegumu atlasei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22. un 23. punktā minētā informācija attiecināma pret pasākuma ietvaros prioritātes piešķiršanu. Vienlaikus 55.punkts par līgumā starp sadarbības iestādi un finansējuma saņēmēju iekļaujamo informāciju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STEP regulu (2024/795) tiek izveidots "</w:t>
            </w:r>
            <w:r w:rsidR="00000000" w:rsidRPr="00000000" w:rsidDel="00000000">
              <w:rPr>
                <w:i w:val="1"/>
                <w:rtl w:val="0"/>
              </w:rPr>
              <w:t xml:space="preserve">Sovereignty seal</w:t>
            </w:r>
            <w:r w:rsidR="00000000" w:rsidRPr="00000000" w:rsidDel="00000000">
              <w:rPr>
                <w:rtl w:val="0"/>
              </w:rPr>
              <w:t xml:space="preserve">", ko piešķirs STEP mērķiem atbilstošiem projektiem, kas atbilst minimālajām kvalitātes prasībām (tostarp atbilstības, izslēgšanas un piešķiršanas kritērijiem) Digitālās Eiropas programmas, Eiropas Aizsardzības fonda, EU4Health programmas, "Apvārsnis Eiropa" un Inovāciju fonda ietvaros. Rosinām izvērtēt, vai arī "</w:t>
            </w:r>
            <w:r w:rsidR="00000000" w:rsidRPr="00000000" w:rsidDel="00000000">
              <w:rPr>
                <w:i w:val="1"/>
                <w:rtl w:val="0"/>
              </w:rPr>
              <w:t xml:space="preserve">Sovereignty seal</w:t>
            </w:r>
            <w:r w:rsidR="00000000" w:rsidRPr="00000000" w:rsidDel="00000000">
              <w:rPr>
                <w:rtl w:val="0"/>
              </w:rPr>
              <w:t xml:space="preserve">" nebūtu iekļaujams kā viens no nosacījumiem augstākam projekta 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ministrijai pieejamās informācijas, Latvijā ir mazs komersantu skaits, kam ir piešķirts "Seal of excellence" vai "STEP seal", attiecīgi noteikumu projektā attiecīgā prasība dzēsta. Prioritāri plānots atbalstīt komersantus, kas iesnieguši projekta iensiegumu kādā no Horizon Europe programmām, kur pārvarēta pirmā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iesniedzēja parakstītu apliecinājumu par to, ka projekta īstenošanas laikā tiks nodrošināta interešu konflikta nepieļaujamība un, ja nepieciešams, tiks novērsti vai laboti identificētie riski vai konstatētais interešu konflikts saskaņā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2018/1046 61. panta prasības nav attiecināmas uz tiem privāto tiesību subjektiem, kas nav iesaistīti Eiropas Savienības finanšu līdzekļu sadalē (proti, privāto tiesību subjektiem, kas nav finansējuma saņēmēji divpakāpju investīcijās), rosinām atteikties no 22.2. apakšpunktā minētā apliecinājuma parakstīšanas un iesniegšanas. Savukārt vēršam uzmanību, ka attiecībā uz interešu konflikta nepieļaujamību projekta ietvaros veiktu iepirkumu kontekstā regulējums jau ietverts iepirkumu procesu regulējošos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projekts ir Eiropas Aizsardzības fonda vai Ziemeļatlantijas līguma organizācijas ietvaros prasībām atbilstošs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 skaidrībai aicinām precizēt punkta redakciju, papildinot to ar "īstenotas atbalsta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projekts ir Eiropas Aizsardzības fonda vai Ziemeļatlantijas līguma organizācijas ietvaros īstenotas atbalsta programmas procesā esošs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noteikumu projektā, kur atbalsts paredzēts tieši duālas nozīmes jaunu produktu, pakalpojumu un tehnoloģiju izstrādei aizsardzības un drošības jomā, attiecīgi 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projekts ir Eiropas Aizsardzības fonda vai Ziemeļatlantijas līguma organizācijas ietvaros procesā esošs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iekļaut skaidrojumu par Eiropas Aizsardzības fonda vai Ziemeļatlantijas līguma organizācijas ietvaros procesā esošu projektu būtību, tostarp, vai procesā esošie projekti nav uzsākti un tādējādi nav pretrunā ar Regulas Nr. 651/2014 6.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Lai nodrošinātu Komisijas regulas Nr. 651/2014 6. panta nosacījumu izpildi, Noteikumu projekta 23.1.1. apakšpunktā minētie projekti nedrīkst būt uzsākti. Vienlaikus, prioritāri atbalsts tiek sniegts tiem projektiem, kas atbilst Eiropas Aizsardzības fonda vai Ziemeļatlantijas līguma organizācijas ietvaros noteiktajām projekta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papildināta anotācija ar skaidrojumu par Pētniecības atbalsta programmā vienkāršoto izmaksu piemērošanu, nosakot, ka ņemot vērā, ka noteikumu projekta ietvaros projektiem minimālais attiecināmo izmaksu apmērs noteikts ne mazāk kā 200 tūkst. EUR (ieskaitot), visi projekti paredzēti pētniecībai un inovācijām, kā arī katra projekta īstenotāja plānotās atbalsta aktivitātes un tiem paredzētie izcenojumi var atšķirties, noteikumu projektā noteikta vienkāršoto izmaksu vienotā izmaksu likme šo noteikumu 32.11. apakšpunktā minētajām projektu vadības personāla izmaksām 20 procentu apmērā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attiecināmības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Komisijas regulas Nr. 651/2014 1. panta 2. punkta "c" un "d" apakšpunktā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2. punkta "c" un "d" apakšpunktā noteiktas tikai neatbalstāmās darbības, lūdzam noteikumu 30.7. apakšpunktā svītrot vārdus "nozarēm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Komisijas regulas Nr. 651/2014 1. panta 2. punkta "c" un "d" apakšpunktā noteiktajām neatbalstāmajām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Komisijas regulas Nr. 651/2014 1. panta 2. punkta "c" un "d" apakšpunktā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2. punkta "c" un "d" apakšpunktā ir noteiktas neatbalstāmās darbības, nevis nozares, lūdzam precizēt noteikumu 29.7.punktu, svītrojot vārdus "un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Komisijas regulas Nr. 651/2014 1. panta 2. punkta "c" un "d" apakšpunktā noteiktajām neatbalstāmajām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Komisijas regulas Nr. 651/2014 1. panta 3. 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3. punktā noteiktās neatbalstāmās nozares nav izslēgtas no atbalsta tvēruma pētniecības un attīstības jomā, aicinām izvērtēt noteikuma 29.8.punkta nepieciešamību. Ja plānots noteikumos paredzēt stingrākas prasības nekā nosaka Komisijas regula Nr. 651/2014, lūdzam ar atbilstošu izvērtējumu un skaidrojumu lūdzam papildināt anotācijas 5.sadaļu.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arī noteikumu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pētniecības projekta īstenošanai nepieciešamo privāto līdzfinansējumu nevar ieguldīt natūrā.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precizēt šī punkta normu, jo nav skaidrs - vai privātais līdzfinansējums var vai nevar būt natūrā (ne monetārs/naudiskā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minēta pretrunīgs skaidrojums: "Skaidrojam, ka </w:t>
            </w:r>
            <w:r w:rsidR="00000000" w:rsidRPr="00000000" w:rsidDel="00000000">
              <w:rPr>
                <w:u w:val="single"/>
                <w:rtl w:val="0"/>
              </w:rPr>
              <w:t xml:space="preserve">privāto līdzfinansējumu nevar ieguldīt natūrā</w:t>
            </w:r>
            <w:r w:rsidR="00000000" w:rsidRPr="00000000" w:rsidDel="00000000">
              <w:rPr>
                <w:rtl w:val="0"/>
              </w:rPr>
              <w:t xml:space="preserve">, taču lai nodrošinātu efektīvu projekta īstenošanu(papildinot publisko finansējumu) </w:t>
            </w:r>
            <w:r w:rsidR="00000000" w:rsidRPr="00000000" w:rsidDel="00000000">
              <w:rPr>
                <w:u w:val="single"/>
                <w:rtl w:val="0"/>
              </w:rPr>
              <w:t xml:space="preserve">projekta iesniedzējs nodrošina privāto līdzfinansējumu un citus privātos resursus, t.sk. īpašumā esošo mant</w:t>
            </w:r>
            <w:r w:rsidR="00000000" w:rsidRPr="00000000" w:rsidDel="00000000">
              <w:rPr>
                <w:rtl w:val="0"/>
              </w:rPr>
              <w:t xml:space="preserve">u, intelektuālo īpašumu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normas un skaidrojuma nav saprotams, vai, piemēram, komersants, kurš īsteno projektu, savas esošās iekārtas, to izmantošanu (un ar to izmantošanu saistītās izmaksas) vai materiālus var attiecināt kā privāto līdzfinansējumu vai nevar.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651/2014 2. panta 61. punktam ieguldījumi natūrā ir zemes vai nekustamā īpašuma ieguldījums, ja zeme vai nekustamais īpašums ir daļa no pilsētu attīstības projekta. Attiecīgi finansējuma saņēmējs nevar ieguldīt privāto līdzfinansējumu zemes vai nekustamajā īpašumā. Vienlaikus, komersanta īpašumā esošo mantu un citiem privātajiem resursi ir uzskatāmi kā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pētniecības projekta īstenošanai nepieciešamo privāto līdzfinansējumu nevar ieguldīt natūrā.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sniegts pietiekams pamatojums, kāpēc atbilstoši regulas 651/2014 25. panta 3. punkta "e" apakšpunktam nevar piemērot vienkāršoto izmaksu likmi 20% apmērā izdevumiem, lai mazinātu administratīvo slogu, uzturam iepriekš izteikto komentāru: Pamatojoties uz Regulas Nr. 651/2014 25. panta 3. punkta e) apakšpunkta nosacījumiem, lūdzam visas noteikumu projekta 32. punkta apakšpunktos norādītās izmaksu pozīcijas, kas iekļautas kā tiešās attiecināmās izmaksas atbilstoši Regulas Nr. 651/2014 3. punkta e) apakšpunktam, paredzēt kā vienoto netiešo izmaksu likmi līdz 20 % apmērā, tādējādi ievērojami atvieglojot birokrātisko slogu gan finansējuma saņēmējiem, gan sadarbības iestādei projektu uzraudzības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rīcībā ir pieejama informācija un dati par izmaksu sadalījumu vairākos pētījumos, kuru summas pārsniedz 200 000 EUR, līdz ar to vienkāršoto izmaksu metodikai būtu pietiekams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Parlamenta un Padomes regulas Nr. 2021/1060 53. panta 2. punkta otrajai daļai vienotās likmes prasības nav attiecināmas uz pētniecības un inovācijas jomu. Papildus norādām, ka pētniecības projektu tāmēs nav izdalīts tik detalizēts izmaksu atšifrējums, lai veiktu aprēķinu un noteiktu vienoto likmi, vienlaikus, pētniecības aktivitāšu izcenojums dažādās nozarēs krasi atšķiras, tādēļ vienotās likmes piemērošana nav iespējama un efektīva.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ietvaros ir attiecināmas šādas izmaksas, kas ir izmērāmas, samērīgas, pamatotas un atbilst pareizas finanšu vadības principiem saskaņā ar Komisijas regulas Nr. 2018/1046 33.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Finanšu ministrijas vadlīniju Nr.1.2. "Vadlīnijas attiecināmo izmaksu noteikšanai Eiropas Savienības kohēzijas politikas programmas 2021.-2027.gada plānošanas periodā" 7.29.apakšpunktā norādītajai 25.zemsvītras atsaucei, piemērojot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ar tiešajām attiecināmajām izmaksām līdz 5 milj. EUR (ieskaitot), tiešajām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projektos tiek plānots projekta vadības personāls, lūdzam attiecīgi papildināt noteikumu projekta redakciju 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EUR kalendārajā gadā, pieskaitot 0,64% no projekta tiešajām attiecināmajām izmaksām, neieskaitot tiešās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w:t>
            </w:r>
            <w:r w:rsidR="00000000" w:rsidRPr="00000000" w:rsidDel="00000000">
              <w:rPr>
                <w:i w:val="1"/>
                <w:rtl w:val="0"/>
              </w:rPr>
              <w:t xml:space="preserve">euro </w:t>
            </w:r>
            <w:r w:rsidR="00000000" w:rsidRPr="00000000" w:rsidDel="00000000">
              <w:rPr>
                <w:rtl w:val="0"/>
              </w:rPr>
              <w:t xml:space="preserve">kalendārajā gadā, pieskaitot 0,64% no projekta tiešajām attiecināmajām izmaksām, neieskaitot tiešās projekta vadības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Finanšu ministrijas vadlīniju Nr.1.2. "Vadlīnijas attiecināmo izmaksu noteikšanai Eiropas Savienības kohēzijas politikas programmas 2021.-2027.gada plānošanas periodā" 7.29.apakšpunktā norādītajai 25.zemsvītras atsaucei, piemērojot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ar tiešajām attiecināmajām izmaksām līdz 5 milj. EUR (ieskaitot), tiešajām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programmas ieviešanas laikā uzkrājoties datiem, izvērtēs iespējas piemērot vienkāršotās izmaksas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w:t>
            </w:r>
            <w:r w:rsidR="00000000" w:rsidRPr="00000000" w:rsidDel="00000000">
              <w:rPr>
                <w:i w:val="1"/>
                <w:rtl w:val="0"/>
              </w:rPr>
              <w:t xml:space="preserve">euro </w:t>
            </w:r>
            <w:r w:rsidR="00000000" w:rsidRPr="00000000" w:rsidDel="00000000">
              <w:rPr>
                <w:rtl w:val="0"/>
              </w:rPr>
              <w:t xml:space="preserve">kalendārajā gadā, pieskaitot 0,64% no projekta tiešajām attiecināmajām izmaksām, neieskaitot tiešās projekta vadības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projekta īstenošanas personāla un projekta vadītāja komandējuma (darba brauciena) izmaksas saskaņā ar normatīvajiem aktiem par kārtību, kādā atlīdzināmi ar komandējumiem saistītie izdevumi,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teikuma daļu "un projekta vadītāja", ņemot vērā, ka Komisijas regulas Nr. 651/2014 25. panta "a" apakšpunktā paredzētās personāla izmaksas nav attiecināmas uz projekta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projekta īstenošanas personāla komandējuma (darba brauciena) izmaksas saskaņā ar normatīvajiem aktiem par kārtību, kādā atlīdzināmi ar komandējumiem saistītie izdevumi, atbilstoši Komisijas regulas Nr. 651/2014 25.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izmaksas, kas minētas Komisijas regulas Nr. 651/2014 25. panta 3. punkta "d" apakšpunktā un to amortizācijas izmaksas, ciktāl tas tiek izmantots pētniecības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uzskaitīt attiecināmās izmaksas no regulas "d" apakšpunkta. Papildus lūdzam dzēst teksta daļu "un to amortizācijas izmaksas, ciktāl tas tiek izmantots pētniecības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izmaksas par līgumpētījumiem un patentiem, ciktāl tos izmanto pētniecības vai tehniski ekonomiskās priekšizpētes darbībām, kas minētas Komisijas regulas Nr. 651/2014 25. panta 3. punkta "d"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izmaksas, kas minētas Komisijas regulas Nr. 651/2014 25. panta 3. punkta "c" apakšpunktā.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redakciju, ņemot vērā, ka regulas Nr. 651/2014 25. panta 3. punkta "c" apakšpunkts ir par ēku un zemes izmaksām, bet 34.9. apakšpunkta redakcijā ir par iekārtu amortizāciju, kas dublē noteikumu projekta 34.6.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finansējuma saņēmēja īpašumā esošo instrumentu, iekārtu un to aprīkojuma izmaksas un to amortizācijas izmaksas, finanšu nomā iegādāto iekārtu amortizācijas izmaksas, ciktāl tos izmanto pētniecības vai tehniski ekonomiskās priekšizpētes darbībām, atbilstoši Komisijas regulas Nr. 651/2014 25. panta 3. punkta "b" apakšpunktam, patentu un licenču izmaksas un to amortizācijas izmaksas, ciktāl tos izmanto pētniecības projektā, atbilstoši Komisijas regulas Nr. 651/2014 25. panta 3. punkta "d" apakšpunktam un finansējuma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citas izmaksas, tostarp finansējuma saņēmēja dalības maksa iesaistei starptautiskās pētniecības un attīstības programmās, platformās un iniciatīvās, dalības maksa tīklošanās un mobilitātes pasākumiem, starptautisko projektu sagatavošanas izmaksas, lai iesaistītos starptautiskos konsorcijos, atbilstoši Komisijas regulas Nr. 651/2014 25. panta 3. punkta "e" apakšpunktam, ciktāl tās attiecas uz pētniecības vai tehniski ekonomiskās priekšizpētes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segt šis izmaksas "citas izmaksas" ar netiešo izmaksu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vienkāršoto izmaksu likme nav piemērojama citām izmaksām, ņemot vērā ka noteikumu projekta ietvaros projektiem minimālais attiecināmo izmaksu apmērs noteikts ne mazāk kā 200 tūkst. EUR (ieskaitot), visi projekti paredzēti pētniecībai un inovācijām, kā arī katra projekta īstenotāja plānotās atbalsta aktivitātes un tiem paredzētie izcenojumi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 citas izmaksas, tostarp finansējuma saņēmēja dalības maksa iesaistei starptautiskās pētniecības un attīstības programmās, platformās un iniciatīvās, dalības maksa tīklošanās un mobilitātes pasākumiem, starptautisko projektu sagatavošanas izmaksas, lai iesaistītos starptautiskos konsorcijos, atbilstoši Komisijas regulas Nr. 651/2014 25. panta 3. punkta "e" apakšpunktam, ciktāl tās attiecas uz pētniecības vai tehniski ekonomiskās priekšizpētes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Maksimāli pieļaujamā finansējuma intensitāte saskaņā ar Komisijas regulas Nr. 651/2014 25. panta 5. punkta "b", "c", "d" apakšpunktu, 6. punkta "a" apakšpunktu un 7. punktu (procentos no projekta kopējām attiecināmajām izmaksām)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Komisijas regulas Nr.651/2014 25.panta atbalstu pretendē arī mazas vidējas kapitalizācijas un vidējas kapitalizācijas sabiedrības, lūdzam anotācijā norādīt, atbilstoši kādai komersanta kategorijai šiem komersantiem tiek noteikta atbalsta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sekojošā redakcijā: Atbilstoši Noteikumu projekta 44. punktam, mazajām vidējām kapitalizācijas sabiedrībā un vidējām kapitalizācijas sabiedrībā tiek piemērota lielā komersanta atbalsta intensitāte.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Maksimāli pieļaujamā finansējuma intensitāte saskaņā ar Komisijas regulas Nr. 651/2014 25. panta 5. punkta "b", "c", "d" apakšpunktu, 6. punkta "a" apakšpunktu un 7. punktu (procentos no projekta kopējām attiecināmajām izmaksām)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definējumu atbilstoši punktam 32.14. (minot ne tikai iniciatīvas) - citas izmaksas, tostarp finansējuma saņēmēja dalības maksa iesaistei starptautiskās </w:t>
            </w:r>
            <w:r w:rsidR="00000000" w:rsidRPr="00000000" w:rsidDel="00000000">
              <w:rPr>
                <w:u w:val="single"/>
                <w:rtl w:val="0"/>
              </w:rPr>
              <w:t xml:space="preserve">pētniecības un attīstības programmās, platformās un iniciatīvās</w:t>
            </w:r>
            <w:r w:rsidR="00000000" w:rsidRPr="00000000" w:rsidDel="00000000">
              <w:rPr>
                <w:rtl w:val="0"/>
              </w:rPr>
              <w:t xml:space="preserve">, dalības maksa tīklošanās un mobilitātes pasākumiem, starptautisko projektu sagatavošanas izmaksas, lai iesaistītos starptautiskos konsorcijos”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kas un kā šo vērtēs, lai noteiktu, vai konkrētās projekta aktivitātes tiešām palīdzēs sasniegt rezultātus? Ir liels risks, ka šāds vērtējums var būt ļoti subjektīvs un radīt risku par neattiecināmām izmaksām nepilnvērtīga viedokļa/izvērtējuma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papildināts ar atsauci uz 32.14.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iesniedzējam jānodrošina pietiekams pamatojums visām projekta ietvaros attiecināmajām izmaksām, attiecīgi plānojot aktivitātes, kas minētas noteikumu projekta 43. punktā projekta iesniedzējam nepieciešams argumentēts pamatojums,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Dalības maksu starptautiskajās iniciatīvās attiecina tikai tad, ja tā paredzēta atbilstoši šo noteikumu </w:t>
            </w:r>
            <w:r w:rsidR="00000000" w:rsidRPr="00000000" w:rsidDel="00000000">
              <w:rPr>
                <w:rtl w:val="0"/>
              </w:rPr>
              <w:t xml:space="preserve">27.14. </w:t>
            </w:r>
            <w:r w:rsidR="00000000" w:rsidRPr="00000000" w:rsidDel="00000000">
              <w:rPr>
                <w:rtl w:val="0"/>
              </w:rPr>
              <w:t xml:space="preserve">apakšpunkta</w:t>
            </w:r>
            <w:r w:rsidR="00000000" w:rsidRPr="00000000" w:rsidDel="00000000">
              <w:rPr>
                <w:rtl w:val="0"/>
              </w:rPr>
              <w:t xml:space="preserve"> nosacījumiem un,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finansējuma saņēmējs apņemas Eiropas Ekonomikas zonas (turpmāk –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finansējuma saņēmēja projektu izraudzījusies dalībvalsts atklātā uzaicinājumā un finansējuma saņēmējs projektu īstenojis efektīvā sadarbībā ar vismaz triju dažādu Eiropas Savienības dalībvalstu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EDF projektu gadījumā konkursa procedūru organizē EK, kā arī EK ar īstenošanas lēmumprojektu apstiprina EDF projektus, kam tiek piešķirtas tiesības saņemt EK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finansējuma saņēmēja projektu izraudzījusies dalībvalsts vai Eiropas Komisija atklātā uzaicinājumā un finansējuma saņēmējs projektu īstenojis efektīvā sadarbībā ar vismaz triju dažādu Eiropas Savienības dalībvalstu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finansējuma saņēmēja projektu izraudzījusies dalībvalsts vai Eiropas Komisija atklātā uzaicinājumā un finansējuma saņēmējs projektu īstenojis efektīvā sadarbībā ar vismaz triju dažādu Eiropas Savienības dalībvalstu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saņēmēja projektu izraudzījusies dalībvalsts atklātā uzaicinājumā un finansējuma saņēmējs projektu izstrādā efektīvā sadarbībā ar vismaz triju dažādu Eiropas Savienības dalībvalstu vai EEZ līgumslēdzēju pušu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kas ir domāts "efektīva"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 vai te ir domāti kādi papildus uzsaukumi starptautiskos projektos? (Kas ir domāts "projektu izraudzījusies dalībvalsts atklātā uzaicinājumā"?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 Skaidrojam, ka efektīvas sadarbības definējums iekļauts Komisijas regulas Nr. 651/2014 2. panta 90.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46.3.2. finansējuma saņēmējs apņemas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Kopējā projektam piemērotā finansējuma intensitāte nevar pārsniegt 80 procentus rūpnieciskajiem pētījumiem un eksperimentālajai izstrādei saskaņā ar Komisijas regulas Nr. 651/2014 25.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EDF projektu gadījumā piemērot ar interpretāciju, ka LV valsts nacionālā atbalsta intensitātes iespējamie maksimālie griesti  Komisijas regulas Nr. 651/2014 25. panta 6. punkta izpratnē tiek attiecināti uz EDF projektam nepieciešamā nacionālā līdzfinansējuma daļu. Jo ir jāņem vērā to, ka EDF attīstības projektus vidēji 70-80% līmenī līdzfinansē EK. Bet EDF pētniecības projektus EK finansē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sekojošs skaidrojums: Noteikumu projekta 41. punktā minētā atbalsta intensitāte Eiropas Aizsardzības fonda projektu gadījumā attiecināma kā Latvijas nepieciešamā nacionālā līdzfinansējuma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Kopējā projektam piemērotā finansējuma intensitāte nevar pārsniegt 80 procentus rūpnieciskajiem pētījumiem un eksperimentālajai izstrādei saskaņā ar Komisijas regulas Nr. 651/2014 25. panta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saņēmēja projektu izraudzījusies dalībvalsts atklātā uzaicinājumā un finansējuma saņēmējs projektu īstenojis efektīvā sadarbībā ar vismaz triju dažādu Eiropas Savienības dalībvalstu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vai te ir domāti kādi papildus uzsaukumi starptautiskos projektos? (Kas ir domāts "projektu izraudzījusies dalībvalsts atklātā uzaicinājumā"?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48.1. apakšpunktā noteiktās prasības paredz iesaisti starptautiskos projektos, kur tiek īstenota efektīva sadarbība atbilstoši Komisijas regulas 651/2014 2.panta 90.punktā iekļautajai definīcijai, ar ko saprotama dalība dažādās ES līmeņa iniciatīvās kā piemēram, IPCEI, Apvārsnis Eiropas, Digitālā Eiropa u.c. kopā ar citu dalībvalstu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finansējuma saņēmēja projektu izraudzījusies dalībvalsts vai Eiropas Komisija atklātā uzaicinājumā un finansējuma saņēmējs projektu īstenojis efektīvā sadarbībā ar vismaz triju dažādu Eiropas Savienības dalībvalstu pārstāvjiem;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papildus ir izpildīts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nosakot izņēmumu duālas nozīmes un aizsardzības jomas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Atbildīgā iestāde projekta īstenošanas starpposma un noslēguma periodā var veikt projekta ieviešanas un sasniegto rādītāju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svītrot noteikumu projekta 52.punktu. Vēršam uzmanību, ka Eiropas Savienības fondu 2021.—2027. gada plānošanas perioda vadības likuma 11.panta trešās daļas 10.punkts nosaka pienākumu atbildīgajai iestādei izmantot Kohēzijas politikas fondu vadības informācijas sistēmu specifiskā atbalsta mērķa rādītāju sasniegšanas un īstenošanas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sniedz priekšlikumu precizēt 44.punktu, paredzot, ka Sadarbības iestāde piesaista arī citus ekspertus, piemēram, no zinātniskām un pētniecības organizācijām, lai nodrošinātu ne tikai izmaksu izvērtēšanu, bet arī tādus projekta kvalitātes kritēriju, kā sasniedzamie rezultāti, zinātniskā vērtība un atbilstība drošības un aizsardzības jomas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šāds precizējums ļautu piesaistīt arī papildus ekspertus, piemēram, tieši starptautiskā potenciāla novērtēšanai konkrētajam projektam, jo, lai veicinātu Latvijas uzņēmumu iesaisti starptautiskos pētniecības un attīstības projektos, svarīgas ir drošības un aizsardzības prioritātes un aktuālie attīstības virzieni gan Eiropas Savienības, gan NATO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pieaicināt ekspertus, lai pārbaudītu, vai projekta norādītās attiecināmās izmaksas ir samērīgas un ekonomiski pamatotas, </w:t>
            </w:r>
            <w:r w:rsidR="00000000" w:rsidRPr="00000000" w:rsidDel="00000000">
              <w:rPr>
                <w:u w:val="single"/>
                <w:rtl w:val="0"/>
              </w:rPr>
              <w:t xml:space="preserve">ka arī plānoto projekta rezultātu zinātnisko vērtību, novitātes līmeni un atbilstību drošības un aizsardzības jomas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var novērtēt duāla pielietojuma produktus un tehnoloģijas pateicoties zināšanām par drošības riskiem, militāriem pielietojumiem un valsts aizsardzības vajadzībām, nodrošinot atbilstību stratēģiskajām un drošības prioritātēm. Attiecīgi Ekonomikas ministrijas ieskatos pašlaik nav nepieciešama citu eskpertu iesaiste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Sadarbības iestādei ir tiesības pieaicināt ekspertus, lai pārbaudītu, vai projekta norādītās attiecināmās izmaksas ir samērīgas un ekonomiski pamatotas.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var sniegt vērtējumu savas kompetences ietvaros par aizsardzības nozares vajadzībām un pielietojamību. Atbildīgajai vai sadarbības iestādei zinātniskā aspekta un kvalitātes vērtēšanai ir jāpiesaista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projektu tvērums ir plašāks par aizsardzības nozares kontekstu, un projektu vērtēšanai potenciāli varētu būt nepieciešama IeM ekspertīzes piesaiste attiecībā uz tehnoloģijām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projektu zinātniskās kvalitātes vērtēšanai, kā arī, lai pārbaudītu, vai projekta norādītās attiecināmās izmaksas ir samērīgas un ekonomiski pamatotas, vai citus ekspertus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var novērtēt duāla pielietojuma produktus un tehnoloģijas pateicoties zināšanām par drošības riskiem, militāriem pielietojumiem un valsts aizsardzības vajadzībām, nodrošinot atbilstību stratēģiskajām un drošības prioritātēm. Turklāt, Aizsardzības ministrijas resorā ir Aizsardzības tehnoloģiju un inovāciju centra, kam ir pieredze un zināšanas pētniecības un inovāciju projektu vērtēšanā un kas spēj sniegt viedokli par projekta iesniegumā norādīto zinātnisko kvalitāti. Līdz ar to Ekonomikas ministrijas ieskatos pašlaik nav nepieciešama citu ekspertu iesaiste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Sadarbības iestādei ir tiesības pieaicināt ekspertus, lai pārbaudītu, vai projekta norādītās attiecināmās izmaksas ir samērīgas un ekonomiski pamatotas.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neizslēgt iespēju sadarbības iestādei zinātnes kvalitātes izvērtēšanai MK noteikumu projekta ietvaros piesaistīt ārvalstu ekspertus (izmantošanai nepieciešamības gadījumā).Vēršam uzmanību, ka, tā kā noteikumu projekta 18.2. apakšpunktā norādītajās Aizsardzības ministrijas funkcijās vērtēšanas komisijā nav paredzēta projektā plānoto darbību izvērtēšana atbilstoši Komisijas Regulas 651/2014 25. panta 2. punktā noteiktajām pētniecības kategorijām (kas norādītas arī noteikumu projekta 21. punktā), Centrālā finanšu un līgumu aģentūra patur tiesības projektu iesniegumu atlases laikā piesaistīt atbilstošas kompetences ekspertu, kas sniegs atzinumu par projektā plānoto darbību un izmaksu piederību noteiktajām pētniecības kategorijām arī gadījumā, ja noteikumu projekta 44. punkts netiks precizēts (aicinām ar šādu informāciju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Sadarbības iestādei ir tiesības pieaicināt ekspertus, lai pārbaudītu, vai projekta norādītās attiecināmās izmaksas ir samērīgas un ekonomiski pamatotas, kā arī ekspertus no starptautiskās datu bāzes zinātnes kvalitātes izvērtēšanai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var novērtēt duāla pielietojuma produktus un tehnoloģijas pateicoties zināšanām par drošības riskiem, militāriem pielietojumiem un valsts aizsardzības vajadzībām, nodrošinot atbilstību stratēģiskajām un drošības prioritātēm. Attiecīgi Ekonomikas ministrijas ieskatos pašlaik nav nepieciešama citu eskpertu iesaiste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Sadarbības iestādei ir tiesības pieaicināt ekspertus, lai pārbaudītu, vai projekta norādītās attiecināmās izmaksas ir samērīgas un ekonomiski pamatotas.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Pasākuma ietvaros izmaksas projekta ietvaros iespējams attiecināt līdz 2029. gada 31. decembrim. Ja finansējuma saņēmējam projekta ietvaros izmaksas rodas pēc 2029. gada 31. decembra, tās tiek segtas no finansējuma saņēmēja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norādīt projekta īstenošanas termiņu, kas nepārsniedz izmaksu attiecināmības perioda beigu termiņu – 2029. gada 31. decembri. No noteikumu projekta 54. punkta redakcijas secināms izmaksu attiecināmības termiņš - 2029. gada 31. decembris, taču nav norādīts </w:t>
            </w:r>
            <w:r w:rsidR="00000000" w:rsidRPr="00000000" w:rsidDel="00000000">
              <w:rPr>
                <w:u w:val="single"/>
                <w:rtl w:val="0"/>
              </w:rPr>
              <w:t xml:space="preserve">projekta īstenošanas termiņš</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Lai nodrošinātu viennozīmīgu normatīvā regulējuma interpretāciju, lūdzam papildināt noteikumu projekta V nodaļu "Projekta īstenošanas un finansējuma saņemšanas nosacījumi" ar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saskaņā ar noslēgto līgumu par projekta īstenošanu,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izmaksas projekta ietvaros iespējams attiecināt līdz 2029. gada 31. decembrim. Ja finansējuma saņēmējam projekta ietvaros izmaksas rodas pēc 2029. gada 31. decembra, tās tiek segtas no finansējuma saņēmēja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iesniegt sadarbības iestādei avansa maksājuma pieprasījumu, ja attiecināms, iesniegšanas termiņu nosakot ne biežāku kā reizi 6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55.4. apakšpunktu, ņemot vērā, ka avansa apmērs, tā pieprasīšanas un citi nosacījumi ietverti noteikumu projekta 59. punktā, tostarp 59.3.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dzēsts, papildinot noteikumu projekta 60.3. apakšpunktā iekļautos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finansējuma saņēmēja pienākumus, iekļaujot papildu pienākumu sagatavot starpposma un noslēguma rezultātu atskaites iesniegšanai zinātniskās kvalitātes izvērtējuma saņemšanai, kā arī lūdzu paredzēt finansējuma saņēmēja pienākumu veikt precizējumus projekta darbības plānā, ja saņemtais eksperta starpposma atzinums satur ieteikumus, kas ņemami vērā turpmākā projekta īstenošanas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atbilsotši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saņēmējam ir tiesības saņemt avansus, starpposma un noslēguma maksājumus atbilstoši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56. punktu, jo minētā norma ir deklaratīva (ņemot vērā, ka avansa un starpposma maksājuma apmērs, avansa pieprasīšanas un citi nosacījumi ietverti noteikumu projekta 59. punktā), kā arī noteikumu projekta 59. punkts neparedz noslēguma maksājumu saņemšanas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īstenot sadarbības iestādes apstiprināto projektu, ne retāk kā reizi sešos mēnešos ievietojot savā tīmekļvietnē aktuālo informāciju par projekta īstenošanas gaitu un nodrošinot informācijas un publicitātes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"īstenot sadarbības iestādes apstiprināto projektu", jo minētais punkts ietver finansējuma saņēmēja pienākumu attiecībā uz publicitātes prasībām, līdz ar to nav loģiski iekļaut teikuma pirmo daļu, kas ietver vispārīgu finansējuma saņēmēja pienākumu attiecībā uz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ne retāk kā reizi sešos mēnešos ievietojot savā tīmekļvietnē aktuālo informāciju par projekta īstenošanas gaitu un nodrošinot informācijas un publicitātes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sagatavot starpposma un noslēguma rezultātu atskaites iesniegšanai zinātniskās kvalitātes izvērtējuma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noteikt minimālo projekta īstenošanas ilgumu projektiem, kuriem veicams starpposma zinātniskās kvalitātes izvērtējums - aicinām noteikt, ka starpposma zinātniskās kvalitātes izvērtējums veicams projektiem, kuru īstenošanas ilgums ir ilgāks kā 12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punktiem, paredzot nosacījumus gala rezultātu izvērtēšanai, finansējuma saņēmēja atskaites formas sagatavošanai un Aizsardzības ministrijas atzinuma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 sagatavot noslēguma rezultātu atskaiti iesniegšanai zinātniskās kvalitātes izvērtējuma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ietvaros izmaksas iespējams attiecināt līdz 2029. gada 31. decembrim. Ja finansējuma saņēmējam projekta ietvaros izmaksas rodas pēc 2029. gada 31. decembra, tās tiek segtas no finansējuma saņēmēja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projekta īstenošanas termiņu, kas nepārsniedz izmaksu attiecināmības perioda beigu termiņu – 2029.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izmaksas projekta ietvaros iespējams attiecināt līdz 2029. gada 31. decembrim. Ja finansējuma saņēmējam projekta ietvaros izmaksas rodas pēc 2029. gada 31. decembra, tās tiek segtas no finansējuma saņēmēja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finansējuma saņēmējs var dalīt avansa maksājumus un saņemt vairākus avansa maksājumus, bet nākamo avansa maksājumu var saņemt pēc tam, kad iepriekšējais ieguldīts pilnā apmērā un ne biežāk kā reizi 6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ierobežojuma piemērošanu, kas paredz, ka finansējuma saņēmējs avansa maksājumus var pieprasīt ne biežāk kā reizi 6 mēnešos - avansa maksājums ir jāizlieto 6 mēnešu periodā, taču, ja tas apgūts ātrāk, tad finansējuma saņēmējam būtu jābūt iespējai pieprasīt nākamo avansa maksājumu arī ātrāk, ja tas nepārsniedz 30% no projektam piešķirtā ERAF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finansējuma saņēmējs var dalīt avansa maksājumus un saņemt vairākus avansa maksājumus, bet nākamo avansa maksājumu var saņemt pēc tam, kad iepriekšējais ieguldīts pilnā apmērā un ne biežāk kā reizi 6 mēnešos.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nodrošina projekta darbību īstenošanu un priekšfinansē projektā plānotās izmaksas no saviem līdzekļiem, izņemot gadījumu, ja projektā plānots avanss saskaņā ar šo noteikumu </w:t>
            </w:r>
            <w:r w:rsidR="00000000" w:rsidRPr="00000000" w:rsidDel="00000000">
              <w:rPr>
                <w:rtl w:val="0"/>
              </w:rPr>
              <w:t xml:space="preserve">57. </w:t>
            </w:r>
            <w:r w:rsidR="00000000" w:rsidRPr="00000000" w:rsidDel="00000000">
              <w:rPr>
                <w:rtl w:val="0"/>
              </w:rPr>
              <w:t xml:space="preserve">punktu</w:t>
            </w:r>
            <w:r w:rsidR="00000000" w:rsidRPr="00000000" w:rsidDel="00000000">
              <w:rPr>
                <w:rtl w:val="0"/>
              </w:rPr>
              <w:t xml:space="preserve">. Projekta īstenošanas laikā finansējuma saņēmējs var pieprasīt starpposma maksājumu par pabeigtajām darbībām. Noslēguma maksājumu iespējams pieprasīt tad, kad starpposma maksājumi kopsummā sasniedz 90 procentus no projektam pieejamā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Lai nodrošinātu viennozīmīgu normatīvā regulējuma interpretāciju, lūdzam svītrot noteikumu projekta 58.punkta pēdējo teikumu, ņemot vērā, ka noteikumu projekta 57.punktā noteikts, ka </w:t>
            </w:r>
            <w:r w:rsidR="00000000" w:rsidRPr="00000000" w:rsidDel="00000000">
              <w:rPr>
                <w:u w:val="single"/>
                <w:rtl w:val="0"/>
              </w:rPr>
              <w:t xml:space="preserve">avansa un starpposma maksājumu kopsumma nepārsniedz 90 procentus</w:t>
            </w:r>
            <w:r w:rsidR="00000000" w:rsidRPr="00000000" w:rsidDel="00000000">
              <w:rPr>
                <w:rtl w:val="0"/>
              </w:rPr>
              <w:t xml:space="preserve"> no projektam piešķirtā Eiropas Reģionālās attīstības fonda un valsts budžeta finansējuma kopsummas, kas ir atbilstoši Ministru kabineta 2023. gada 25. aprīļa noteikumu Nr. 205 "Valsts budžeta līdzekļu plānošanas kārtība Eiropas Savienības fondu projektu īstenošanai un maksājumu veikšanai 2021.–2027. gada plānošanas periodā" 16.punktam.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projekta darbību īstenošanu un priekšfinansē projektā plānotās izmaksas no saviem līdzekļiem, izņemot gadījumu, ja projektā plānots avanss saskaņā ar šo noteikumu </w:t>
            </w:r>
            <w:r w:rsidR="00000000" w:rsidRPr="00000000" w:rsidDel="00000000">
              <w:rPr>
                <w:rtl w:val="0"/>
              </w:rPr>
              <w:t xml:space="preserve">50. </w:t>
            </w:r>
            <w:r w:rsidR="00000000" w:rsidRPr="00000000" w:rsidDel="00000000">
              <w:rPr>
                <w:rtl w:val="0"/>
              </w:rPr>
              <w:t xml:space="preserve">punktu</w:t>
            </w:r>
            <w:r w:rsidR="00000000" w:rsidRPr="00000000" w:rsidDel="00000000">
              <w:rPr>
                <w:rtl w:val="0"/>
              </w:rPr>
              <w:t xml:space="preserve">. Projekta īstenošanas laikā finansējuma saņēmējs var pieprasīt starpposma maksājumu par pabeigtajām darbībām.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projekta īstenošanā iesaistās ar tā valdījumā vai īpašumā esošu mantu, intelektuālo īpašumu, finansējumu vai cilvēkresursiem.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kā šis punkts ir saskaņā ar punktu šo -  31. Projekta iesniedzējs pētniecības projekta īstenošanai nepieciešamo privāto līdzfinansējumu nevar ieguldīt natūrā.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privāto līdzfinansējumu nevar ieguldīt natūrā, taču lai nodrošinātu efektīvu projekta īstenošanu(papildinot publisko finansējumu) projekta iesniedzējs nodrošina privāto līdzfinansējumu un citus privātos resursus, t.sk. īpašumā esošo mantu, intelektuālo īpašu u.c.</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īstenošanā iesaistās ar tā valdījumā vai īpašumā esošu mantu, intelektuālo īpašumu, finansējumu vai cilvēkresursiem.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uzņemas risku visas ar projekta īstenošanu saistītās izmaksas segt no saviem līdzekļiem, ja projekta iesniegums neatbilst projektu iesniegumu vērtēšanas kritērijiem sadarbības iestāde pieņem lēmumu par komercdarbības atbalsta nepiešķiršanu vai konstatē neatbilstības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uzsāk īstenot pēc tam, kad projekta iesniegums ir apstiprināts (ir atbildis projektu iesniegumu vērtēšanas kritērijiem), tādējādi normā nevar tikt runāts par </w:t>
            </w:r>
            <w:r w:rsidR="00000000" w:rsidRPr="00000000" w:rsidDel="00000000">
              <w:rPr>
                <w:u w:val="single"/>
                <w:rtl w:val="0"/>
              </w:rPr>
              <w:t xml:space="preserve">ar projekta īstenošanu</w:t>
            </w:r>
            <w:r w:rsidR="00000000" w:rsidRPr="00000000" w:rsidDel="00000000">
              <w:rPr>
                <w:rtl w:val="0"/>
              </w:rPr>
              <w:t xml:space="preserve"> saistīto izmaksu segšanu, ja </w:t>
            </w:r>
            <w:r w:rsidR="00000000" w:rsidRPr="00000000" w:rsidDel="00000000">
              <w:rPr>
                <w:u w:val="single"/>
                <w:rtl w:val="0"/>
              </w:rPr>
              <w:t xml:space="preserve">projekta iesniegums neatbilst</w:t>
            </w:r>
            <w:r w:rsidR="00000000" w:rsidRPr="00000000" w:rsidDel="00000000">
              <w:rPr>
                <w:rtl w:val="0"/>
              </w:rPr>
              <w:t xml:space="preserve">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un precizēt noteikumu projekta 61. punkta redakciju, lai būtu viennozīmīgi skaidrs, kādas izmaksas finansējuma saņēmējs uzņemas segt no saviem līdzekļiem, piemēram, svītrojot vārdus "projekta iesniegums neatbilst projektu iesniegumu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uzņemas risku visas ar projekta īstenošanu saistītās izmaksas segt no saviem līdzekļiem, ja sadarbības iestāde pieņem lēmumu par komercdarbības atbalsta nepiešķiršanu vai konstatē neatbilstības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nav vadošā kompetentā iestāde zinātniskā aspekta vērtēšanā, sagaidām iesaisti no atbildīgās un sadarbības iestādes, ieskaitot konsultācijas un cita veida atbalstu no iestādēm, kurām šobrīd jau ir piešķirts attiecīgs finansējums un pielīgts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52.punktu, paredzot, ka pie situācijas, kad  sadarbības iestāde pamatojas uz zinātniskās kvalitātes izvērtējumu, kuru sniedz Aizsardzības ministrija un piesaistītās zinātniskās un pētniecības organizācijas, izvērtē projekta rezultātus, iekļautās izmaksas un sasniegto rezultātu atbilstību projekta mērķim un plānotajām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un pētniecības organizācijas ir tās, kuras var sniegt kvalitatīvu zinātniskās kvalitātes izvērtējumu, savukārt Aizsardzības ministrija var sniegt viedokli par projekta atbilstību aizsardzības jomas prioritātēm un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w:t>
            </w:r>
            <w:r w:rsidR="00000000" w:rsidRPr="00000000" w:rsidDel="00000000">
              <w:rPr>
                <w:u w:val="single"/>
                <w:rtl w:val="0"/>
              </w:rPr>
              <w:t xml:space="preserve"> un piesaistītās zinātniskās un pētniecības organizācijas</w:t>
            </w:r>
            <w:r w:rsidR="00000000" w:rsidRPr="00000000" w:rsidDel="00000000">
              <w:rPr>
                <w:rtl w:val="0"/>
              </w:rPr>
              <w:t xml:space="preserve">,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var novērtēt duāla pielietojuma produktus un tehnoloģijas pateicoties zināšanām par drošības riskiem, militāriem pielietojumiem un valsts aizsardzības vajadzībām, nodrošinot atbilstību stratēģiskajām un drošības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52.punktu, paredzot, ka pie situācijas, kad  sadarbības iestāde pamatojas uz zinātniskās kvalitātes izvērtējumu, kuru sniedz Aizsardzības ministrija </w:t>
            </w:r>
            <w:r w:rsidR="00000000" w:rsidRPr="00000000" w:rsidDel="00000000">
              <w:rPr>
                <w:u w:val="single"/>
                <w:rtl w:val="0"/>
              </w:rPr>
              <w:t xml:space="preserve">un piesaistītās zinātniskās un pētniecības organizācijas</w:t>
            </w:r>
            <w:r w:rsidR="00000000" w:rsidRPr="00000000" w:rsidDel="00000000">
              <w:rPr>
                <w:rtl w:val="0"/>
              </w:rPr>
              <w:t xml:space="preserve">, izvērtē projekta rezultātus, iekļautās izmaksas un sasniegto rezultātu atbilstību projekta mērķim un plānotajām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un pētniecības organizācijas ir tās, kuras var sniegt kvalitatīvu zinātniskās kvalitātes izvērtējumu, savukārt Aizsardzības ministrija var sniegt viedokli par projekta atbilstību aizsardzības jomas prioritātēm un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var novērtēt duāla pielietojuma produktus un tehnoloģijas pateicoties zināšanām par drošības riskiem, militāriem pielietojumiem un valsts aizsardzības vajadzībām, nodrošinot atbilstību stratēģiskajām un drošības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noteikumu projektā nosacījumus, kas paredz CFLA rīcību gadījumā, ja Aizsardzības ministrijas atzinums starpposma vai noslēguma posmā ir negatīvs, kā arī lūdzu iekļaut nosacījumu par to, kurš un kādā formātā izstrādās finansējuma saņēmēja atskaites formas, kā arī kritērijus, kurus izmantos Aizsardzības ministrija zinātniskās kvalitātes izvērtējuma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punktiem, paredzot nosacījumus gala rezultātu izvērtēšanai, finansējuma saņēmēja atskaites formas sagatavošanai un Aizsardzības ministrijas atzinuma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pārtraukšana pirms termiņa beigām ir atbalstāma, ja projekta īstenošanas gaitā finansējuma saņēmējs konstatē, ka nebūs iespējams pilnībā sasniegt projekta izvirzīto mērķi. Sadarbības iestāde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projekta rezultātus, iekļautās izmaksas un sasniegto rezultātu atbilstību projekta mērķim un plānotajām aktivitātēm izvērtē sadarbības iestāde, pamatojoties uz zinātniskās kvalitātes izvērtējumu, kuru sniedz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Aizsardzības ministrija kopīgi ar sadarbības iestādi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Projektu īstenošanas uzraudzībai Aizsardzības ministrija kopīgi ar sadarbības iestādi nodrošina projektu gala rezultātu zinātniskās kvalitātes izvērtējumu,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pēc atbildīgās iestādes pieprasījuma 10 darbdienu laikā, bet ne retāk kā reizi gadā, iesniedz atbildīgajai iestādei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un tā apakšpunktus, ņemot vērā, ka, piemēram, dati “vai eksporta apjoms atbalstītajam komersanta pieaug par vismaz 10 procentiem piecu gadu laikā no noslēgumu pārskata iesniegšanas” attiecas tikai uz datu iesniegšanas periodu pēc projekta pabeigšanas, nevis 63.punktā minēto normu kopumā - ne retāk kā reizi gadā (tas ir, šos datus par procentuālo pieaugumu 10% var iesniegt tikai 5.gadā pēc tam, kad ir iesniegts noslēguma pārskats - ātrāk to nav iespējams zināt - līdz tam var informēt tikai par eksporta apjomu iepriekšējā noslēgtā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precizēt – cik ilgā periodā tad šie dati ir jāiesniedz. Vai tie būtu 5 gadi vēl pēc projekta realizēšanas (lai novērtētu 10% pieauguma prasības izpildi saskaņā ar 63.1. un 63.2.minēto), vai arī saskaņā ar izziņā minēto: “Skaidrojam, ka komersantam nepieciešams sniegt informāciju par eksporta apjomu 3 gadu periodā pēc noslēguma pārskata iesniegšanas vadības informācijas sistēmā, informējot Ekonomikas ministriju par eksporta apjoma pieaugumu vismaz 10%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ir arī ar produktivitātes rādītājiem, ko nosaka 63.2.apakšpunkts.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pēc atbildīgās iestādes pieprasījuma 10 darbdienu laikā iesniedz atbildīgajai iestādei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komersanta eksporta apjomu par iepriekšējo noslēgto pārskata gadu ne retāk kā reizi gadā, kā arī noteiktajā projekta atskaites periodā informējot, vai eksporta apjoms atbalstītajam komersanta pieaug par vismaz 10 procentiem piecu gadu laikā no noslēgumu pārskata iesniegšanas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komersanta produktivitātes apjomu par iepriekšējo noslēgto pārskata gadu ne retāk kā reizi gadā, kā arī noteiktajā projekta atskaites periodā informējot, vai produktivitātes apjoms atbalstītajam komersantam pieaug par vismaz 10 procentiem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papildināta ar piedāvāto skaidrojumu datu uzkrāšanai.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Atbildīgā iestāde, izmantojot Centrālas statistikas pārvaldes datus, ne vēlāk kā trīs gadus pēc projekta īstenošanas apkopo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Projekta īstenošanas laikā finansējuma saņēmējs var saņemt avansu, kas nepārsniedz 30 procentus no projekta Eiropas Savienības fondu un valsts budžeta finansējuma kopsummas, vienlaikus nodrošinot, ka avansa un starpposma maksājumu kopsumma nepārsniedz 90 procentus no Eiropas Savienības fondu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62.punktu, norādot, ka avansa, kā arī avansa un starpposma maksājuma kopsumma ir no </w:t>
            </w:r>
            <w:r w:rsidR="00000000" w:rsidRPr="00000000" w:rsidDel="00000000">
              <w:rPr>
                <w:u w:val="single"/>
                <w:rtl w:val="0"/>
              </w:rPr>
              <w:t xml:space="preserve">Eiropas Reģionālās attīstības fonda</w:t>
            </w:r>
            <w:r w:rsidR="00000000" w:rsidRPr="00000000" w:rsidDel="00000000">
              <w:rPr>
                <w:rtl w:val="0"/>
              </w:rPr>
              <w:t xml:space="preserve"> un valsts budžeta finansējuma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Projekta īstenošanas laikā finansējuma saņēmējs var saņemt avansu, kas nepārsniedz 30 procentus no </w:t>
            </w:r>
            <w:r w:rsidR="00000000" w:rsidRPr="00000000" w:rsidDel="00000000">
              <w:rPr>
                <w:u w:val="single"/>
                <w:rtl w:val="0"/>
              </w:rPr>
              <w:t xml:space="preserve">projektam piešķirtā ERAF</w:t>
            </w:r>
            <w:r w:rsidR="00000000" w:rsidRPr="00000000" w:rsidDel="00000000">
              <w:rPr>
                <w:rtl w:val="0"/>
              </w:rPr>
              <w:t xml:space="preserve"> un valsts budžeta finansējuma kopsummas, vienlaikus nodrošinot, ka avansa un starpposma maksājumu kopsumma nepārsniedz 90 procentus no </w:t>
            </w:r>
            <w:r w:rsidR="00000000" w:rsidRPr="00000000" w:rsidDel="00000000">
              <w:rPr>
                <w:u w:val="single"/>
                <w:rtl w:val="0"/>
              </w:rPr>
              <w:t xml:space="preserve">projektam piešķirtā ERAF</w:t>
            </w:r>
            <w:r w:rsidR="00000000" w:rsidRPr="00000000" w:rsidDel="00000000">
              <w:rPr>
                <w:rtl w:val="0"/>
              </w:rPr>
              <w:t xml:space="preserve">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Projekta īstenošanas laikā finansējuma saņēmējs var saņemt avansu, kas nepārsniedz 30 procentus no projektam piešķirtā ERAF un valsts budžeta finansējuma kopsummas, vienlaikus nodrošinot, ka avansa un starpposma maksājumu kopsumma nepārsniedz 90 procentus no projektam piešķirtā ERAF un valsts budžeta finansējuma kopsummas, ja tiek ievēroti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nodrošināt vienotu pieeju zinātniskās kvalitātes aspekta izvērtējumam pētījumu programmās. Vēršam uzmanību, ka Centrālā finanšu un līgumu aģentūra š.g. 2.augustā ir noslēgusi starpresoru vienošanos ar Latvijas Zinātnes padomi par ārvalstu ekspertīzes nodrošināšanu projektu zinātniskās kvalitātes izvērtēšanai. Minētās vienošanās pielikumos ir ietverta zinātniskās kvalitātes aspekta pārbaudes lapas, t.sk. pēc Revīzijas izteiktās rekomendācijas, ekspertiem ietverta prasība par atzinuma sniegšanu par komersanta iesniegtā pētījuma atbilstību tai vai citai pētījumu kategorijai - aicinām šo pārbaudes lapu izmantot arī 1.2.1.1. pasākuma trešajā kārtā, nosakot prasības eksperta atzinuma saturam.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notiek projektu iesniegumu vērtēšanas kritēriju saskaņošana Uzraudzības komitejā. Papildus, kad tiks sagatavota atbalsta programmas regulējošā dokumentācija (noteikumu projekts un vērtēšanas kritēriji), EM izstrādās standartformas projektu rezultātu vērtēšanai, ko plānots saskaņot kopā ar projektu iesniegumu atlases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atbilstoši šo noteikumu </w:t>
            </w:r>
            <w:r w:rsidR="00000000" w:rsidRPr="00000000" w:rsidDel="00000000">
              <w:rPr>
                <w:rtl w:val="0"/>
              </w:rPr>
              <w:t xml:space="preserve">46.9. </w:t>
            </w:r>
            <w:r w:rsidR="00000000" w:rsidRPr="00000000" w:rsidDel="00000000">
              <w:rPr>
                <w:rtl w:val="0"/>
              </w:rPr>
              <w:t xml:space="preserve">apakšpunktam</w:t>
            </w:r>
            <w:r w:rsidR="00000000" w:rsidRPr="00000000" w:rsidDel="00000000">
              <w:rPr>
                <w:rtl w:val="0"/>
              </w:rPr>
              <w:t xml:space="preserve">, sagatavo noslēguma rezultātu atskaiti zinātniskās kvalitātes izvērtējuma saņemšanai, iekļaujot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punkts jāpapildina ar apakšpunktu, ka tiek sniegta informācija par projekta aktualitāti un pielietojamību aizsardzības un drošības jomā (atbilstoši 3. punktam), tāpat arī 54. punktā dzēšot teikuma daļu "zinātniskās kvalitātes izvērtējuma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atbilstoši šo noteikumu 46.9. apakšpunktam, sagatavo noslēguma rezultātu atskaiti, iekļaujot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projekta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zinātniskā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inovāciju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 aktualitāte un pielietojamība aizsardzības un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Finansējuma saņēmējs, atbilstoši šo noteikumu </w:t>
            </w:r>
            <w:r w:rsidR="00000000" w:rsidRPr="00000000" w:rsidDel="00000000">
              <w:rPr>
                <w:rtl w:val="0"/>
              </w:rPr>
              <w:t xml:space="preserve">47.9. </w:t>
            </w:r>
            <w:r w:rsidR="00000000" w:rsidRPr="00000000" w:rsidDel="00000000">
              <w:rPr>
                <w:rtl w:val="0"/>
              </w:rPr>
              <w:t xml:space="preserve">apakšpunktam</w:t>
            </w:r>
            <w:r w:rsidR="00000000" w:rsidRPr="00000000" w:rsidDel="00000000">
              <w:rPr>
                <w:rtl w:val="0"/>
              </w:rPr>
              <w:t xml:space="preserve">, sagatavo noslēguma rezultātu atskaiti, iekļaujot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Pasākuma ietvaros vadības informācijas sistēmā uzkrāj šādus RIS3 rādītājus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VI š.g. 9.jūlija e-pastu EM un IZM par RIS3 rādītāju tehnisko risinājumu KPVIS, aicinām EM MKN projekta 62.punktu formulēt ņemot vēra VI norādījumus par RIS3 rādītāju iedalīšanu RIS3 rādītajos un nacionālā līmeņa rādītājos, kā arī anotācijā un Vadlīniju par viedās specializācijas stratēģijas jomas noteikšanu un monitoringa veikšanu projektā skaidri atrunāt, ka par RIS3 rādītāju noziņošanu caur maksājumu pieprasījumiem ir atbildīgs finansējuma saņēmējs, savukārt par nacionālo radītāju apkopošanu ir atbildīga AI. Ja šo jautājumu ir nepieciešams izrunāt kopīgā sanāksmē, aicinām EM tādu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iekļautie RIS3 dati nav uzskatāmi par nacionālajiem rādītājiem, bet datiem, kuri tiek uzkrāti pēc projekta īstenošanas, lai noteiktu projekta ieguldījumu RIS3 jomu attīstībā un efektīvāk plānotu aktivitātes nākamajam plānošanas periodam.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Pasākuma ietvaros finansējuma saņēmējs kopā ar noslēguma maksājuma pieprasījumu iesniedz informāciju par šādiem RIS3 rādītājiem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54.4.1.1.punkta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54.4.1.1.1.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redakcijas un apakšpunktu secība ir saskaņā ar “Vadlīnijas par viedās specializācijas stratēģijas jomas noteikšanu un monitoringa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58.4.1.1. pētnieki (zinātnieki un citi profesionāļi);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54.4.1.2. P&amp;A tehniskais personāls, t.sk., P&amp;A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54.4.1.2. 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projekta 54.4.1.2.1.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redakcijas un apakšpunktu secība ir saskaņā ar “Vadlīnijas par viedās specializācijas stratēģijas jomas noteikšanu un monitoringa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58.4.1.2. P&amp;A tehniskais personāls, t.sk., P&amp;A atbalsta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54.5.1.1.punkta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šī noteikumu projekta 54.5.1.1.1.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redakcijas un apakšpunktu secība ir saskaņā ar “Vadlīnijas par viedās specializācijas stratēģijas jomas noteikšanu un monitoringa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58.5.1.1. pētnieki (zinātnieki un citi profesionāļi);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54.5.1.2. P&amp;A tehniskais personāls, t.sk., P&amp;A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EM pārkārtot noteikumu projekta 54.5.1.2.punkta apakšpunktus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šī noteikumu projekta 54.5.1.2.1.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redakcijas un apakšpunktu secība ir saskaņā ar “Vadlīnijas par viedās specializācijas stratēģijas jomas noteikšanu un monitoringa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58.5.1.2. P&amp;A tehniskais personāls, t.sk., P&amp;A atbalsta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Aizsardzības ministrija atzinumu par finansējuma saņēmēja sagatavoto noslēguma rezultātu atskaiti sniedz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tiek piešķirta ilgtermiņa  loma, kapacitāte un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AM var primāri sniegt vērtējumu savas kompetences ietvaros par aizsardzības nozares vajadzībām un tehnoloģiju pielietojamību nozarē. Atbildīgajai vai sadarbības iestādei zinātniskā aspekta un kvalitātes vērtēšanai, kā arī finansējuma izlietojuma atbilstības vērtēšanai būtu nepieciešams piesaistīt arī citas iestādes/ ekspertus atbilstoši to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Aizsardzības ministrija atzinumu par finansējuma saņēmēja sagatavoto noslēguma rezultātu atskaiti sniedz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uzņemas risku visas radušās izmaksas segt no saviem līdzekļiem, ja sadarbības iestāde pieņem lēmumu par komercdarbības atbalsta nepiešķiršanu vai konstatē neatbilstības projektu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64.punkta redakciju, lai būtu viennozīmīgi skaidrs, kādas izmaksas finansējuma saņēmējs uzņemas segt no saviem līdzekļiem. Vēršam uzmanību, ka vērtēšanas process ir saistīts ar projektu iesniegumu vērtēšanu, bet neatbilstības var rasties projekta īstenošanas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izskatījusi priekšlikumu un precizēta 64.punkta redakcija “Finansējuma saņēmējs uzņemas risku visas ar projekta īstenošanu radušās saistītās izmaksas segt no saviem līdzekļiem, ja projektu iesniegums neatbilst projektu iesniegumu vērtēšanas kritērijiem, sadarbības iestāde pieņem lēmumu par komercdarbības atbalsta nepiešķiršanu vai konstatē neatbilstības projekta īstenošanas laikā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uzņemas risku visas ar projekta īstenošanu saistītās izmaksas segt no saviem līdzekļiem, ja sadarbības iestāde pieņem lēmumu par komercdarbības atbalsta nepiešķiršanu vai konstatē neatbilstības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un atbilstību drošības un aizsardzības jomas vajadzību nodrošināšanai, tajā skaitā ir gūstama pārliecība, ka projekta ietvaros izstrādātais prototips atbilst jauna produkta vai tehnoloģijas definīcijai vai projekta darbības ir vērstas uz prototipa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punkta dzēst "un atbilstību drošības un aizsardzības jomas vajadzību nodrošināšanai" un atsevišķā, nākamajā apakšpunktā izdalīt pienesumu aizsardzības un drošības jomā (kā norādīts pie iebilduma par 55. punktu). Attiecīgi mainās apakšpunktu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vai projekta darbības ir vērstas uz prototipa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55.1.5. inovāciju kvalitāte, aktualitāte un pielietojamība aizsardzības un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projekts precizēts atbilstoši sniegtajiem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56.1.4. pētniecības rezultātu zinātniskā kvalitāte ir atbilstoša, ņemot vērā sasniegto rezultātu zinātnisko vērtību, novitātes līmeni, tajā skaitā ir gūstama pārliecība, ka projekta ietvaros izstrādātais prototips atbilst jauna produkta vai tehnoloģijas definīcijai, atbilstoši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minētajam, vai projekta darbības ir vērstas uz prototipa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Pasākuma ietvaros pēc projekta īstenošanas atbildīgā iestāde, izmantojot Centrālās statistikas pārvaldes datus, apkopo informāciju par šādiem RIS3 rādītājiem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precizējumi neatbilst panāktajai vienošanās starp Izglītības un zinātnes ministriju, Ekonomikas ministriju, Centrālo finanšu un līgumu aģentūru un vadošo iestādi par RIS3 monitoringa datu vākšanu caur Kohēzijas politikas fondu vadības informācijas sistēmu, kā arī ir atšķirīga no vienotas pieejas, kas iestrādāta citos Eiropas Savienības kohēzijas politikas programmas 2021.-2027. gadam 1.1.1.specifiskā atbalsta mērķa un 1.2.1.specifiskā atbalsta mērķa Ministru kabineta noteikumos. Pieejas maiņa nav saskaņota ne ar vienu no pusēm, turklāt tā nenodrošinās ikgadēju RIS3 monitoringa rādītāju uzkrāšanu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šo jautājumu pārrunāt kopīgā sanāksmē, pieaicinot arī Izglītības un zinātnes ministrijas kolēģus.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iesniegs informāciju par RIS3 rādītājiem kopā ar noslēguma maksājuma pieprasījumu. Informācija tiks sniegta par projektā veiktajām aktivitātēm, kas nodrošinās to korektu uzskaiti. Savukārt, informācija par komersanta eksportu, apgrozījumu un produktivitātes apjomu tiks analizēta atbilstoši CSP pieejamai informācijai trīs gadus pēc projekta īstenošanas. Vienlaikus, Ekonomikas ministrija plāno organizēt tikšanos ar ar iesaistītajām pusēm, lai vienādotu datus uzkrāšanas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Pasākuma ietvaros finansējuma saņēmējs kopā ar noslēguma maksājuma pieprasījumu iesniedz informāciju par šādiem RIS3 rādītājiem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Vieglākai normas uztveramībai, aicinām Ekonomikas ministriju pārkārtot noteikumu projekta 57.4.1.1. apakšpunkta punktus secībā, kas atspoguļo augstāko izglītības līmenī virzienā uz lejupejošo (doktora grāda ieguvēji/ jaunie zinātnieki/ doktoranti un doktora grāda pretendenti/ maģistra grāda, bakalaura grāda, pirmā vai otrā līmeņa augstākās profesionālās izglītības ieguvēji/ ar cita līmeņa izglītību, kas zemāka par šo noteikumu 57.4.1.1.1.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lūgums arī par 57.4.2.1., 57.5.2.1.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atbilsotši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58.4.1.1. pētnieki (zinātnieki un citi profesionāļi);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apliecinājumā norādīts nekorekts fonds - šobrīd norādīts Atveseļošanās fonds. Vienlaikus lūdzam izvērtēt šāda apliecinājuma nepieciešamību, ievērojot to, ka noteikumu projekts neparedz daudzpakāpju projekta īstenošanu, kā arī projektu vērtēšanas komisija tiek izveidota, ievērojot sadarbības iestādes iekšējās kontroles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citu CFLA iebildumu, dzēsusi noteikumu projekta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iepriekšējos iebildumus par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atsaukusi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Aizsardzības ministrijas pārstāvja kompetenci vērtēt duālas nozīmes projektu zinātniskās kvalitātes un inovāciju aspektus, aicinām EM anotācijas 1.3.punkta sadaļas II Prasības projekta iesniedzējam un projekta vērtēšanai, kur minēts, ka sadarbības iestāde projektu iesniegumu vērtēšanas komisijā projektu iesniegumu inovācijas aspekta un zinātniskā aspekta vērtēšanai iekļauj Aizsardzības ministrijas pārstāvi, papildināt, to, ka tie būs Aizsardzības tehnoloģiju inovāciju centra speciālisti, aprakstot to līdzšinējo iesaisti un pieredzi ES fondu projektu vērtēšanā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procesā Aizsardzības ministrija norādījusi, ka noteikumu projektā un anotācijā nav nepieciešams iekļaut ATIC, noteikumu projekta anotācijas saglabāta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"Publisko atbalstu papildinošo privāto investīciju apjoms" nesakrīt ar noteikuma projektā norādīto. Lūgums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salāgots ar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izsekojamībai, anotācijā norādīt arī pārējo pasākuma kārtu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1.2.1.1. pasākuma "Atbalsts jaunu produktu attīstībai un internacionalizācijai" pirmās kārtas īstenošanas noteikumu (Ministru kabineta  23.07.2024. noteikumi Nr. 501) anotācijā norādīto, ka  no Eiropas Savienības 1.2.1.1. pasākuma “Atbalsts jaunu produktu attīstībai un internacionalizācijai” trešās kārtas uz pirmo kārtu tiek pārvirzīts finansējums 500 000 EUR, lai Ekonomikas ministrija kā finansējuma saņēmējs nodrošinātu ekspertīzi 1.2.1.1. pasākuma “Atbalsts jaunu produktu attīstībai un internacionalizācijai” trešās kārtas projektu iesniegumu atlasē sagaidāmajiem pētniecības projektiem, lūdzam papildināt šī noteikumu projekta anotāciju ar norādi, ka gadījumā, ja kādā no pasākuma trešās kārtas norises posmiem nepieciešams piesaistīt ekspertu kādu specifisku jautājumu izvērtēšanā, eksperta piesaistes izmaksas tiek segtas no Ekonomikas ministrijai kā 1.2.1.1. pasākuma “Atbalsts jaunu produktu attīstībai un internacionalizācijai” pirmās kārtas finansējuma saņēmējam piešķirtā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dalība Eiropas Savienības dronu koalīcijā pati par sevi nevar tikt uzskatīta par efektīvu sadarbību pēc noklusējuma. Lai izpildītos Komisijas Regulas 651/2014 25. panta 6. punkta "d" apakšpunkta nosacījumi un tādējādi projektam būtu iespējams piemērot paaugstinātu atbalsta intensitāti, ir jāvērtē konkrēta projekta ietvaros plānotās sadarbības atbilstība Komisijas Regulas 651/2014 2. panta 90. punktā noteiktajai efektīvas sadarbības definīcijai. Ņemot vērā iepriekš minēto, lūdzam dzēst anotācijas 1.3. punkta "Pašreizējā situācija, problēmas un risinājumi" sadaļā "IV Finansējuma saņēmēja izmaksu attiecināmības nosacījumi" iekļauto rindkopu "Pasākuma ietvaros iespējams palielināt finansējuma intensitāti, atbilstoši Noteikumu projekta 38. punktam. Ar Noteikumu projekta 39.1. apakšpunktā minēto efektīvo sadarbību ar vismaz triju dažādu Eiropas Savienības dalībvalstu pārstāvjiem saprotama Eiropas Savienības dronu koalīcija" vai precizēt to, nosakot, ka efektīva sadarbība var tikt veidota, arī īstenojot projektu kopā ar Eiropas Savienības dronu koalīcijas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ietverto informāciju par to, ka </w:t>
            </w:r>
            <w:r w:rsidR="00000000" w:rsidRPr="00000000" w:rsidDel="00000000">
              <w:rPr>
                <w:i w:val="1"/>
                <w:rtl w:val="0"/>
              </w:rPr>
              <w:t xml:space="preserve">"pasākuma ietvaros Komisijas regulas Nr.651/2014 1.panta 4.punkta un 2.panta 18.punkta nosacījumi ir jāpiemēro uzņēmuma grupas līmenī, attiecīgi ar terminu "komersants" tiek saprasts, ka komersants tiek vērtēts uzņēmumu grupas līmenī",</w:t>
            </w:r>
            <w:r w:rsidR="00000000" w:rsidRPr="00000000" w:rsidDel="00000000">
              <w:rPr>
                <w:rtl w:val="0"/>
              </w:rPr>
              <w:t xml:space="preserve"> ietvert arī noteikumu projektā pie attiecīgajiem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un noteikumu projektu arī ar atsauci uz Komisijas 2014.gada 17.jūnija Regulas Nr.651/2014, ar ko noteiktas atbalsta kategorijas atzīst par saderīgām ar iekšējo tirgu, piemērojot Līguma 107. un 108.pantu, 4.panta nosacījumiem, ņemot vērā, ka atbalsta projektam pieļaujamais maksimālais slieksnis arī ir vērtējams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norādīto informāciju, kas saistīta ar rezultāta rādītāja uzskaiti - SAM rādītāju metodoloģijas aprakstā, kas pieejams esfondi.lv, sniegtā rādītāja definīcija paredz, ka rezultāta rādītājs aptver arī neattiecināmo projekta izmaksu daļu, ieskaitot PVN, un šī ir informācija, kas netiek uzrādīta KP VIS. Lai nodrošinātu korektu MK noteikumu 10.2. apakšpunktā norādītā rezultāta rādītāja "publisko atbalstu papildinošo privāto investīciju apjoms vismaz 15 194 567 euro" uzskaiti, lūdzam precizēt anotāciju, norādot, kāds dokuments uzskatāms kā pierādījums, kas pamatos noteiktā rādītāju sasniegšanu (attiecībā uz neattiecināmo projekta izmaksu daļu, ieskaitot PVN), vai lūdzam sniegt skaidrojumu anotācijā, kas pamato rādītāja uzskaiti atšķirīgā kārtībā, kāda tā noteikta SAM rādītāju metodoloģijas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sekojošs skaidrojums: Privāto investīciju apjoms tiks noteikts pēc Kohēzijas politikas fondu vadības informācijas sistēmā pieejamās informācijas(apstiprinātie noslēguma maksājuma pieprasījumi). Vienlaikus, rādītājs uzskaitē netiks iekļauta neattiecināmo projekta izmaksu daļa,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 kas sākas ar vārdiem "Ņemot vērā, ka noteikumu projekta ietvaros projektiem minimālais attiecināmo izmaksu apmērs noteikts ne mazāk kā 200 tūkst. EUR" papildināt ar konkrētu Regulas punktu, lai būtu skaidrs, kura Regulas punkta prasība neizpildās.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6.punktā sniegto informāciju papildināt ar skaidrojumu, kas pamato valsts budžeta līdzfinansējuma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departamenta komentārs, Elīna Kobzeva)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Valsts budžeta līdzfinansējums palielina publiskā finansējuma apjomu, kā rezultātā lielāks atbalsta apjoms vairāk sekmēs tautsaimniecības attīstību. Vienlaikus, ņemot vērā plānoto kopējo finansējuma apjomu ir noteikti Politikas programmas rezultatīvie un iznākuma rādītāji, kā arī plānota atbalsta pieejamība.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Prasības projekta iesniedzējam un projekta vērtēšanai" tekstā </w:t>
            </w:r>
            <w:r w:rsidR="00000000" w:rsidRPr="00000000" w:rsidDel="00000000">
              <w:rPr>
                <w:i w:val="1"/>
                <w:rtl w:val="0"/>
              </w:rPr>
              <w:t xml:space="preserve">"Pasākuma ietvaros atklāta konkursa uzsaukumus organizē </w:t>
            </w:r>
            <w:r w:rsidR="00000000" w:rsidRPr="00000000" w:rsidDel="00000000">
              <w:rPr>
                <w:b w:val="1"/>
                <w:i w:val="1"/>
                <w:rtl w:val="0"/>
              </w:rPr>
              <w:t xml:space="preserve">trijās</w:t>
            </w:r>
            <w:r w:rsidR="00000000" w:rsidRPr="00000000" w:rsidDel="00000000">
              <w:rPr>
                <w:i w:val="1"/>
                <w:rtl w:val="0"/>
              </w:rPr>
              <w:t xml:space="preserve"> kārtās, jaunu atklātu projektu iesniegumu atlasi sludinot pēc tam, kad noslēgusies iepriekšējā atlases kārta. Pirmo trīs projektu iesniegumu atlases kārtu ietvaros paredzētais attiecināmais finansējums – 16 milj. euro. </w:t>
            </w:r>
            <w:r w:rsidR="00000000" w:rsidRPr="00000000" w:rsidDel="00000000">
              <w:rPr>
                <w:b w:val="1"/>
                <w:i w:val="1"/>
                <w:rtl w:val="0"/>
              </w:rPr>
              <w:t xml:space="preserve">Ceturtajai un piektajai</w:t>
            </w:r>
            <w:r w:rsidR="00000000" w:rsidRPr="00000000" w:rsidDel="00000000">
              <w:rPr>
                <w:i w:val="1"/>
                <w:rtl w:val="0"/>
              </w:rPr>
              <w:t xml:space="preserve"> atlases kārtām kopējo finansējums paredzēts 11 375 400 euro apmērā, savukārt noslēguma projektu iesniegumu atlases kārtu organizē par visu pasākuma ietvaros neizmantoto attiecināmo finansējumu, tai skaitā, elastības finansējumu, ja pēc Eiropas Komisijas lēmuma par vidusposma pārskatu tiek palielināts pasākumam kopējais pieejamais attiecināmais finansējums. Projektu iesniegumu atlases kārtas grafiku sadarbības iestāde saskaņo ar atbildīgo iestādi" </w:t>
            </w:r>
            <w:r w:rsidR="00000000" w:rsidRPr="00000000" w:rsidDel="00000000">
              <w:rPr>
                <w:rtl w:val="0"/>
              </w:rPr>
              <w:t xml:space="preserve">nav skaidri saprotams, cik atlases kārtas paredzētas.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nodrošinot skaidras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visās vietās tekstā kopējais pieejamais finansējums (32 501 748 EUR) ir norādīts par 1 EUR mazāk nekā noteikumu projektā. Lūdzam precizēt anotāciju, lai salāgotu ar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precizēta atbilstoši sniegtajiem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kas Sodu reģistrā pārbaudāmas elektronisko izziņu vajadzībām, norādītas Ministru kabineta 2023. gada 13. jūlija noteikumu Nr. 408 "Kārtība, kādā Eiropas Savienības fondu vadībā iesaistītās institūcijas nodrošina šo fondu ieviešanu 2021.–2027. gada plānošanas periodā" (turpmāk - noteikumi Nr. 408)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papildināt anotācijas 1.3. sadaļas apakšsadaļā "Risinājuma apraksts" ietvertajā tabulā uzskaitītās normas un salāgot ar noteikumu Nr. 408 3. pielikumā noteikto, proti, pēc nepieciešamības tabulu papildinot arī ar atsaucēm uz Krimināllikuma 177.</w:t>
            </w:r>
            <w:r w:rsidR="00000000" w:rsidRPr="00000000" w:rsidDel="00000000">
              <w:rPr>
                <w:vertAlign w:val="superscript"/>
                <w:rtl w:val="0"/>
              </w:rPr>
              <w:t xml:space="preserve">1</w:t>
            </w:r>
            <w:r w:rsidR="00000000" w:rsidRPr="00000000" w:rsidDel="00000000">
              <w:rPr>
                <w:rtl w:val="0"/>
              </w:rPr>
              <w:t xml:space="preserve">, 178., 190.</w:t>
            </w:r>
            <w:r w:rsidR="00000000" w:rsidRPr="00000000" w:rsidDel="00000000">
              <w:rPr>
                <w:vertAlign w:val="superscript"/>
                <w:rtl w:val="0"/>
              </w:rPr>
              <w:t xml:space="preserve">1</w:t>
            </w:r>
            <w:r w:rsidR="00000000" w:rsidRPr="00000000" w:rsidDel="00000000">
              <w:rPr>
                <w:rtl w:val="0"/>
              </w:rPr>
              <w:t xml:space="preserve"> un 326.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sniegto komentāru 1.2.1.1. pasākuma otrās kārtas ietvaros: Vēršama uzmanība, ka Eiropas Savienības fondu 2021.–2027.gada plānošanas perioda vadības likuma 22.pantā nav ietverti tādi izslēgšanas nosacījumi (kritēriji)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“krāpšana automatizētā datu apstrādes sistēmā” (Krimināllikuma 177.1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krāpšana”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“preču un vielu, kuru aprite ir aizliegta vai speciāli reglamentēta, pārvietošana pāri Latvijas Republikas valsts robežai” (Krimināllikuma 190.1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“neatļauta piedalīšanās mantiskos darījumos” (Krimināllikuma 326.pants).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anotācijas 1.3.sadaļas apakšsadaļā “Komercdarbības atbalsta saņemšanas nosacījumi” ietverto tabulu, noteikumu projekta anotācija attiecīgie Krimināllikuma panti netiek iekļauti.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"IV Finansējuma saņēmēja izmaksu attiecināmības nosacījumi" norādīts,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noteikumu projekta ietvaros projektiem minimālais attiecināmo izmaksu apmērs noteikts ne mazāk kā 200 tūkst. EUR (ieskaitot), visi projekti paredzēti pētniecībai un inovācijām, kā arī katra projekta īstenotāja plānotās atbalsta aktivitātes un tiem paredzētie izcenojumi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pretrunā ar Regulas Nr.651/2014 25. panta 3. punkta e) apakšpunktu, kur noteikts, ka: </w:t>
            </w:r>
            <w:r w:rsidR="00000000" w:rsidRPr="00000000" w:rsidDel="00000000">
              <w:rPr>
                <w:i w:val="1"/>
                <w:rtl w:val="0"/>
              </w:rPr>
              <w:t xml:space="preserve">"papildu pieskaitāmās izmaksas un citi darbības izdevumi, tostarp materiālu, piederumu un līdzīgu produktu izmaksas, kas radušās tieši projekta rezultātā; neskarot 7. panta 1. punkta trešo teikumu, šādu </w:t>
            </w:r>
            <w:r w:rsidR="00000000" w:rsidRPr="00000000" w:rsidDel="00000000">
              <w:rPr>
                <w:i w:val="1"/>
                <w:u w:val="single"/>
                <w:rtl w:val="0"/>
              </w:rPr>
              <w:t xml:space="preserve">pētniecības un attīstības projektu izmaksas var arī aprēķināt, pamatojoties uz vienkāršoto izmaksu pieeju</w:t>
            </w:r>
            <w:r w:rsidR="00000000" w:rsidRPr="00000000" w:rsidDel="00000000">
              <w:rPr>
                <w:i w:val="1"/>
                <w:rtl w:val="0"/>
              </w:rPr>
              <w:t xml:space="preserve">, kurā pētniecības un attīstības projekta kopējām attiecināmajām tiešajām izmaksām, kas minētas a) līdz d) apakšpunktā, tiek piemērota </w:t>
            </w:r>
            <w:r w:rsidR="00000000" w:rsidRPr="00000000" w:rsidDel="00000000">
              <w:rPr>
                <w:i w:val="1"/>
                <w:u w:val="single"/>
                <w:rtl w:val="0"/>
              </w:rPr>
              <w:t xml:space="preserve">vienota likme maksimāli 20 % apmērā</w:t>
            </w:r>
            <w:r w:rsidR="00000000" w:rsidRPr="00000000" w:rsidDel="00000000">
              <w:rPr>
                <w:i w:val="1"/>
                <w:rtl w:val="0"/>
              </w:rPr>
              <w:t xml:space="preserve">. Šādā gadījumā pētniecības un attīstības projekta izmaksas, ko izmanto netiešo izmaksu aprēķināšanai, nosaka, pamatojoties uz parasto grāmatvedības praksi, un tās ietver tikai attiecināmās pētniecības un attīstības projekta izmaksas, kas minētas a) līdz d)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Regula Nr.651/2014 paredz vienoto likmi pētniecības un attīstības projektiem. Lūdzam precizēt anotācijā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Finanšu ministrijas sniegto komentāru un atkārtoti skaidro, ka atbilstoši Eiropas Parlamenta un Padomes regulas Nr. 2021/1060 53. panta 2. punkta otrajai daļai vienotās likmes prasības nav attiecināmas uz pētniecības un inovācijas jomu. Papildus norādām, ka pētniecības projektu tāmēs nav izdalīts tik detalizēts izmaksu atšifrējums, lai veiktu aprēķinu un noteiktu vienoto likmi, vienlaikus, pētniecības aktivitāšu izcenojums dažādās nozarēs krasi atšķiras, tādēļ vienotās likmes piemērošana nav iespējama un efektīva.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"Risinājuma apraksts" pie informācijas par interešu konflikta novēršanu, paredzot,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“V Projekta īstenošanas un finansējuma saņemšanas nosacījumi” apakšdaļa “Interešu konflikta novēršana” ar nosacījumiem finansējuma saņēmējam izstrādāt, kā tas pārliecinās par interešu konflikta, krāpšanas un korupcijas risku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Aiicnām EM anotācijas sadaļu "Vai ir izvērtēti alternatīvie risinājumi?"  papildināt ar informāciju ar apsvērumiem kāpēc ESIF 2021-2027.gadā netiek turpināts atbalsts pētījumiem, ieviešot to caur KC kā ESF 2014.-2020.gada periodā un ANM investīciju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papildināta anotācijas sadaļa "Vai ir izvērtēti alternatīvie risinājumi?" ar aprakstu par atbalsta shēmas izvēli pētniecības atbalsta programmā, nosakot, ka, lai ievērotu ESF 2014.-2020.gada plānošanas periodā sniegtos auditoru ieteikumus, kā arī nodrošinātu ātrāku atbalstu komersantiem, ņemot vērā, ka Atveseļošanas un noturības mehānisma plāna ietvaros šobrīd komersantiem jau ir pieejams atbalsts pie apstiprinātajiem finansējuma saņēmējiem, līdzšinējā divpakāpju līmeņa atbalsta pieeja mainīta uz atbalsta shēmu, ar kuru Aģentūra atbalstu pa tiešo piešķir komersantiem, kas paši īsteno pētniecības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sadaļas apakšsadaļu "Juridiskās personas" ar norādi uz komersantu, kas reģistrēts Latvijas Republikas Komercreģistrā, un Ekonomikas ministriju, savukārt atbilstošajā apakšsadaļā "Ietekmes apraksts" norādīt, ka komersants, kas reģistrēts Latvijas Republikas Komercreģistrā, pildīs finansējuma saņēmēja funkcijas, un Ekonomikas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ņemot vērā, ka atbilstoši noteikumu projekta 6.punktam 1.2.1.1. pasākuma "Atbalsts jaunu produktu attīstībai un internacionalizācijai" trešās kārtas ietvaros plānotais kopējais attiecināmais finansējums ir 32 001 749 euro, nevis 32 501 749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noteikumu projekta 6. punktā plānotajam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2024.gadu, attiecīgi ietekmi uz budžetu atspoguļojot korektajā ailē. Vienlaikus lūdzam izvērtēt un nepieciešamības gadījumā precizēt 6.punkta otrajā rindkopā norādīto projektu iesniegumos pasākuma īstenošanai pieejamo valsts budžeta finansējuma apmēru, ievērojot, ka plānotais kopējais attiecināmais valsts budžeta finansējuma apmērs ir palielināts par vienu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pēc sniegtajiem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uz atkārtoto saskaņošanu nodotajā projekta redakcijā (tostarp, bet ne tikai, izmaiņas projekta vienību numerācijā), aicinām aktualizēt anotācijas 5.4. sadaļas 1.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projekta 33. punkta apakšpunktos netiek vismaz daļēji pārrakstīti Eiropas Komisijas 2014. gada 17. jūnija Regulas (ES) Nr. 651/2014, ar ko noteiktas atbalsta kategorijas atzīst par saderīgām ar iekšējo tirgu, piemērojot Līguma 107. un 108. pantu 25. panta 3. punkta apakšpunkti.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 Attiecīgi aicinām izvērtēt un, ja projektā tiek pārrakstītas kādas regulas vienība vai vienības, lūdzam sniegt iepriekš minētajiem apsvērumiem atbilstošu pamatojumu anotācijā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 precizēta, vienlaikus, noteikumu projekta anotācijā iekļauts sekojošs skaidrojums: Lai nodrošinātu, ka tiek ievērotas juridiskās tehnikas prasības, kur tiesību normai ir jābūt skaidrai, lai tās lietotājs un piemērotājs gūtu nepārprotamu priekšstatu par normā ietvertajiem pienākumiem un tiesībām un, lai mazinātu izmaksu attiecināmības interpretācijas iespējas un potenciālos riskus, kur finansējuma saņēmējs projekta attiecināmajās izmaksās iekļauj izmaksu pozīcijas, kas nav attiecināmas, Noteikumu projektā daļēji tiek pārrakstītas Komisijas regulas Nr. 651/2014 25. panta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noteikumu projekta saskaņošanas gaitā Ekonomikas ministrijas piedāvāto risinājumu 1.2.1.1. pasākuma "Atbalsts jaunu produktu attīstībai un internacionalizācijai" trešajai kārtai, kas paredz attiecīgajos specifiskā atbalsta mērķa īstenošanas Ministru kabineta noteikumos paredzēt iespēju projekta iesnieguma vērtēšanu uzsākt uzreiz pēc tā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 punktu, ņemot vērā, ka Eiropas Savienības fondu 2021.—2027. gada plānošanas perioda vadības likuma (turpmāk - likums) 28. panta pirmā daļa paredz, ka sadarbības iestāde lēmumu par projekta iesnieguma apstiprināšanu, apstiprināšanu ar nosacījumu vai noraidīšanu pieņem triju mēnešu laikā </w:t>
            </w:r>
            <w:r w:rsidR="00000000" w:rsidRPr="00000000" w:rsidDel="00000000">
              <w:rPr>
                <w:u w:val="single"/>
                <w:rtl w:val="0"/>
              </w:rPr>
              <w:t xml:space="preserve">pēc projekta iesnieguma iesniegšanas beigu datuma</w:t>
            </w:r>
            <w:r w:rsidR="00000000" w:rsidRPr="00000000" w:rsidDel="00000000">
              <w:rPr>
                <w:rtl w:val="0"/>
              </w:rPr>
              <w:t xml:space="preserve">. Savukārt, atbilstoši likuma 20. panta pirmās daļas 1. punktam atklātas projektu iesniegumu atlases gadījumā starp projektu iesniegumiem notiek </w:t>
            </w:r>
            <w:r w:rsidR="00000000" w:rsidRPr="00000000" w:rsidDel="00000000">
              <w:rPr>
                <w:u w:val="single"/>
                <w:rtl w:val="0"/>
              </w:rPr>
              <w:t xml:space="preserve">vienlīdzīga sacensība par projekta iesnieguma apstiprināšanu</w:t>
            </w:r>
            <w:r w:rsidR="00000000" w:rsidRPr="00000000" w:rsidDel="00000000">
              <w:rPr>
                <w:rtl w:val="0"/>
              </w:rPr>
              <w:t xml:space="preserve"> un Eiropas Savienības fonda finansējuma piešķiršanu. Uzsākot vērtēšanu uzreiz pēc projekta iesnieguma saņemšanas, tas rada neskaidrību, vai atlasē tiks nodrošināta vienlīdzīga sacensība par projekta iesnieguma apstiprināšanu, tāpēc šāda vērtēšanas kārtība nebūtu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arī noteikumu projekta 13.3. apakšpunktu un precizēt noteikumu projekta 13.2.apakšpunktu, paredzot, ka komersants projekta iesniegumu var iesniegt atlases nolikumā noteiktajā kārtībā un termiņā, svītrojot vārdus “līdz šo noteikumu 64. punktā minētajam termiņam, bet ne vēlāk kā līdz 2026. gada 31. decembrim;”.Vienlaikus lūdzam atbilstoši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23-TA-2014</w:t>
    </w:r>
    <w:r>
      <w:br/>
    </w:r>
    <w:r w:rsidR="00000000" w:rsidRPr="00000000" w:rsidDel="00000000">
      <w:rPr>
        <w:rtl w:val="0"/>
      </w:rPr>
      <w:t xml:space="preserve">18.10.2024. 14.42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23-TA-2014</w:t>
    </w:r>
    <w:r>
      <w:br/>
    </w:r>
    <w:r w:rsidR="00000000" w:rsidRPr="00000000" w:rsidDel="00000000">
      <w:rPr>
        <w:rtl w:val="0"/>
      </w:rPr>
      <w:t xml:space="preserve">18.10.2024. 14.42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Izziņa_23-TA-2014.docx</dc:title>
</cp:coreProperties>
</file>

<file path=docProps/custom.xml><?xml version="1.0" encoding="utf-8"?>
<Properties xmlns="http://schemas.openxmlformats.org/officeDocument/2006/custom-properties" xmlns:vt="http://schemas.openxmlformats.org/officeDocument/2006/docPropsVTypes"/>
</file>