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25-TA-569: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2024. gada 26. novembra noteikumos Nr. 745 "Eiropas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4.2.2.4. pasākuma "Izglītības kvalitātes monitoringa sistēmas attīstība un nodrošināšana"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(29.11.2024.)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nepieciešamības gadījumā precizēt anotācijas 1.3.apakšsadaļas “Pašreizējā situācija, problēmas un risinājumi” 5.lpp norādīto finansējuma apmēru atalgojumam (201 688 euro), attiecīgi nepieciešamības gadījumā precizējot arī netiešo izmaksu apmēru, kopējo priekšfinansējuma apmēru, kā arī Ministru kabineta sēdes protokollēmuma projekta 2.punktā norādīto finansējuma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p/l un anotātācija.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3.sadaļas “Tiesību akta projekta ietekme uz valsts budžetu un pašvaldību budžetiem” apakšsadaļu “Cita informācija”, papildinot to ar informāciju, ka kopējais 4.2.2.4. pasākuma "Izglītības kvalitātes monitoringa sistēmas attīstība un nodrošināšana" īstenošanai plānotais finansējums tiek samazināts, norādot iemeslu, kā arī pārdalāmā finansējuma izmaiņas sadalījumā pa gadiem un finansējuma avotiem.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ar sekojošu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4.2.2.4.pasākuma finansējums tiek samazināts par 4,8milj. euro Sarunu un diskusiju rezultātā ar sociālajiem un sadarbības partneriem un izprotot to, ka ir ierobežoti valsts budžeta līdzekļi un valsts prioritātes to novirzīšanai drošības stiprināšanai, IZM ir pārskatījusi un radusi iespēju pārskatīt 4.2.2.4.pasākumā noteiktās atbalstāmās darbības, pārdalot finansējumu 4,8 milj. EUR uz Valsts izglītības attīstības aģentūras īstenoto projektu “Pedagogu profesionālā atbalsta sistēmas izveide”  4.2.2.3. pasākuma “Mācību procesa kvalitātes pilnveide, īstenojot pedagogu profesionālās darbības atbalsta sistēmas attīstību, izglītojamo izcilības aktivitāšu nodrošināšanu un metodiskā atbalsta materiālu izstrādi pedagogam”.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finansējuma izmaiņas indikatīvi plānotais finansējuma sadalījums pa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2025.gads – kopējais plānotais finansējums ir 1 765 695 euro, no tā ESF+ finansējums 1 500 841 euro, valsts budžeta līdzfinansējums 264 854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2026.gads - kopējais plānotais finansējums ir 4 532 703 euro, no tā ESF+ finansējums 3 852 798 euro, valsts budžeta līdzfinansējums 679 905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2027.gads - kopējais plānotais finansējums ir 3 817 450 euro, no tā ESF+ finansējums 3 244 832 euro, valsts budžeta līdzfinansējums 572 617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2028.gads - kopējais plānotais finansējums ir 3 417 883 euro, no tā ESF+ finansējums 2 905 201 euro, valsts budžeta līdzfinansējums 512 683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2029.gads - kopējais plānotais finansējums ir 2 954 980 euro, no tā ESF+ finansējums 2 511 733 euro, valsts budžeta līdzfinansējums 443 247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ka līdz vienošanās par projekta īstenošanu noslēgšanai ar Centrālo finanšu un līgumu aģentūru kā Eiropas Savienības fondu 2021.-2027.gada plānošanas perioda sadarbības iestādei (turpmāk - sadarbības iestādei) 4.2.2.4. pasākuma "Izglītības kvalitātes monitoringa sistēmas attīstība un nodrošināšana" (turpmāk - 4.2.2.4. pasākums) īstenošanai nepieciešamo finansējumu attiecināmo izmaksu segšanai Izglītības un zinātnes ministrijai kā 4.2.2.4. pasākuma projekta plānotajam finansējuma saņēmējam līdz 241 856 euro apmērā 2025. gadā nodrošina no 74. resora "Gadskārtējā valsts budžeta izpildes procesā pārdalāmais finansējums" programmas 80.00.00 "Nesadalītais finansējums Eiropas Savienības politiku instrumentu un pārējās ārvalstu finanšu palīdzības līdzfinansēto projektu un pasākumu īstenošanai" normatīvajos aktos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Ministru kabineta sēdes protokollēmuma projekta 2.punkta nepieciešamību, ņemot vērā, ka Ministru kabineta 2024. gada 26. novembra sēdes protokola Nr. 50 40. § “Noteikumu projekts "Eiropas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4.2.2.4. pasākuma "Izglītības kvalitātes monitoringa sistēmas attīstība un nodrošināšana" īstenošanas noteikumi"” (23-TA-1284) 3.punkts jau paredz pasākuma īstenošanai nepieciešamo priekšfinansējumu attiecināmo izmaksu segšanai Izglītības un zinātnes ministrijai kā šī projekta finansējuma saņēmējam, papildinot anotāciju ar informāciju, vai/ka iepriekš plānotais priekšfinansējums pasākuma īstenošanai vairs nav aktuāls un attiecīgi ir nepieciešams pieņemt jaunu Ministru kabineta lēmumu par tā nodrošināšanu. Tāpat vēršam uzmanību, ka 2018. gada 17. jūlija Ministru kabineta noteikumu Nr. 421 "Kārtība, kādā veic gadskārtējā valsts budžeta likumā noteiktās apropriācijas izmaiņas" 24.2. apakšpunkts paredz, ka no 80.00.00. programmas līdzekļus izņēmuma kārtā pirms Eiropas Savienības fondu projektu iesnieguma apstiprināšanas sadarbības iestādē, ja Ministru kabinets, pamatojoties uz iesniegto argumentāciju un risku analīzi, ir pieņēmis lēmumu par konkrētā plānotā projekta izdevumu priekšfinansēšanu noteiktā apjomā un izdevumu pozīcijām atbilstoši projektā izvirzītajam mērķim. Ņemot vērā minēto, anotācija ir papildināma ar Ministru kabineta protokollēmuma projekta 2.punkta sasaisti ar iepriekš pieņemto Ministru kabineta lēmumu, kā arī risku analīzi, lai ierobežotu attiecināmības riskus izdevumiem, kas tiks veikti pirms vienošanās parakstīšanas.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ar iepriekšējo MK p/l tika piešķirts tikai 2024.g. attiecīgi ir nepieciešams pieņemt jaunu Ministru kabineta lēmumu par tā nodrošināšanu 2025.gadam. Vienlaikus anotācija papildināta ar risku analīzi.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ka līdz vienošanās par projekta īstenošanu noslēgšanai ar Centrālo finanšu un līgumu aģentūru kā Eiropas Savienības fondu 2021.-2027.gada plānošanas perioda sadarbības iestādei (turpmāk - sadarbības iestādei) 4.2.2.4. pasākuma "Izglītības kvalitātes monitoringa sistēmas attīstība un nodrošināšana" (turpmāk - 4.2.2.4. pasākums) īstenošanai nepieciešamo finansējumu attiecināmo izmaksu segšanai Izglītības un zinātnes ministrijai kā 4.2.2.4. pasākuma projekta plānotajam finansējuma saņēmējam līdz 242 799 euro apmērā 2025. gadā nodrošina no 74. resora "Gadskārtējā valsts budžeta izpildes procesā pārdalāmais finansējums" programmas 80.00.00 "Nesadalītais finansējums Eiropas Savienības politiku instrumentu un pārējās ārvalstu finanšu palīdzības līdzfinansēto projektu un pasākumu īstenošanai" normatīvajos aktos noteiktajā kārtībā.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4.3.6. līdz 2028. gada 31. decembrim datu apstrādei un analītikai pašvaldībās sagatavoti IKM sistēmas rīku lietotāji – 43 personas (vismaz viena persona katrā pašvaldībā);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- 24.04.2025.)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IKM sistēmas lietotāji nebūs sagatavoti pašvaldību, izglītības iestāžu un indivīdu līmenim, kā tas iecerēts definējot projekta mērķi. Šo sistēmu jāspēj izmantot pedagogam, lai varētu novērtēt savu sniegumu. Šo sistēmu jāspēj izmantot klientam - vecākam vai audzēknim. Šo sistēmu jāspēj izmantot politiķiem un organizētajai pilsoniskajai sabiedrībai. Skolotājam un audzēknim jānodrošina savu sasniegumu salīdzināšanas iespējas. Projekta gaitā jāorientē IKM sistēmas lietošanu uz plašu ieinteresēto personu loku, ne tikai uz izglītības ekosistēmas birokrātiem. Tas mainītu projekta saturu, tā visos etapos būtu jāpārbauda plašas iesaistīšanas un izmantošanas iespējas.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4.3.6. līdz 2028. gada 31. decembrim datu apstrādei un analītikai pašvaldībās sagatavoti IKM sistēmas rīku lietotāji – 43 personas (vismaz viena persona katrā pašvaldībā); datu izmantošanai un analītikai pilotprojektu ietvaros sagatavoti IKM sistēmas lietotāji 30 vecāki, 30 skolnieki, 30 politisko partiju pārstāvji un 30 NVO pārstāvji, aprobējot sistēmas izmantošanu plašākai sabiedrības iesaistei rūpēs par izglītības kvalitāti.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Piekrītam, ka izglītības kvalitātes monitoringa (turpmāk – IKM) sistēmas efektīvai ieviešanai ir nozīmīga plašāku sabiedrības grupu iesaiste, tai skaitā skolēnu vecāku, politisko partiju pārstāvju un NVO. Vērtējot iepriekšējā IKM sistēmas projekta pieredzi, kā arī OECD vērtējumu par Latvijas izglītības sistēmas dalībnieku datu pratības kapacitāti, esam secinājuši, ka IKM sistēmas ietvaros ir jābūt nošķīrumam starp datu lietošanas ziņā ekspertu auditoriju un lietotājiem, kuriem nav un nav nepieciešamas eksperta līmeņa zināšanas. Primārā mērķa grupa projekta ietvaros ir pašvaldību eksperti un skolu vadība, kuri strādā ar izglītības datiem, saprotot, ka viņu profesionālā loma tiešā veidā ir saistīta ar izglītības datu izmantošanu izglītības kvalitātes novērtēšanai, uzraudzībai un attīstībai; tādēļ arī attiecīgajā Ministru kabineta noteikumu punktā tieši pašvaldību pārstāvji ir izvēlēti kā galvenā mērķa grupa. Projekta ietvaros piecu gadu laikā katru gadu ir ieplānoti profesionālās pilnveides pasākumi šīm divām galvenajām auditorijām. Šajos profesionālās pilnveides pasākumos plānots iesaistīt arī pašvaldību politiskos pārstāvjus, lai veidotu kopīgu izpratni par procesiem pašvaldībā.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lai plašāka sabiedrība, tai skaitā skolēni, vecāki, politiķi, NVO un citi varētu piekļūt informācijai un izglītības datiem, projekta ietvaros ir plānots veidot informācijas paneļus (angļu val. – dashboards) un atskaites VIIS publiskajā portālā (kas ir pieejams visiem) ar viegli pieejamiem datiem un uztveramu vizuālo informāciju. Papildus jāuzsver, ka šo informācijas paneļu sagatavošanā sabiedrības grupas – vecāki, skolēni, skolotāji, politiķi, NVO pārstāvji – tiks iesaistīti aprobācijā, norādot savas vajadzības, piedaloties funkcionalitātes aprobācijā, noskaidrojot, kāda veida un kādā veidā atspoguļot informāciju. Tas ir nozīmīgi, lai IKM sistēmu un tās rīkus pielāgotu dažādu lietotāju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īpaši jāuzsver, ka skolēni (un arī vecāki) saņems informācija no monitoringa vērtēšanas darbiem ar detalizētu atgriezenisko saiti par savām zināšanām, prasmēm un izpratni rēķinpratībā, tekstpratībā un dabaszinībās. Šī ir monitoringa darbu primārā mērķa grupa, un tie ir visi Latvijas skolēni (un attiecīgi viņu vecāki), tāpēc šeit nav nepieciešams atsevišķu 30 indivīdu nošķīrums.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rādītāja precizēšana var radīt būtiskas problēmas attiecībā uz konkrēto dalībnieku izlasi un izlases pamatojumu, kā arī atdevi un nozīmi pret projekta mērķi. Attiecīgi mūsu ieskatā LPS norādītajām bažām nav pamata, projekta ietvaros skolēni (un viņu vecāki) ir tiešā mērķa grupa (jo viņi būs tie, kuri saņems monitoringa darbu rezultātus), politiķi tiks iesaistīti mācībās, kā arī visām šīm grupām būs pieejama informācija VIIS publiskajā portālā.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4.3.6. līdz 2028. gada 31. decembrim datu apstrādei un analītikai pašvaldībās sagatavoti IKM sistēmas rīku lietotāji – 43 personas (vismaz viena persona katrā pašvaldībā);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finanšu avotiem, no kuriem ir plānots novirzīt finansējumu uz 4.2.2.3 pasākumu, atbilstoši anotācijas sadaļas “Risinājuma apraksts” pirmajam paragrāfam.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 kuru pasākumu attiecas informācija par vienošanos ar sociālajiem un sadarbības partneriem un anotācijā minētajiem finansējuma apjomiem mācību līdzekļiem (4 995 471 euro un 1 337 870 euro), ņemot vērā, ka 4.2.2.4.pasākumā nav plānots atbalsts mācību līdzekļiem un minētais finansējums kopsummā neveido 4,8 milj. EUR, kas tiek pārdalīti uz 4.2.2.3.pasākumu;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visu pārdalāmo finansējumu norādīt atsevišķi izdalot ES fondu finansējuma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vai precizēt anotācijā informāciju, ka "šobrīd tiek kavēta projekta iesnieguma iesniegšana", ņemot vērā, ka 4.2.2.4.pasākuma projektu iesniegumu atlase ir atvērta līdz 19.05.2025. un gala termiņš iesniegšanai vēl nav pienācis.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informācija precizēta: Ir izsludināta 4.2.2.4.pasākuma projekta iesnieguma atlase, kuras ietvaros š.g. 2.janvārī IZM iesniedza projekta iesniegumu priekšizskatīšanā un šobrīd ir pagarināta iesniegumu atlase līdz š.g. 19.maijam, tādējādi 4.2.2.4.pasākuma ierosināto grozījumu apstiprināšanai ir jānotiek ne vēlāk kā līdz š.g. maija beigām, lai nekavētu projekta izvērtēšanu un apstiprināšanu, kā arī attiecīgi īstenošanas uzsākšanu.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anotāciju ar informāciju par pasākuma finansējuma dalījumu pa visām intervences kategorijām (Intervences laukums, Finansējuma veids, Teritoriālie sasniegšanas mehānismi, ESF+ sekundārās tēmas un Dzimumu līdztiesība), norādot intervences kodus un tam piemērojamo pasākuma fondu finansējuma apjomu, atbilstoši Programmā (2.1. sadaļa "Informācija par dalījumu par intervences kategorijām") un tās papildinājumā norādītajam.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intervencs kodiem un finansējuma sadalījumu.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ir precizēts 4.2.2.4.pasākumam pieejamais finansējums, tad ESF+ finansējuma sadalījums pa intervences kodiem 4.2.2.4.pasākumā 7 007 702 EUR plānoti 149. intervences kodā “Atbalsts pamatizglītībai un vidējai izglītībai (izņemot infrastruktūru)” un 7 007 702 EUR plānoti 148. intervences kodā. Finansējuma veids - grants 14 015 404 EUR.  Saskaņā ar Eiropas Savienības kohēzijas politikas programmas 2021.-2027.gadam papildinājumu plānots, ka 5% no kopējā finansējuma sniegs ieguldījumu ESF sekundāra temata 1.kodā “Videi nekaitīgu prasmju un darbvietu un zaļās ekonomikas veicināšana” – 700 771 EUR un attiecīgi 95% 9.kodā – 13 314 633EUR. Dzimumu līdztiesības dimensijas 2.kods “Dzimumu līdztiesības aspekta integrēšana” ietver visu pasākuma finansējumu attiecīgi kā teritoriālas sasniegšanas mehānisma 33.kods.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Izglītības un zinātnes ministrijai nekavējoties informēt Ministru kabinetu, ja izmaksas, kas 4.2.2.4. pasākuma ietvaros veiktas pirms projekta iesnieguma apstiprināšanas, varētu netikt vai netiek attiecinātas finansēšanai no Eiropas Sociālā fonda Plus, vai, ja Eiropas Komisija neatbalsta ierosināto finansējuma pārdali uz 4.2.2.4.pasākumu plānotajā apmērā, sagatavojot attiecīgu informatīvo ziņojumu, kurā norādīts detalizēts apraksts par radušos situāciju, neatbilstības rašanās cēloņiem, finansiālo ietekmi, un sniegt fiskāli neitrālus priekšlikumus, veicot finansējuma pārdali starp Izglītības un zinātnes ministrijas budžeta programmām/apakšprogrammām, lai nodrošinātu projekta neattiecināto izdevumu segšanu.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MK protokollēmuma projekta 3.punktā teikuma daļu "vai, ja Eiropas Komisija neatbalsta ierosināto finansējuma pārdali uz 4.2.2.4.pasākumu plānotajā apmērā", ņemot vēra, ka 3.punkts attiecas uz izmaksu ātrāku attiecināšanu, nevis finansējuma pārdalēm starp pasākumiem. Turklāt vēršam uzmanību, ka finansējums tiek pārdalīts no 4.2.2.4.pasakuma, nevis uz 4.2.2.4.pasākumu.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Izglītības un zinātnes ministrijai nekavējoties informēt Ministru kabinetu, ja izmaksas, kas 4.2.2.4. pasākuma ietvaros veiktas pirms projekta iesnieguma apstiprināšanas, varētu netikt vai netiek attiecinātas finansēšanai no Eiropas Sociālā fonda Plus, sagatavojot attiecīgu informatīvo ziņojumu, kurā norādīts detalizēts apraksts par radušos situāciju, neatbilstības rašanās cēloņiem, finansiālo ietekmi, un sniegt fiskāli neitrālus priekšlikumus, veicot finansējuma pārdali starp Izglītības un zinātnes ministrijas budžeta programmām/apakšprogrammām, lai nodrošinātu projekta neattiecināto izdevumu segšanu.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Aizstāts ar piedāvāto redakciju.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Izglītības un zinātnes ministrijai nekavējoties informēt Ministru kabinetu, ja izmaksas, kas 4.2.2.4. pasākuma ietvaros veiktas pirms projekta iesnieguma apstiprināšanas, varētu netikt vai netiek attiecinātas finansēšanai no Eiropas Sociālā fonda Plus, sagatavojot attiecīgu informatīvo ziņojumu, kurā norādīts detalizēts apraksts par radušos situāciju, neatbilstības rašanās cēloņiem, finansiālo ietekmi, un sniegt fiskāli neitrālus priekšlikumus, veicot finansējuma pārdali starp Izglītības un zinātnes ministrijas budžeta programmām/apakšprogrammām, lai nodrošinātu projekta neattiecināto izdevumu segšanu.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Eiropas Komisija neatbalsta Izglītības un zinātnes ministrijas priekšlikumu grozījumiem Kohēzijas politikas programmā 2021.-2027.gadam attiecībā uz ESF+ investīcijām profesionālās ievirzes izglītības programmu īstenošanai, tad šim mērķim paredzētais finansējums 1 337 870 euro apmērā novirzāms mācību līdzekļu nodrošināšanai vispārējās izglītības satura apguvei.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MK protokollēmuma 4. un 5.punktu, ņemot vēra, ka tie pēc būtības škietami attiecas uz citu ES kohēzijas politikas programmas 2021.-2027.gadam pasākumu (4.2.2.3.pasākums "Mācību procesa kvalitātes pilnveide, īstenojot pedagogu profesionālās darbības atbalsta sistēmas attīstību, izglītojamo izcilības aktivitāšu nodrošināšanu un metodiskā atbalsta materiālu izstrādi pedagogam”), kā arī 4.2.2.4.pasakumā nav nevienas atbalstāmās darbības, kas paredzētu mācību līdzekļu iegādi.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ka šobrīd Tiesību aktu portālā skaņošanā ir MK noteikumu projekts 25-TA-542 "Grozījumi Ministru kabineta 2024. gada 11. jūnija noteikumos Nr. 358 "Eiropas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4.2.2.3. pasākuma "Mācību procesa kvalitātes pilnveide, īstenojot pedagogu profesionālās darbības atbalsta sistēmas attīstību, izglītojamo izcilības aktivitāšu nodrošināšanu un metodiskā atbalsta materiālu izstrādi pedagogam" īstenošanas noteikumi", lūdzam nosacījumus, kas attiecas uz 4.2.2.3.pasākumu, iekļaut tajā.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p/l 4., 5.punkts iekļauts, ņemot vērā ar sociālajiem partneriem panāktai vienošanās, kas precizēti norādot pasākumu uz kuru tie attiecināmi, t.i., 4.2.2.3.pasākums.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Valsts izglītības attīstības aģentūra ne vēlāk kā līdz 2025. gada 31. jūlijam 4.2.2.3.pasākuma īstenotā projekta ietvaros vienojas ar sociālajiem un sadarbības partneriem par finansējuma 2 647 705 euro apmērā izlietojumu mācību līdzekļu izstrādei izglītojamajiem vispārējās izglītības satura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svītrot Ministru kabineta protokollēmuma 4.2.apakšpunktā vārdus "sociālajiem un", ņemot vērā, ka saskaņā ar Ministru kabineta noteikumiem par 4.2.2.3.pasākuma īstenošanu finansējuma saņēmējs projektu īsteno sadarbībā ar sadarbības partneri.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šajā punktā ir uzvērts (par ko ir arī panākta vienošanās sarunās ar sociālajiem partneriem), ka  šī vienošanās notiks ne tikai iekšēji projekta ietvaros, bet piesaistot arī sociālos partnerus, kas ir LIZDA, LDDK u.c. tādējādi vārdi “sociālajiem un “ ir atstājami.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anotācija ir papildināta, ka sociālie un sadarbības partneri nodrošinās uzraudzību vai novirzītais finansējums atbilstoši MK protokollēmuma 4.2.apakšpunktā noteiktajam tiks izlietots atbilstoši panāktajai vienošanās.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Valsts izglītības attīstības aģentūra ne vēlāk kā līdz 2025. gada 31. jūlijam 4.2.2.3.pasākuma īstenotā projekta ietvaros vienojas ar sociālajiem un sadarbības partneriem par finansējuma 2 647 705 euro apmērā izlietojumu mācību līdzekļu izstrādei izglītojamajiem vispārējās izglītības satura nodrošināšanai.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4.3.2. līdz 2029. gada 31. decembrim veikti IKM sistēmas attīstībai nepieciešamie pētījumi, tai skaitā nozares reformu ieviešanas efektivitātes pētījumi, – seši;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sadaļu "Risinājuma apraksts" sesto paragrāfu ar pamatojumu par MkN Nr. 745 4.3.2. punkta svītrošanu.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Paralēli, Ņemot vēra 2025. gada 21. februārī Ministru prezidentes Evikas Siliņas paziņotās valdības 4x4 prioritātes 2025. gadam, ikgadējā ziņojumā Saeimai iekļauto apņemšanos 2025. gadā turpināt darbu pie birokrātijas mazināšanas pasākumiem ES fondu apguvē un publisko iepirkumu jomā, un 2024. gada 20. janvārī apstiprinātā Valsts rīcības plāna pasākuma 35.4. darbības rezultātu: pārskatītas un iespēju robežās mazinātas nacionālajos horizontālajos un specifisko atbalsta mērķu ieviešanu regulējošajos normatīvajos aktos noteiktās prasības, aicinām izvērtēt iespēju papildus samazināt nacionālo radītāju skaitu.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MkN Nr. 745 4.3.2. punkta svītrota daļa, kas paredzēja pētījumu par nozares reformu ieviešanas efektivitāti īstenošanu, pētījumu rezultātā saņemot atbildes  par izglītības reformu ieviešanas efektivitāti un ietekmi, kā arī nodrošinātu izglītības reformu uzraudzību un pilnveidotu izglītības pārvaldības sistēmu. Darbības īstenošanā turpmāk tiek paredzēts  fokuss uz (1) pētniecībā balstītu monitoringa vērtēšanas darbu ietvaru izstrādi un (2) izglītības kvalitātes monitoringa sistēmas ieviešanas ietekmi uz izglītības iestāžu darbību - informatīvo ziņojumu sagatavošana.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nacionālā rādītāja skaita samazināšanu vēršam uzmanību, ka sniedzot projektu ir jāizpildās nosacījumam, ka vismaz vienam rezultātam pret katru darbību ir jābūt. Tādējādi, ja no 7 sākotnēji plānotiem nacionāliem rādītājiem ar MKN grozījumiem svītrots viens nacionālais rādītājs pie 1 pilnībā svītrotas darbības un vienas apjomā samazinātas darbības (no 10 darbībām), tad ir pamats uzskatīt šo par samērīgu risinājumu, atbilstošu 2024. gada 20. janvārī apstiprinātā Valsts rīcības plāna pasākuma 35.4. darbības rezultātam – pārskatīt un iespēju robežās mazināt. Pārskatītais ir 20% robežās (darbības), mazinātais 14% no sākotnēji plānotā sasniedzamajos rādītājos (nacionāli rādītāji).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4.3.2. līdz 2029. gada 31. decembrim veikti IKM sistēmas attīstībai nepieciešamie pētījumi, tai skaitā nozares reformu ieviešanas efektivitātes pētījumi, – seši;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22.2.5. veselības apdrošināšanas izmaksas finansējuma saņēmēja projekta vadības un īstenošanas personālam un šo noteikumu </w:t>
            </w:r>
            <w:r w:rsidR="00000000" w:rsidRPr="00000000" w:rsidDel="00000000">
              <w:rPr>
                <w:rtl w:val="0"/>
              </w:rPr>
              <w:t xml:space="preserve">12.</w:t>
            </w:r>
            <w:r w:rsidR="00000000" w:rsidRPr="00000000" w:rsidDel="00000000">
              <w:rPr>
                <w:rtl w:val="0"/>
              </w:rPr>
              <w:t xml:space="preserve"> un </w:t>
            </w:r>
            <w:r w:rsidR="00000000" w:rsidRPr="00000000" w:rsidDel="00000000">
              <w:rPr>
                <w:rtl w:val="0"/>
              </w:rPr>
              <w:t xml:space="preserve">13.</w:t>
            </w:r>
            <w:r w:rsidR="00000000" w:rsidRPr="00000000" w:rsidDel="00000000">
              <w:rPr>
                <w:rtl w:val="0"/>
              </w:rPr>
              <w:t xml:space="preserve"> punktā minēto sadarbības partneru projekta īstenošanas personālam ir attiecināmas tikai laikposmā, kad projekta vadības un īstenošanas personāls ir nodarbināts projekta īstenošanā. Ja veselības apdrošināšana paredzēta finansējuma saņēmēja un sadarbības partnera iestādē un minētais personāls ir nodarbināts normālu darba laiku, veselības apdrošināšanas izmaksas ir attiecināmas 100 procentu apmērā. Ja projekta vadības un īstenošanas personāls ir nodarbināts nepilnu darba laiku vai daļlaiku, veselības apdrošināšanas izmaksas nosakāmas proporcionāli slodzes procentuālajam sadalījumam.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pasākuma ietvaros netiks izstrādāta vienkāršoto izmaksu metodika projekta vadības un īstenošanas personāla izmaksām, lūdzam izvērtēt, vai veselības apdrošināšanas izmaksas (kas minētas noteikumu projekta 22.2.5. apakšpunktā) un obligāto veselības pārbaužu izmaksas un speciālo medicīnisko optisko redzes korekcijas līdzekļu kompensācijas izmaksas (kas minētas noteikumu projekta 22.2.6. apakšpunktā) nav iespējams segt no netiešo izmaksu vienotās likmes, kas mazinātu administratīvo slogu finansējuma saņēmējam attiecībā uz izmaksu pamatojošo dokumentu iesniegšanu un sadarbības iestādēm uz šo dokumentu pārbaudi.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apdrošināšanas izmaksas un obligāto veselības pārbaužu izmaksas un speciālo medicīnisko optisko redzes korekcijas līdzekļu kompensācijas izmaksas ir izmaksas, kas atbilstoši Vadlīnijām attiecināmo izmaksu noteikšanai (https://www.esfondi.lv/normativie-akti-un-dokumenti/2021-2027-planosanas-periods/vadlinijas-attiecinamo-izmaksu-noteiksanai-eiropas-savienibas-kohezijas-politikas-programmas-2021-2027-gada-planosanas-perioda) ir tiešās attiecināmās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Vadlīniju mērķis ir skaidrot attiecināmo izmaksu veidus un attiecināmības pamatprincipus, kas var tikt iekļauti ES fondu 2021.-2027.gada plānošanas perioda projektos, kā arī nodrošināt vienotu pieeju, plānojot attiecināmo izmaksu pozīcijas MK noteikumos par attiecīgo SAM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Netiešās izmaksas paredz projekta attiecināmās izmaksas, kas nav tieši saistītas ar projekta mērķu sasniegšanu, bet atbalsta un nodrošina atbilstošus apstākļus projekta veicamo darbību realizācijai un projekta rezultātu sasniegšanai. Tās ir, piemēram, finansējuma saņēmēja/gala saņēmēja un/vai gala labuma guvēja projekta vadības un projekta īstenošanas personāla administratīvās izmaksas, kas paredzētas iestādes ikdienas darbības nodrošināšanai– izmaksas, kuras nepieciešamas, lai organizācija varētu darboties un kuras nav tieši saistītas ar projekta īstenošanu, piemēram, telpu īre un iekārtu izmantošanas izmaksas, kancelejas preces, komunālo un sakaru pakalpojumu izmaksas, iestādes vadības un atbalsta struktūrvienību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Personāls 4.2.2.4. projekta īstenošanā ir ne tikai tieši saistīts ar projekta mērķa sasniegšanu, bet arī norādīts kā riska faktors projekta mērķa sasniegšanā – pie tā nepietiekamības, mainības.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ko priekšlikums ir izvērtēts un netiek izskatīts tālākai virzībai.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22.2.5. veselības apdrošināšanas izmaksas finansējuma saņēmēja projekta vadības un īstenošanas personālam un šo noteikumu </w:t>
            </w:r>
            <w:r w:rsidR="00000000" w:rsidRPr="00000000" w:rsidDel="00000000">
              <w:rPr>
                <w:rtl w:val="0"/>
              </w:rPr>
              <w:t xml:space="preserve">12.</w:t>
            </w:r>
            <w:r w:rsidR="00000000" w:rsidRPr="00000000" w:rsidDel="00000000">
              <w:rPr>
                <w:rtl w:val="0"/>
              </w:rPr>
              <w:t xml:space="preserve"> un </w:t>
            </w:r>
            <w:r w:rsidR="00000000" w:rsidRPr="00000000" w:rsidDel="00000000">
              <w:rPr>
                <w:rtl w:val="0"/>
              </w:rPr>
              <w:t xml:space="preserve">13.</w:t>
            </w:r>
            <w:r w:rsidR="00000000" w:rsidRPr="00000000" w:rsidDel="00000000">
              <w:rPr>
                <w:rtl w:val="0"/>
              </w:rPr>
              <w:t xml:space="preserve"> punktā minēto sadarbības partneru projekta īstenošanas personālam ir attiecināmas tikai laikposmā, kad projekta vadības un īstenošanas personāls ir nodarbināts projekta īstenošanā. Ja veselības apdrošināšana paredzēta finansējuma saņēmēja un sadarbības partnera iestādē un minētais personāls ir nodarbināts normālu darba laiku, veselības apdrošināšanas izmaksas ir attiecināmas 100 procentu apmērā. Ja projekta vadības un īstenošanas personāls ir nodarbināts nepilnu darba laiku vai daļlaiku, veselības apdrošināšanas izmaksas nosakāmas proporcionāli slodzes procentuālajam sadalījumam.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22.2.14. izglītojošu un informatīvu pasākumu, sadarbības un tīklošanās pasākumu, ārvalstu izpētes vizīšu, semināru un konferenču organizēšanas un īstenošanas izmaksas, tai skaitā vietējo un ārvalstu ekspertu, lektoru un moderatoru atlīdzības izmaksas, mācību maksa, telpu noma (ja projekta atbalstāmo darbību īstenošanai nepieciešams nomāt telpas ārpus finansējuma saņēmēja telpām vai projekta īstenošanas sadarbības partnera juridiskās un faktiskās uzturēšanās adreses), tehniskā atbalsta pakalpojumu, tiešsaistes pasākumu ierakstīšanas, tulkošanas, datortehnikas un cita nepieciešamā aprīkojuma nomas izmaksas šo noteikumu </w:t>
            </w:r>
            <w:r w:rsidR="00000000" w:rsidRPr="00000000" w:rsidDel="00000000">
              <w:rPr>
                <w:rtl w:val="0"/>
              </w:rPr>
              <w:t xml:space="preserve">20.1.</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20.2.</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20.3.</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20.4.</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20.5.</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20.6.</w:t>
            </w:r>
            <w:r w:rsidR="00000000" w:rsidRPr="00000000" w:rsidDel="00000000">
              <w:rPr>
                <w:rtl w:val="0"/>
              </w:rPr>
              <w:t xml:space="preserve"> un </w:t>
            </w:r>
            <w:r w:rsidR="00000000" w:rsidRPr="00000000" w:rsidDel="00000000">
              <w:rPr>
                <w:rtl w:val="0"/>
              </w:rPr>
              <w:t xml:space="preserve">20.9.</w:t>
            </w:r>
            <w:r w:rsidR="00000000" w:rsidRPr="00000000" w:rsidDel="00000000">
              <w:rPr>
                <w:rtl w:val="0"/>
              </w:rPr>
              <w:t xml:space="preserve"> apakšpunktā minēto atbalstāmo darbību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precizēt redakciju, ņemot vēra, ka 22.04.2025. IZM izplatītajā preses relīzē ir norādīts uz iespējamu atteikšanos no ārvalstu ekspertu konsultācijām.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22.2.14. apakšpunkts norāda izmaksu veidus, kas attiecināmi, pie darbībām. Līdz ar ko noteiktā apakšpunkta redakciju nav nepieciešams precizēt, jo nav darbības – ārvalstu ekspertu konsultācijas. Ekspertu konsultācijas darbībās tiek paredzētas bez lokalitātes ierobežojuma, bet gan pēc ekspertīzes jomas un kompetences.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Preses ziņā https://www.izm.gov.lv/lv/jaunums/izm-precizejusi-aktivitasu-apjomu-projekta-par-izglitibas-kvalitates-attistibu-un-skolenu-zinasanu-un-labbutibas-monitoresanu  ir minēts, ka “IZM pieņēmusi lēmumu saglabāt projekta centrālās aktivitātes, bet atlikt pasākumus, kas patlaban nav prioritāri.”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22.2.14. izglītojošu un informatīvu pasākumu, sadarbības un tīklošanās pasākumu, ārvalstu izpētes vizīšu, semināru un konferenču organizēšanas un īstenošanas izmaksas, tai skaitā vietējo un ārvalstu ekspertu, lektoru un moderatoru atlīdzības izmaksas, mācību maksa, telpu noma (ja projekta atbalstāmo darbību īstenošanai nepieciešams nomāt telpas ārpus finansējuma saņēmēja telpām vai projekta īstenošanas sadarbības partnera juridiskās un faktiskās uzturēšanās adreses), tehniskā atbalsta pakalpojumu, tiešsaistes pasākumu ierakstīšanas, tulkošanas, datortehnikas un cita nepieciešamā aprīkojuma nomas izmaksas šo noteikumu </w:t>
            </w:r>
            <w:r w:rsidR="00000000" w:rsidRPr="00000000" w:rsidDel="00000000">
              <w:rPr>
                <w:rtl w:val="0"/>
              </w:rPr>
              <w:t xml:space="preserve">20.1.</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20.2.</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20.3.</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20.4.</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20.5.</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20.6.</w:t>
            </w:r>
            <w:r w:rsidR="00000000" w:rsidRPr="00000000" w:rsidDel="00000000">
              <w:rPr>
                <w:rtl w:val="0"/>
              </w:rPr>
              <w:t xml:space="preserve"> un </w:t>
            </w:r>
            <w:r w:rsidR="00000000" w:rsidRPr="00000000" w:rsidDel="00000000">
              <w:rPr>
                <w:rtl w:val="0"/>
              </w:rPr>
              <w:t xml:space="preserve">20.9.</w:t>
            </w:r>
            <w:r w:rsidR="00000000" w:rsidRPr="00000000" w:rsidDel="00000000">
              <w:rPr>
                <w:rtl w:val="0"/>
              </w:rPr>
              <w:t xml:space="preserve"> apakšpunktā minēto atbalstāmo darbību īstenošanai;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Publiskos iepirkumus finansējuma saņēmējs veic atklātā, pārredzamā, nediskriminējošā, ja iespējams, konkurenci nodrošinošā, kā arī sociāli atbildīgā veidā saskaņā ar normatīvajiem aktiem publisko iepirkumu jomā, ievērojot nediskriminācijas principus. Projekta ietvaros ir atbalstāma vides prasību un inovatīvu risinājumu integrēšana preču un pakalpojumu iepirkumos (zaļais publiskais iepirkums un inovāciju publiskais iepirkums).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vēra 2025. gada 21. februārī Ministru prezidentes Evikas Siliņas paziņotās valdības 4x4 prioritātes 2025. gadam, ikgadējā ziņojumā Saeimai iekļauto apņemšanos 2025. gadā turpināt darbu pie birokrātijas mazināšanas pasākumiem ES fondu apguvē un publisko iepirkumu jomā, un 2024. gada 20. janvārī apstiprinātā Valsts rīcības plāna pasākuma 35.4. darbības rezultātu: pārskatītas un iespēju robežās mazinātas nacionālajos horizontālajos un specifisko atbalsta mērķu ieviešanu regulējošajos normatīvajos aktos noteiktās prasības, aicinām izvērtēt nepieciešamību noteikumu 34. punktā noteikt finansējuma saņēmējam nosacījumu veikt sociāli atbildīgu iepirkumu.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Publiskos iepirkumus finansējuma saņēmējs un sadarbības partneri (ja attiecināms) veic atklātā, pārredzamā, nediskriminējošā un konkurenci nodrošinošā procedūrā saskaņā ar normatīvajiem aktiem publisko iepirkumu jomā, izvērtējot iespējas iepirkumiem piemērot sociāli atbildīgu publisko iepirkumu. Projekta ietvaros ir atbalstāma vides prasību un inovatīva risinājuma integrēšana preču un pakalpojuma iepirkumos (zaļais publiskais iepirkums un inovāciju publiskais iepirkums).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25-TA-569</w:t>
    </w:r>
    <w:r>
      <w:br/>
    </w:r>
    <w:r w:rsidR="00000000" w:rsidRPr="00000000" w:rsidDel="00000000">
      <w:rPr>
        <w:rtl w:val="0"/>
      </w:rPr>
      <w:t xml:space="preserve">19.05.2025. 16.32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25-TA-569</w:t>
    </w:r>
    <w:r>
      <w:br/>
    </w:r>
    <w:r w:rsidR="00000000" w:rsidRPr="00000000" w:rsidDel="00000000">
      <w:rPr>
        <w:rtl w:val="0"/>
      </w:rPr>
      <w:t xml:space="preserve">19.05.2025. 16.32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Izziņa_25-TA-569.docx</dc:title>
</cp:coreProperties>
</file>

<file path=docProps/custom.xml><?xml version="1.0" encoding="utf-8"?>
<Properties xmlns="http://schemas.openxmlformats.org/officeDocument/2006/custom-properties" xmlns:vt="http://schemas.openxmlformats.org/officeDocument/2006/docPropsVTypes"/>
</file>